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 Bitdeer Announces May 2025 Production and Operations Update</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May 2025 Production and Operations Update</w:t>
      </w:r>
    </w:p>
    <w:p>
      <w:pPr>
        <w:spacing w:after="0" w:line="229" w:lineRule="exact"/>
        <w:rPr>
          <w:sz w:val="20"/>
          <w:szCs w:val="20"/>
          <w:color w:val="auto"/>
        </w:rPr>
      </w:pPr>
    </w:p>
    <w:p>
      <w:pPr>
        <w:ind w:left="2560" w:hanging="242"/>
        <w:spacing w:after="0"/>
        <w:tabs>
          <w:tab w:leader="none" w:pos="2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self-mining hashrate to 13.6 EH/s on continued deployment of SEALMINERs</w:t>
      </w:r>
    </w:p>
    <w:p>
      <w:pPr>
        <w:spacing w:after="0" w:line="27" w:lineRule="exact"/>
        <w:rPr>
          <w:rFonts w:ascii="Times New Roman" w:cs="Times New Roman" w:eastAsia="Times New Roman" w:hAnsi="Times New Roman"/>
          <w:sz w:val="18"/>
          <w:szCs w:val="18"/>
          <w:color w:val="auto"/>
        </w:rPr>
      </w:pPr>
    </w:p>
    <w:p>
      <w:pPr>
        <w:ind w:left="3220" w:hanging="290"/>
        <w:spacing w:after="0"/>
        <w:tabs>
          <w:tab w:leader="none" w:pos="32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and shipped 1.6 EH/s of SEALMINER A2s to external customers</w:t>
      </w:r>
    </w:p>
    <w:p>
      <w:pPr>
        <w:spacing w:after="0" w:line="20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June 11, 2025 (GLOBE NEWSWIRE)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Bitcoin mining, today announced its unaudited mining and operations updates for May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Update</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Self-mined Bitcoin: </w:t>
      </w:r>
      <w:r>
        <w:rPr>
          <w:rFonts w:ascii="Times New Roman" w:cs="Times New Roman" w:eastAsia="Times New Roman" w:hAnsi="Times New Roman"/>
          <w:sz w:val="18"/>
          <w:szCs w:val="18"/>
          <w:color w:val="auto"/>
        </w:rPr>
        <w:t>196 Bitcoins, increase of 18.1% from April 2025 on higher average self-mining hashrate from energization of SEALMINERs.</w:t>
      </w:r>
    </w:p>
    <w:p>
      <w:pPr>
        <w:spacing w:after="0" w:line="3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 Rig Manufacturing and R&amp;D:</w:t>
      </w:r>
    </w:p>
    <w:p>
      <w:pPr>
        <w:spacing w:after="0" w:line="9" w:lineRule="exact"/>
        <w:rPr>
          <w:rFonts w:ascii="Times New Roman" w:cs="Times New Roman" w:eastAsia="Times New Roman" w:hAnsi="Times New Roman"/>
          <w:sz w:val="18"/>
          <w:szCs w:val="18"/>
          <w:color w:val="auto"/>
        </w:rPr>
      </w:pPr>
    </w:p>
    <w:p>
      <w:pPr>
        <w:ind w:left="340" w:right="73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SEALMINER A1:</w:t>
      </w:r>
      <w:r>
        <w:rPr>
          <w:rFonts w:ascii="Times New Roman" w:cs="Times New Roman" w:eastAsia="Times New Roman" w:hAnsi="Times New Roman"/>
          <w:sz w:val="18"/>
          <w:szCs w:val="18"/>
          <w:color w:val="auto"/>
        </w:rPr>
        <w:t xml:space="preserve"> 3.9 EH/s was energized. o </w:t>
      </w:r>
      <w:r>
        <w:rPr>
          <w:rFonts w:ascii="Times New Roman" w:cs="Times New Roman" w:eastAsia="Times New Roman" w:hAnsi="Times New Roman"/>
          <w:sz w:val="18"/>
          <w:szCs w:val="18"/>
          <w:b w:val="1"/>
          <w:bCs w:val="1"/>
          <w:color w:val="auto"/>
        </w:rPr>
        <w:t>SEALMINER A2:</w:t>
      </w:r>
    </w:p>
    <w:p>
      <w:pPr>
        <w:ind w:left="660" w:right="8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Total of 9.0 EH/s mining rigs have been manufactured and an additional 1.5 EH/s are in final assembly as of the end of May 2025. o Of the 9.0 EH/s mining rigs that have been manufactured:</w:t>
      </w: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External-sales: </w:t>
      </w:r>
      <w:r>
        <w:rPr>
          <w:rFonts w:ascii="Times New Roman" w:cs="Times New Roman" w:eastAsia="Times New Roman" w:hAnsi="Times New Roman"/>
          <w:sz w:val="18"/>
          <w:szCs w:val="18"/>
          <w:color w:val="auto"/>
        </w:rPr>
        <w:t>2.9 EH/s of mining rigs have been shipped to external customers, including 1.6 EH/s that were shipped in May.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Self-mining:</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EH/s have been deployed in Texas, U.S. and Tydal, Norway, including 1.1 EH/s in May 2025.</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EH/s are in-transit to Bitdeer’s sites in Texas, U.S. and Bhutan.</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EH/s are being prepared for shipping.</w:t>
      </w:r>
    </w:p>
    <w:p>
      <w:pPr>
        <w:spacing w:after="0" w:line="9" w:lineRule="exact"/>
        <w:rPr>
          <w:sz w:val="20"/>
          <w:szCs w:val="20"/>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A3:</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Machine level testing is ongoing with all the test results meeting expectations.</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SEALMINER A3 series will be released and available for pre-order in June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A4:</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SEAL04 R&amp;D remains on track to achieve an expected chip efficiency of approximately 5 J/TH with anticipated initial tape-out in Q4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HPC/AI: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are ongoing with multiple development partners and potential end users for selected large scale sites in the U.S. for HPC/AI.</w:t>
      </w:r>
    </w:p>
    <w:p>
      <w:pPr>
        <w:spacing w:after="0" w:line="9" w:lineRule="exact"/>
        <w:rPr>
          <w:rFonts w:ascii="Times New Roman" w:cs="Times New Roman" w:eastAsia="Times New Roman" w:hAnsi="Times New Roman"/>
          <w:sz w:val="18"/>
          <w:szCs w:val="18"/>
          <w:color w:val="auto"/>
        </w:rPr>
      </w:pPr>
    </w:p>
    <w:p>
      <w:pPr>
        <w:ind w:left="660" w:right="700" w:hanging="328"/>
        <w:spacing w:after="0" w:line="25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AI Cloud service by deploying more than 10 cutting-edge LLMs (including LIama, DeepSeek, and Qwen variants) with robust infrastructure supporting strong inference demand - demonstrating our ability to deliver enterprise-grade AI solutions at scale.</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Client-hosted mining rigs increased by 5,000 units or 1.0 EH/s in May 2025, due to existing customers increasing hosted mining rigs.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Infrastructure:</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Tydal, Norway: </w:t>
      </w:r>
      <w:r>
        <w:rPr>
          <w:rFonts w:ascii="Times New Roman" w:cs="Times New Roman" w:eastAsia="Times New Roman" w:hAnsi="Times New Roman"/>
          <w:sz w:val="18"/>
          <w:szCs w:val="18"/>
          <w:color w:val="auto"/>
        </w:rPr>
        <w:t>Electrical equipment installation, hydro cooling, and water supply and drainage systems are expected to be complete by the 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June 2025.</w:t>
      </w: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Massillon, Ohio: </w:t>
      </w:r>
      <w:r>
        <w:rPr>
          <w:rFonts w:ascii="Times New Roman" w:cs="Times New Roman" w:eastAsia="Times New Roman" w:hAnsi="Times New Roman"/>
          <w:sz w:val="18"/>
          <w:szCs w:val="18"/>
          <w:color w:val="auto"/>
        </w:rPr>
        <w:t>Building construction is ongoing and is expected to be completed in phases from Q3 to Q4 2025.</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Financing</w:t>
      </w:r>
      <w:r>
        <w:rPr>
          <w:rFonts w:ascii="MS PGothic" w:cs="MS PGothic" w:eastAsia="MS PGothic" w:hAnsi="MS PGothic"/>
          <w:sz w:val="18"/>
          <w:szCs w:val="18"/>
          <w:color w:val="auto"/>
        </w:rPr>
        <w:t>：</w:t>
      </w:r>
    </w:p>
    <w:p>
      <w:pPr>
        <w:spacing w:after="0" w:line="22" w:lineRule="exact"/>
        <w:rPr>
          <w:rFonts w:ascii="Times New Roman" w:cs="Times New Roman" w:eastAsia="Times New Roman" w:hAnsi="Times New Roman"/>
          <w:sz w:val="18"/>
          <w:szCs w:val="18"/>
          <w:color w:val="auto"/>
        </w:rPr>
      </w:pPr>
    </w:p>
    <w:p>
      <w:pPr>
        <w:ind w:left="660" w:right="60" w:hanging="328"/>
        <w:spacing w:after="0" w:line="27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Tether exercised their warrants during May 2025, the Company issued 5,186,627 ordinary shares and received US$50 million in cash as proceeds. This transaction is related to the private placement financing that took place in May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-411480</wp:posOffset>
            </wp:positionV>
            <wp:extent cx="43180" cy="88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May 2025, we continued to deploy our SEALMINER mining rigs to our sites in Texas, U.S., Norway, and Bhutan, bringing Bitdeer’s self-mining hashrate to 13.6 EH/s at the end of the month of May,” said Matt Kong, Chief Business Officer at Bitdeer. “Looking forward, we remain on track to deliver over 40 EH/s of self-mining capacity by October 2025. Further, in May, we sold and shipped approximately 1.6 EH/s of our SEALMINER A2s to external customers. Our A3 Series will also be released and available for pre-order very soon.”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Production and Operations Summary</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Metrics</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May 2025</w:t>
            </w:r>
          </w:p>
        </w:tc>
        <w:tc>
          <w:tcPr>
            <w:tcW w:w="24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Apr 2025</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May 2024</w:t>
            </w:r>
          </w:p>
        </w:tc>
        <w:tc>
          <w:tcPr>
            <w:tcW w:w="100" w:type="dxa"/>
            <w:vAlign w:val="bottom"/>
            <w:tcBorders>
              <w:bottom w:val="single" w:sz="8" w:color="CCEEFF"/>
            </w:tcBorders>
          </w:tcPr>
          <w:p>
            <w:pPr>
              <w:spacing w:after="0"/>
              <w:rPr>
                <w:sz w:val="24"/>
                <w:szCs w:val="24"/>
                <w:color w:val="auto"/>
              </w:rPr>
            </w:pPr>
          </w:p>
        </w:tc>
      </w:tr>
      <w:tr>
        <w:trPr>
          <w:trHeight w:val="257"/>
        </w:trPr>
        <w:tc>
          <w:tcPr>
            <w:tcW w:w="7200" w:type="dxa"/>
            <w:vAlign w:val="bottom"/>
            <w:shd w:val="clear" w:color="auto" w:fill="CCEEFF"/>
          </w:tcPr>
          <w:p>
            <w:pPr>
              <w:ind w:left="60"/>
              <w:spacing w:after="0" w:line="256" w:lineRule="exact"/>
              <w:rPr>
                <w:sz w:val="20"/>
                <w:szCs w:val="20"/>
                <w:color w:val="auto"/>
              </w:rPr>
            </w:pPr>
            <w:r>
              <w:rPr>
                <w:rFonts w:ascii="Times New Roman" w:cs="Times New Roman" w:eastAsia="Times New Roman" w:hAnsi="Times New Roman"/>
                <w:sz w:val="18"/>
                <w:szCs w:val="18"/>
                <w:b w:val="1"/>
                <w:bCs w:val="1"/>
                <w:color w:val="auto"/>
              </w:rPr>
              <w:t>Total hash rate under management</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(EH/s)</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22.4</w:t>
            </w:r>
          </w:p>
        </w:tc>
      </w:tr>
      <w:tr>
        <w:trPr>
          <w:trHeight w:val="216"/>
        </w:trPr>
        <w:tc>
          <w:tcPr>
            <w:tcW w:w="7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Proprietary hash rate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Self-mining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Cloud Hash Rate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Delivered but not hashing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Hosting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7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Mining rigs under management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189,000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179,000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225,000</w:t>
            </w:r>
          </w:p>
        </w:tc>
      </w:tr>
      <w:tr>
        <w:trPr>
          <w:trHeight w:val="257"/>
        </w:trPr>
        <w:tc>
          <w:tcPr>
            <w:tcW w:w="732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8"/>
                <w:szCs w:val="18"/>
                <w:color w:val="auto"/>
              </w:rPr>
              <w:t>- Self-owned</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86,000</w:t>
            </w:r>
          </w:p>
        </w:tc>
      </w:tr>
      <w:tr>
        <w:trPr>
          <w:trHeight w:val="216"/>
        </w:trPr>
        <w:tc>
          <w:tcPr>
            <w:tcW w:w="7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Hosted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139,000</w:t>
            </w:r>
          </w:p>
        </w:tc>
      </w:tr>
      <w:tr>
        <w:trPr>
          <w:trHeight w:val="216"/>
        </w:trPr>
        <w:tc>
          <w:tcPr>
            <w:tcW w:w="7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Bitcoins mined (self-mining only)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w:t>
            </w:r>
          </w:p>
        </w:tc>
      </w:tr>
      <w:tr>
        <w:trPr>
          <w:trHeight w:val="257"/>
        </w:trPr>
        <w:tc>
          <w:tcPr>
            <w:tcW w:w="7320" w:type="dxa"/>
            <w:vAlign w:val="bottom"/>
            <w:gridSpan w:val="2"/>
            <w:shd w:val="clear" w:color="auto" w:fill="CCEEFF"/>
          </w:tcPr>
          <w:p>
            <w:pPr>
              <w:ind w:left="60"/>
              <w:spacing w:after="0" w:line="256" w:lineRule="exact"/>
              <w:rPr>
                <w:sz w:val="20"/>
                <w:szCs w:val="20"/>
                <w:color w:val="auto"/>
              </w:rPr>
            </w:pPr>
            <w:r>
              <w:rPr>
                <w:rFonts w:ascii="Times New Roman" w:cs="Times New Roman" w:eastAsia="Times New Roman" w:hAnsi="Times New Roman"/>
                <w:sz w:val="18"/>
                <w:szCs w:val="18"/>
                <w:b w:val="1"/>
                <w:bCs w:val="1"/>
                <w:color w:val="auto"/>
              </w:rPr>
              <w:t>Bitcoin held</w:t>
            </w:r>
            <w:r>
              <w:rPr>
                <w:rFonts w:ascii="Times New Roman" w:cs="Times New Roman" w:eastAsia="Times New Roman" w:hAnsi="Times New Roman"/>
                <w:sz w:val="29"/>
                <w:szCs w:val="29"/>
                <w:b w:val="1"/>
                <w:bCs w:val="1"/>
                <w:color w:val="auto"/>
                <w:vertAlign w:val="superscript"/>
              </w:rPr>
              <w:t>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w:t>
            </w:r>
          </w:p>
        </w:tc>
      </w:tr>
    </w:tbl>
    <w:p>
      <w:pPr>
        <w:spacing w:after="0" w:line="74"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Total hash rate under management </w:t>
      </w:r>
      <w:r>
        <w:rPr>
          <w:rFonts w:ascii="Times New Roman" w:cs="Times New Roman" w:eastAsia="Times New Roman" w:hAnsi="Times New Roman"/>
          <w:sz w:val="18"/>
          <w:szCs w:val="18"/>
          <w:color w:val="auto"/>
        </w:rPr>
        <w:t>as of May 31, 2025 across the Company’s primary business lines: Self-mining, Cloud Hash Rate, and Hosting.</w:t>
      </w:r>
    </w:p>
    <w:p>
      <w:pPr>
        <w:spacing w:after="0" w:line="220" w:lineRule="exact"/>
        <w:rPr>
          <w:rFonts w:ascii="Times New Roman" w:cs="Times New Roman" w:eastAsia="Times New Roman" w:hAnsi="Times New Roman"/>
          <w:sz w:val="30"/>
          <w:szCs w:val="30"/>
          <w:color w:val="auto"/>
          <w:vertAlign w:val="superscript"/>
        </w:rPr>
      </w:pPr>
    </w:p>
    <w:p>
      <w:pPr>
        <w:ind w:left="660" w:right="40" w:hanging="328"/>
        <w:spacing w:after="0" w:line="263"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Self-mining </w:t>
      </w:r>
      <w:r>
        <w:rPr>
          <w:rFonts w:ascii="Times New Roman" w:cs="Times New Roman" w:eastAsia="Times New Roman" w:hAnsi="Times New Roman"/>
          <w:sz w:val="18"/>
          <w:szCs w:val="18"/>
          <w:color w:val="auto"/>
        </w:rPr>
        <w:t>refers to cryptocurrency mining for the Company’s own account, which allows it to directly capture the high appreciation potential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w:t>
      </w:r>
    </w:p>
    <w:p>
      <w:pPr>
        <w:ind w:left="660" w:right="40" w:hanging="328"/>
        <w:spacing w:after="0" w:line="250"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Hash Rate </w:t>
      </w:r>
      <w:r>
        <w:rPr>
          <w:rFonts w:ascii="Times New Roman" w:cs="Times New Roman" w:eastAsia="Times New Roman" w:hAnsi="Times New Roman"/>
          <w:sz w:val="18"/>
          <w:szCs w:val="18"/>
          <w:color w:val="auto"/>
        </w:rPr>
        <w:t>offers hash rate subscription plans and shares mining income with customers under certain arrangements. The Cloud Hash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above reflects the contracted hash rate with customers at month-end.</w:t>
      </w:r>
    </w:p>
    <w:p>
      <w:pPr>
        <w:ind w:left="660" w:right="340" w:hanging="328"/>
        <w:spacing w:after="0" w:line="260"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Hosting </w:t>
      </w:r>
      <w:r>
        <w:rPr>
          <w:rFonts w:ascii="Times New Roman" w:cs="Times New Roman" w:eastAsia="Times New Roman" w:hAnsi="Times New Roman"/>
          <w:sz w:val="18"/>
          <w:szCs w:val="18"/>
          <w:color w:val="auto"/>
        </w:rPr>
        <w:t>encompasses a one-stop mining machine hosting solution including deployment, maintenance, and management services for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 mining.</w:t>
      </w:r>
    </w:p>
    <w:p>
      <w:pPr>
        <w:spacing w:after="0" w:line="7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Self-owned mining machines </w:t>
      </w:r>
      <w:r>
        <w:rPr>
          <w:rFonts w:ascii="Times New Roman" w:cs="Times New Roman" w:eastAsia="Times New Roman" w:hAnsi="Times New Roman"/>
          <w:sz w:val="18"/>
          <w:szCs w:val="18"/>
          <w:color w:val="auto"/>
        </w:rPr>
        <w:t>are for the Company’s self-mining business and Cloud Hash Rate business.</w:t>
      </w:r>
    </w:p>
    <w:p>
      <w:pPr>
        <w:ind w:left="340" w:hanging="332"/>
        <w:spacing w:after="0" w:line="180" w:lineRule="auto"/>
        <w:tabs>
          <w:tab w:leader="none" w:pos="34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b w:val="1"/>
          <w:bCs w:val="1"/>
          <w:color w:val="auto"/>
        </w:rPr>
        <w:t xml:space="preserve">Bitcoins held </w:t>
      </w:r>
      <w:r>
        <w:rPr>
          <w:rFonts w:ascii="Times New Roman" w:cs="Times New Roman" w:eastAsia="Times New Roman" w:hAnsi="Times New Roman"/>
          <w:sz w:val="15"/>
          <w:szCs w:val="15"/>
          <w:color w:val="auto"/>
        </w:rPr>
        <w:t>do not include the Bitcoins from deposits of the customers.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Infrastructure Construction Update</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Timing</w:t>
            </w:r>
            <w:r>
              <w:rPr>
                <w:rFonts w:ascii="Times New Roman" w:cs="Times New Roman" w:eastAsia="Times New Roman" w:hAnsi="Times New Roman"/>
                <w:sz w:val="29"/>
                <w:szCs w:val="29"/>
                <w:b w:val="1"/>
                <w:bCs w:val="1"/>
                <w:color w:val="auto"/>
                <w:vertAlign w:val="superscript"/>
              </w:rPr>
              <w:t>4</w:t>
            </w:r>
          </w:p>
        </w:tc>
        <w:tc>
          <w:tcPr>
            <w:tcW w:w="0" w:type="dxa"/>
            <w:vAlign w:val="bottom"/>
          </w:tcPr>
          <w:p>
            <w:pPr>
              <w:spacing w:after="0"/>
              <w:rPr>
                <w:sz w:val="1"/>
                <w:szCs w:val="1"/>
                <w:color w:val="auto"/>
              </w:rPr>
            </w:pPr>
          </w:p>
        </w:tc>
      </w:tr>
      <w:tr>
        <w:trPr>
          <w:trHeight w:val="245"/>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Site / Location</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(MW)</w:t>
            </w: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Electrical capacity</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Rockdale, Texas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563</w:t>
            </w:r>
          </w:p>
        </w:tc>
        <w:tc>
          <w:tcPr>
            <w:tcW w:w="1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39"/>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Knoxville, Tennessee</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47"/>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Wenatchee, Washington</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39"/>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Molde, Norway</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47"/>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Tydal, Norway</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39"/>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Gedu, Bhutan</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47"/>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Jigmeling, Bhutan</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1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41"/>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electrical capacity</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1,0985</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Pipeline capacity</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Tydal, Norway Phase 2</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In progress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Q2 2025</w:t>
            </w:r>
          </w:p>
        </w:tc>
        <w:tc>
          <w:tcPr>
            <w:tcW w:w="0" w:type="dxa"/>
            <w:vAlign w:val="bottom"/>
          </w:tcPr>
          <w:p>
            <w:pPr>
              <w:spacing w:after="0"/>
              <w:rPr>
                <w:sz w:val="1"/>
                <w:szCs w:val="1"/>
                <w:color w:val="auto"/>
              </w:rPr>
            </w:pPr>
          </w:p>
        </w:tc>
      </w:tr>
      <w:tr>
        <w:trPr>
          <w:trHeight w:val="247"/>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Massillon, Ohio</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1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 progress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Q3 - Q4 2025</w:t>
            </w:r>
          </w:p>
        </w:tc>
        <w:tc>
          <w:tcPr>
            <w:tcW w:w="0" w:type="dxa"/>
            <w:vAlign w:val="bottom"/>
          </w:tcPr>
          <w:p>
            <w:pPr>
              <w:spacing w:after="0"/>
              <w:rPr>
                <w:sz w:val="1"/>
                <w:szCs w:val="1"/>
                <w:color w:val="auto"/>
              </w:rPr>
            </w:pPr>
          </w:p>
        </w:tc>
      </w:tr>
      <w:tr>
        <w:trPr>
          <w:trHeight w:val="239"/>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Clarington, Ohio Phase 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Paused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TBD</w:t>
            </w:r>
          </w:p>
        </w:tc>
        <w:tc>
          <w:tcPr>
            <w:tcW w:w="0" w:type="dxa"/>
            <w:vAlign w:val="bottom"/>
          </w:tcPr>
          <w:p>
            <w:pPr>
              <w:spacing w:after="0"/>
              <w:rPr>
                <w:sz w:val="1"/>
                <w:szCs w:val="1"/>
                <w:color w:val="auto"/>
              </w:rPr>
            </w:pPr>
          </w:p>
        </w:tc>
      </w:tr>
      <w:tr>
        <w:trPr>
          <w:trHeight w:val="247"/>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Clarington, Ohio Phase 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1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Pending approval</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TBD</w:t>
            </w:r>
          </w:p>
        </w:tc>
        <w:tc>
          <w:tcPr>
            <w:tcW w:w="0" w:type="dxa"/>
            <w:vAlign w:val="bottom"/>
          </w:tcPr>
          <w:p>
            <w:pPr>
              <w:spacing w:after="0"/>
              <w:rPr>
                <w:sz w:val="1"/>
                <w:szCs w:val="1"/>
                <w:color w:val="auto"/>
              </w:rPr>
            </w:pPr>
          </w:p>
        </w:tc>
      </w:tr>
      <w:tr>
        <w:trPr>
          <w:trHeight w:val="239"/>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Jigmeling, Bhutan</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In progress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Q3 2025</w:t>
            </w:r>
          </w:p>
        </w:tc>
        <w:tc>
          <w:tcPr>
            <w:tcW w:w="0" w:type="dxa"/>
            <w:vAlign w:val="bottom"/>
          </w:tcPr>
          <w:p>
            <w:pPr>
              <w:spacing w:after="0"/>
              <w:rPr>
                <w:sz w:val="1"/>
                <w:szCs w:val="1"/>
                <w:color w:val="auto"/>
              </w:rPr>
            </w:pPr>
          </w:p>
        </w:tc>
      </w:tr>
      <w:tr>
        <w:trPr>
          <w:trHeight w:val="247"/>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Rockdale, Texas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1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planning</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Estimate 2026</w:t>
            </w:r>
          </w:p>
        </w:tc>
        <w:tc>
          <w:tcPr>
            <w:tcW w:w="0" w:type="dxa"/>
            <w:vAlign w:val="bottom"/>
          </w:tcPr>
          <w:p>
            <w:pPr>
              <w:spacing w:after="0"/>
              <w:rPr>
                <w:sz w:val="1"/>
                <w:szCs w:val="1"/>
                <w:color w:val="auto"/>
              </w:rPr>
            </w:pPr>
          </w:p>
        </w:tc>
      </w:tr>
      <w:tr>
        <w:trPr>
          <w:trHeight w:val="239"/>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Alberta, Canada</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planning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Q4 2026</w:t>
            </w:r>
          </w:p>
        </w:tc>
        <w:tc>
          <w:tcPr>
            <w:tcW w:w="0" w:type="dxa"/>
            <w:vAlign w:val="bottom"/>
          </w:tcPr>
          <w:p>
            <w:pPr>
              <w:spacing w:after="0"/>
              <w:rPr>
                <w:sz w:val="1"/>
                <w:szCs w:val="1"/>
                <w:color w:val="auto"/>
              </w:rPr>
            </w:pPr>
          </w:p>
        </w:tc>
      </w:tr>
      <w:tr>
        <w:trPr>
          <w:trHeight w:val="247"/>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Oromia Region, Ethiopia</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planning</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Q4 2025</w:t>
            </w:r>
          </w:p>
        </w:tc>
        <w:tc>
          <w:tcPr>
            <w:tcW w:w="0" w:type="dxa"/>
            <w:vAlign w:val="bottom"/>
          </w:tcPr>
          <w:p>
            <w:pPr>
              <w:spacing w:after="0"/>
              <w:rPr>
                <w:sz w:val="1"/>
                <w:szCs w:val="1"/>
                <w:color w:val="auto"/>
              </w:rPr>
            </w:pPr>
          </w:p>
        </w:tc>
      </w:tr>
      <w:tr>
        <w:trPr>
          <w:trHeight w:val="241"/>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pipeline capacity</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1,592</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global electrical capacity</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2,690</w:t>
            </w: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Indicative timing. All timing references are to calendar quarters and years.</w:t>
      </w:r>
    </w:p>
    <w:p>
      <w:pPr>
        <w:ind w:left="340" w:hanging="332"/>
        <w:spacing w:after="0" w:line="180" w:lineRule="auto"/>
        <w:tabs>
          <w:tab w:leader="none" w:pos="3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Figures represent total available electrical capacity.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Rockdale, Texas </w:t>
      </w:r>
      <w:r>
        <w:rPr>
          <w:rFonts w:ascii="Times New Roman" w:cs="Times New Roman" w:eastAsia="Times New Roman" w:hAnsi="Times New Roman"/>
          <w:sz w:val="18"/>
          <w:szCs w:val="18"/>
          <w:i w:val="1"/>
          <w:iCs w:val="1"/>
          <w:color w:val="auto"/>
        </w:rPr>
        <w:t>– 100 MW Hydro-cooling conversion energization commenced:</w:t>
      </w:r>
    </w:p>
    <w:p>
      <w:pPr>
        <w:spacing w:after="0" w:line="3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cooling systems were delivered and installed.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Energization in accordance with the phased of delivery of mining rigs.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Tydal, Norway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175 MW site expansion has commenced energization and is expected to be fully energized by end of Q2 2025:</w:t>
      </w:r>
    </w:p>
    <w:p>
      <w:pPr>
        <w:spacing w:after="0" w:line="3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MW are online.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105 MW is expected to be energized in phases by end of June 2025.</w:t>
      </w:r>
    </w:p>
    <w:p>
      <w:pPr>
        <w:spacing w:after="0" w:line="9"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transformer installation has been completed, and the delivery and installation of other electrical equipment are underway, expected to be completed by the end of June 2025. All hydro cooling systems have been delivered, and installation is also expected to be completed by the end of June 2025. Construction of the water supply and drainage system is ongoing, with an expected completion date of the end of June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Massillon, Ohio </w:t>
      </w:r>
      <w:r>
        <w:rPr>
          <w:rFonts w:ascii="Times New Roman" w:cs="Times New Roman" w:eastAsia="Times New Roman" w:hAnsi="Times New Roman"/>
          <w:sz w:val="18"/>
          <w:szCs w:val="18"/>
          <w:i w:val="1"/>
          <w:iCs w:val="1"/>
          <w:color w:val="auto"/>
        </w:rPr>
        <w:t>– 221 MW site on track for completion in H2 2025:</w:t>
      </w:r>
    </w:p>
    <w:p>
      <w:pPr>
        <w:spacing w:after="0" w:line="3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Substation construction is underway and is expected to be completed in Q3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construction is ongoing and is expected to be completed in phases from Q3 to Q4 2025.</w:t>
      </w:r>
    </w:p>
    <w:p>
      <w:pPr>
        <w:spacing w:after="0" w:line="203"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Clarington, Ohio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Paused Bitcoin mining related construction at 570 MW Clarington, Ohio site (both Phase 1 and 2) as a result of advancing HPC/AI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discussions.</w:t>
      </w:r>
    </w:p>
    <w:p>
      <w:pPr>
        <w:spacing w:after="0" w:line="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full optionality to reassess and resume the build-out for Bitcoin mining at a later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Jigmeling, Bhutan </w:t>
      </w:r>
      <w:r>
        <w:rPr>
          <w:rFonts w:ascii="Times New Roman" w:cs="Times New Roman" w:eastAsia="Times New Roman" w:hAnsi="Times New Roman"/>
          <w:sz w:val="18"/>
          <w:szCs w:val="18"/>
          <w:i w:val="1"/>
          <w:iCs w:val="1"/>
          <w:color w:val="auto"/>
        </w:rPr>
        <w:t>– 500 MW site has commenced energization and is expected to be fully energized in phases by end of Q3 2025:</w:t>
      </w:r>
    </w:p>
    <w:p>
      <w:pPr>
        <w:spacing w:after="0" w:line="3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 MW are online.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368 MW is expected to be energized in phases from June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132kV transformers have been energized and five 220kV transformers are expected to be ready for energization in June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containers and hydro-cooling systems are in progress and is expected to be completed in phases by the end of August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Fox Creek, Alberta </w:t>
      </w:r>
      <w:r>
        <w:rPr>
          <w:rFonts w:ascii="Times New Roman" w:cs="Times New Roman" w:eastAsia="Times New Roman" w:hAnsi="Times New Roman"/>
          <w:sz w:val="18"/>
          <w:szCs w:val="18"/>
          <w:i w:val="1"/>
          <w:iCs w:val="1"/>
          <w:color w:val="auto"/>
        </w:rPr>
        <w:t>– 101 MW site acquired in Alberta, sitting on 19 acres, is fully licensed and permitted:</w:t>
      </w:r>
    </w:p>
    <w:p>
      <w:pPr>
        <w:spacing w:after="0" w:line="31" w:lineRule="exact"/>
        <w:rPr>
          <w:sz w:val="20"/>
          <w:szCs w:val="20"/>
          <w:color w:val="auto"/>
        </w:rPr>
      </w:pPr>
    </w:p>
    <w:p>
      <w:pPr>
        <w:ind w:left="660" w:right="2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includes all permits and licenses to construct an on-site natural gas power plant, as well as approval for a 99 MW grid interconnection with Alberta Electric System Operator (“AESO”).</w:t>
      </w:r>
    </w:p>
    <w:p>
      <w:pPr>
        <w:ind w:left="660" w:hanging="328"/>
        <w:spacing w:after="0" w:line="26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will develop and construct the power plant in partnership with a leading engineering, procurement and construction (“EPC”) company and is expected to be energized by Q4 2026.</w:t>
      </w:r>
    </w:p>
    <w:p>
      <w:pPr>
        <w:spacing w:after="0" w:line="177"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Oromia Region, Ethiopia </w:t>
      </w:r>
      <w:r>
        <w:rPr>
          <w:rFonts w:ascii="Times New Roman" w:cs="Times New Roman" w:eastAsia="Times New Roman" w:hAnsi="Times New Roman"/>
          <w:sz w:val="18"/>
          <w:szCs w:val="18"/>
          <w:i w:val="1"/>
          <w:iCs w:val="1"/>
          <w:color w:val="auto"/>
        </w:rPr>
        <w:t>– Signed an SPA and a turnkey agreement for the acquisition and construction of a 50 MW Bitcoin mining project in Ethiopia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for US$7.5 million:</w:t>
      </w:r>
    </w:p>
    <w:p>
      <w:pPr>
        <w:spacing w:after="0" w:line="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includes local Ethiopian company with a mining permit, connected to a neighboring transmission substation at 33kV interconnection.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local Ethiopian company has signed a Power Purchase Agreement (PPA) with Ethiopian Electric Power Company for a duration of 4 years at an electricity price of approximately US$0.036/ kWh.</w:t>
      </w:r>
    </w:p>
    <w:p>
      <w:pPr>
        <w:ind w:left="660" w:right="62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is working closely with an EPC contractor with specialized experience in Bitcoin mining and this mining project is expected to be energized in Q4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3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June 24 – 26, 2025: </w:t>
      </w:r>
      <w:r>
        <w:rPr>
          <w:rFonts w:ascii="Times New Roman" w:cs="Times New Roman" w:eastAsia="Times New Roman" w:hAnsi="Times New Roman"/>
          <w:sz w:val="18"/>
          <w:szCs w:val="18"/>
          <w:color w:val="auto"/>
        </w:rPr>
        <w:t>Roth 15th Annual Conference in London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June 25, 2025: </w:t>
      </w:r>
      <w:r>
        <w:rPr>
          <w:rFonts w:ascii="Times New Roman" w:cs="Times New Roman" w:eastAsia="Times New Roman" w:hAnsi="Times New Roman"/>
          <w:sz w:val="18"/>
          <w:szCs w:val="18"/>
          <w:color w:val="auto"/>
        </w:rPr>
        <w:t>Northland Virtual Growth Conference 2025</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Bitdeer is committed to providing comprehensive Bitcoin mining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 To learn more, visit https://ir.bitdeer.com/ or follow Bitdeer on X @ BitdeerOfficial and LinkedIn @ Bitdeer Group.</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bitdeerIR@orangegroupadvisors.com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o"/>
      <w:numFmt w:val="bullet"/>
      <w:start w:val="1"/>
    </w:lvl>
  </w:abstractNum>
  <w:abstractNum w:abstractNumId="3">
    <w:nsid w:val="4DB127F8"/>
    <w:multiLevelType w:val="hybridMultilevel"/>
    <w:lvl w:ilvl="0">
      <w:lvlJc w:val="left"/>
      <w:lvlText w:val="1"/>
      <w:numFmt w:val="bullet"/>
      <w:start w:val="1"/>
    </w:lvl>
    <w:lvl w:ilvl="1">
      <w:lvlJc w:val="left"/>
      <w:lvlText w:val="●"/>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4"/>
      <w:numFmt w:val="bullet"/>
      <w:start w:val="1"/>
    </w:lvl>
  </w:abstractNum>
  <w:abstractNum w:abstractNumId="7">
    <w:nsid w:val="66EF438D"/>
    <w:multiLevelType w:val="hybridMultilevel"/>
    <w:lvl w:ilvl="0">
      <w:lvlJc w:val="left"/>
      <w:lvlText w:val="5"/>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2025-06-12T07:06:06Z</dcterms:created>
  <dcterms:modified xsi:type="dcterms:W3CDTF">2025-06-12T07:06:06Z</dcterms:modified>
</cp:coreProperties>
</file>