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70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704840"/>
                    </a:xfrm>
                    <a:prstGeom prst="rect">
                      <a:avLst/>
                    </a:prstGeom>
                    <a:noFill/>
                  </pic:spPr>
                </pic:pic>
              </a:graphicData>
            </a:graphic>
          </wp:anchor>
        </w:drawing>
      </w:r>
    </w:p>
    <w:p>
      <w:pPr>
        <w:sectPr>
          <w:pgSz w:w="11900" w:h="16838" w:orient="portrait"/>
          <w:cols w:equalWidth="0" w:num="1">
            <w:col w:w="10940"/>
          </w:cols>
          <w:pgMar w:left="480" w:top="230" w:right="479" w:bottom="55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Naas Lars Eivind Haugnes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560" w:type="dxa"/>
            <w:vAlign w:val="bottom"/>
            <w:tcBorders>
              <w:top w:val="single" w:sz="8" w:color="0000EE"/>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Bitdeer Technologies Group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BTDR</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55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17"/>
        <w:spacing w:after="0" w:line="275" w:lineRule="auto"/>
        <w:rPr>
          <w:sz w:val="20"/>
          <w:szCs w:val="20"/>
          <w:color w:val="auto"/>
        </w:rPr>
      </w:pPr>
      <w:r>
        <w:rPr>
          <w:rFonts w:ascii="Times New Roman" w:cs="Times New Roman" w:eastAsia="Times New Roman" w:hAnsi="Times New Roman"/>
          <w:sz w:val="20"/>
          <w:szCs w:val="20"/>
          <w:color w:val="0000FF"/>
        </w:rPr>
        <w:t>C/O BITDEER TECHNOLOGIES GROUP</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08 KALLANG AVE, APERIA</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TOWER 1 #09-03/04</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17"/>
                <w:szCs w:val="17"/>
                <w:color w:val="auto"/>
              </w:rPr>
            </w:pP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SINGAPORE U0</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339509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55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020" w:type="dxa"/>
            <w:vAlign w:val="bottom"/>
          </w:tcPr>
          <w:p>
            <w:pPr>
              <w:jc w:val="center"/>
              <w:ind w:left="1042"/>
              <w:spacing w:after="0"/>
              <w:rPr>
                <w:sz w:val="20"/>
                <w:szCs w:val="20"/>
                <w:color w:val="auto"/>
              </w:rPr>
            </w:pPr>
            <w:r>
              <w:rPr>
                <w:rFonts w:ascii="Times New Roman" w:cs="Times New Roman" w:eastAsia="Times New Roman" w:hAnsi="Times New Roman"/>
                <w:sz w:val="20"/>
                <w:szCs w:val="20"/>
                <w:color w:val="0000FF"/>
                <w:w w:val="98"/>
              </w:rPr>
              <w:t>738,315</w:t>
            </w:r>
          </w:p>
        </w:tc>
        <w:tc>
          <w:tcPr>
            <w:tcW w:w="1060" w:type="dxa"/>
            <w:vAlign w:val="bottom"/>
          </w:tcPr>
          <w:p>
            <w:pPr>
              <w:jc w:val="center"/>
              <w:ind w:left="22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72"/>
        </w:trPr>
        <w:tc>
          <w:tcPr>
            <w:tcW w:w="20" w:type="dxa"/>
            <w:vAlign w:val="bottom"/>
          </w:tcPr>
          <w:p>
            <w:pPr>
              <w:spacing w:after="0"/>
              <w:rPr>
                <w:sz w:val="6"/>
                <w:szCs w:val="6"/>
                <w:color w:val="auto"/>
              </w:rPr>
            </w:pPr>
          </w:p>
        </w:tc>
        <w:tc>
          <w:tcPr>
            <w:tcW w:w="376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370"/>
        </w:trPr>
        <w:tc>
          <w:tcPr>
            <w:tcW w:w="20" w:type="dxa"/>
            <w:vAlign w:val="bottom"/>
          </w:tcPr>
          <w:p>
            <w:pPr>
              <w:spacing w:after="0"/>
              <w:rPr>
                <w:sz w:val="24"/>
                <w:szCs w:val="24"/>
                <w:color w:val="auto"/>
              </w:rPr>
            </w:pPr>
          </w:p>
        </w:tc>
        <w:tc>
          <w:tcPr>
            <w:tcW w:w="3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020" w:type="dxa"/>
            <w:vAlign w:val="bottom"/>
            <w:tcBorders>
              <w:bottom w:val="single" w:sz="8" w:color="2C2C2C"/>
            </w:tcBorders>
          </w:tcPr>
          <w:p>
            <w:pPr>
              <w:jc w:val="center"/>
              <w:ind w:left="1042"/>
              <w:spacing w:after="0"/>
              <w:rPr>
                <w:sz w:val="20"/>
                <w:szCs w:val="20"/>
                <w:color w:val="auto"/>
              </w:rPr>
            </w:pPr>
            <w:r>
              <w:rPr>
                <w:rFonts w:ascii="Times New Roman" w:cs="Times New Roman" w:eastAsia="Times New Roman" w:hAnsi="Times New Roman"/>
                <w:sz w:val="20"/>
                <w:szCs w:val="20"/>
                <w:color w:val="0000FF"/>
                <w:w w:val="98"/>
              </w:rPr>
              <w:t>323,276</w:t>
            </w:r>
          </w:p>
        </w:tc>
        <w:tc>
          <w:tcPr>
            <w:tcW w:w="1060" w:type="dxa"/>
            <w:vAlign w:val="bottom"/>
            <w:tcBorders>
              <w:bottom w:val="single" w:sz="8" w:color="2C2C2C"/>
            </w:tcBorders>
          </w:tcPr>
          <w:p>
            <w:pPr>
              <w:jc w:val="center"/>
              <w:ind w:left="22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020" w:type="dxa"/>
            <w:vAlign w:val="bottom"/>
            <w:tcBorders>
              <w:bottom w:val="single" w:sz="8" w:color="2C2C2C"/>
            </w:tcBorders>
          </w:tcPr>
          <w:p>
            <w:pPr>
              <w:jc w:val="center"/>
              <w:ind w:left="1042"/>
              <w:spacing w:after="0"/>
              <w:rPr>
                <w:sz w:val="20"/>
                <w:szCs w:val="20"/>
                <w:color w:val="auto"/>
              </w:rPr>
            </w:pPr>
            <w:r>
              <w:rPr>
                <w:rFonts w:ascii="Times New Roman" w:cs="Times New Roman" w:eastAsia="Times New Roman" w:hAnsi="Times New Roman"/>
                <w:sz w:val="20"/>
                <w:szCs w:val="20"/>
                <w:color w:val="0000FF"/>
                <w:w w:val="94"/>
              </w:rPr>
              <w:t>70,000</w:t>
            </w:r>
          </w:p>
        </w:tc>
        <w:tc>
          <w:tcPr>
            <w:tcW w:w="1060" w:type="dxa"/>
            <w:vAlign w:val="bottom"/>
            <w:tcBorders>
              <w:bottom w:val="single" w:sz="8" w:color="2C2C2C"/>
            </w:tcBorders>
          </w:tcPr>
          <w:p>
            <w:pPr>
              <w:jc w:val="center"/>
              <w:ind w:left="22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760" w:type="dxa"/>
            <w:vAlign w:val="bottom"/>
            <w:tcBorders>
              <w:top w:val="single" w:sz="8" w:color="808080"/>
            </w:tcBorders>
            <w:shd w:val="clear" w:color="auto" w:fill="2C2C2C"/>
          </w:tcPr>
          <w:p>
            <w:pPr>
              <w:spacing w:after="0" w:line="20" w:lineRule="exact"/>
              <w:rPr>
                <w:sz w:val="1"/>
                <w:szCs w:val="1"/>
                <w:color w:val="auto"/>
              </w:rPr>
            </w:pPr>
          </w:p>
        </w:tc>
        <w:tc>
          <w:tcPr>
            <w:tcW w:w="302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30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0000FF"/>
              </w:rPr>
              <w:t>01/01/2035</w:t>
            </w:r>
          </w:p>
        </w:tc>
        <w:tc>
          <w:tcPr>
            <w:tcW w:w="17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Class A Ordinary</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50,000</w:t>
            </w:r>
          </w:p>
        </w:tc>
        <w:tc>
          <w:tcPr>
            <w:tcW w:w="98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21.67</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ind w:left="680"/>
              <w:spacing w:after="0"/>
              <w:rPr>
                <w:sz w:val="20"/>
                <w:szCs w:val="20"/>
                <w:color w:val="auto"/>
              </w:rPr>
            </w:pPr>
            <w:r>
              <w:rPr>
                <w:rFonts w:ascii="Times New Roman" w:cs="Times New Roman" w:eastAsia="Times New Roman" w:hAnsi="Times New Roman"/>
                <w:sz w:val="20"/>
                <w:szCs w:val="20"/>
                <w:color w:val="0000FF"/>
              </w:rPr>
              <w:t>Shares</w:t>
            </w: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6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directly by Renol Invest AS. LEHN Invest 2 AS, an entity wholly owned by the Reporting Person, holds a 28.33% ownership interest in Renol Invest AS. The Reporting Person serves as the Chairman of the board of directors of Renol Invest AS and shares voting and dispositive power over the shares held by Renol Invest AS with the other directors. Pursuant to Rule 16a-1(a)(4) under the Securities Exchange Act of 1934, as amended, the Reporting Person disclaims beneficial ownership of these securities except to the extent of his pecuniary interest therein.</w:t>
      </w:r>
    </w:p>
    <w:p>
      <w:pPr>
        <w:spacing w:after="0" w:line="33" w:lineRule="exact"/>
        <w:rPr>
          <w:rFonts w:ascii="Times New Roman" w:cs="Times New Roman" w:eastAsia="Times New Roman" w:hAnsi="Times New Roman"/>
          <w:sz w:val="15"/>
          <w:szCs w:val="15"/>
          <w:color w:val="008000"/>
        </w:rPr>
      </w:pPr>
    </w:p>
    <w:p>
      <w:pPr>
        <w:ind w:left="40" w:right="2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directly by LEHN Invest 2 AS. The Reporting Person is the sole shareholder and sole director of LEHN Invest 2 AS, and has sole voting and dispositive power over the shares held by LEHN Invest 2 AS.</w:t>
      </w:r>
    </w:p>
    <w:p>
      <w:pPr>
        <w:spacing w:after="0" w:line="17" w:lineRule="exact"/>
        <w:rPr>
          <w:rFonts w:ascii="Times New Roman" w:cs="Times New Roman" w:eastAsia="Times New Roman" w:hAnsi="Times New Roman"/>
          <w:sz w:val="15"/>
          <w:szCs w:val="15"/>
          <w:color w:val="008000"/>
        </w:rPr>
      </w:pPr>
    </w:p>
    <w:p>
      <w:pPr>
        <w:ind w:left="40" w:right="1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20% of the total shares subject to the option have become vested and exercisable on January 1, 2026, and remaining shares subject to the option shall become vested annually in equal installments of 20% on January 1st of each of the four subsequent years, subject to the Reporting Person's continued service with the Issuer on each such vesting date.</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Lars Eivind Haugnes</w:t>
            </w:r>
          </w:p>
        </w:tc>
        <w:tc>
          <w:tcPr>
            <w:tcW w:w="3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03/31/2026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Naas</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55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2132" TargetMode="External"/><Relationship Id="rId11" Type="http://schemas.openxmlformats.org/officeDocument/2006/relationships/hyperlink" Target="http://www.sec.gov/cgi-bin/browse-edgar?action=getcompany&amp;CIK=00018991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2026-03-31T06:42:30Z</dcterms:created>
  <dcterms:modified xsi:type="dcterms:W3CDTF">2026-03-31T06:42:30Z</dcterms:modified>
</cp:coreProperties>
</file>