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53320-6k_bitdeer.htm"/>
      <w:bookmarkStart w:id="1" w:name="ksea0253320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This report on Form 6-K is hereby incorporated by reference in the registration statements of Bitdeer Technologies Group on Form F-3 (No. </w:t>
      </w:r>
      <w:hyperlink r:id="rId2">
        <w:r>
          <w:rPr>
            <w:rStyle w:val="InternetLink"/>
            <w:rFonts w:ascii="Times New Roman;Times;Serif" w:hAnsi="Times New Roman;Times;Serif"/>
            <w:b w:val="false"/>
            <w:i w:val="false"/>
            <w:caps w:val="false"/>
            <w:smallCaps w:val="false"/>
            <w:sz w:val="20"/>
          </w:rPr>
          <w:t>333-273905</w:t>
        </w:r>
      </w:hyperlink>
      <w:r>
        <w:rPr>
          <w:rFonts w:ascii="Times New Roman;Times;Serif" w:hAnsi="Times New Roman;Times;Serif"/>
          <w:b w:val="false"/>
          <w:i w:val="false"/>
          <w:caps w:val="false"/>
          <w:smallCaps w:val="false"/>
          <w:sz w:val="20"/>
        </w:rPr>
        <w:t>, No. </w:t>
      </w:r>
      <w:hyperlink r:id="rId3">
        <w:r>
          <w:rPr>
            <w:rStyle w:val="InternetLink"/>
            <w:rFonts w:ascii="Times New Roman;Times;Serif" w:hAnsi="Times New Roman;Times;Serif"/>
            <w:b w:val="false"/>
            <w:i w:val="false"/>
            <w:caps w:val="false"/>
            <w:smallCaps w:val="false"/>
            <w:sz w:val="20"/>
          </w:rPr>
          <w:t>333-278027</w:t>
        </w:r>
      </w:hyperlink>
      <w:r>
        <w:rPr>
          <w:rFonts w:ascii="Times New Roman;Times;Serif" w:hAnsi="Times New Roman;Times;Serif"/>
          <w:b w:val="false"/>
          <w:i w:val="false"/>
          <w:caps w:val="false"/>
          <w:smallCaps w:val="false"/>
          <w:sz w:val="20"/>
        </w:rPr>
        <w:t>, No. </w:t>
      </w:r>
      <w:hyperlink r:id="rId4">
        <w:r>
          <w:rPr>
            <w:rStyle w:val="InternetLink"/>
            <w:rFonts w:ascii="Times New Roman;Times;Serif" w:hAnsi="Times New Roman;Times;Serif"/>
            <w:b w:val="false"/>
            <w:i w:val="false"/>
            <w:caps w:val="false"/>
            <w:smallCaps w:val="false"/>
            <w:sz w:val="20"/>
          </w:rPr>
          <w:t>333-278029</w:t>
        </w:r>
      </w:hyperlink>
      <w:r>
        <w:rPr>
          <w:rFonts w:ascii="Times New Roman;Times;Serif" w:hAnsi="Times New Roman;Times;Serif"/>
          <w:b w:val="false"/>
          <w:i w:val="false"/>
          <w:caps w:val="false"/>
          <w:smallCaps w:val="false"/>
          <w:sz w:val="20"/>
        </w:rPr>
        <w:t>, No. </w:t>
      </w:r>
      <w:hyperlink r:id="rId5">
        <w:r>
          <w:rPr>
            <w:rStyle w:val="InternetLink"/>
            <w:rFonts w:ascii="Times New Roman;Times;Serif" w:hAnsi="Times New Roman;Times;Serif"/>
            <w:b w:val="false"/>
            <w:i w:val="false"/>
            <w:caps w:val="false"/>
            <w:smallCaps w:val="false"/>
            <w:sz w:val="20"/>
          </w:rPr>
          <w:t>333-280041</w:t>
        </w:r>
      </w:hyperlink>
      <w:r>
        <w:rPr>
          <w:rFonts w:ascii="Times New Roman;Times;Serif" w:hAnsi="Times New Roman;Times;Serif"/>
          <w:b w:val="false"/>
          <w:i w:val="false"/>
          <w:caps w:val="false"/>
          <w:smallCaps w:val="false"/>
          <w:sz w:val="20"/>
        </w:rPr>
        <w:t xml:space="preserve"> and No. </w:t>
      </w:r>
      <w:hyperlink r:id="rId6">
        <w:r>
          <w:rPr>
            <w:rStyle w:val="InternetLink"/>
            <w:rFonts w:ascii="Times New Roman;Times;Serif" w:hAnsi="Times New Roman;Times;Serif"/>
            <w:b w:val="false"/>
            <w:i w:val="false"/>
            <w:caps w:val="false"/>
            <w:smallCaps w:val="false"/>
            <w:sz w:val="20"/>
          </w:rPr>
          <w:t>333-283732</w:t>
        </w:r>
      </w:hyperlink>
      <w:r>
        <w:rPr>
          <w:rFonts w:ascii="Times New Roman;Times;Serif" w:hAnsi="Times New Roman;Times;Serif"/>
          <w:b w:val="false"/>
          <w:i w:val="false"/>
          <w:caps w:val="false"/>
          <w:smallCaps w:val="false"/>
          <w:sz w:val="20"/>
        </w:rPr>
        <w:t xml:space="preserve">) and Form S-8 (No. </w:t>
      </w:r>
      <w:hyperlink r:id="rId7">
        <w:r>
          <w:rPr>
            <w:rStyle w:val="InternetLink"/>
            <w:rFonts w:ascii="Times New Roman;Times;Serif" w:hAnsi="Times New Roman;Times;Serif"/>
            <w:b w:val="false"/>
            <w:i w:val="false"/>
            <w:caps w:val="false"/>
            <w:smallCaps w:val="false"/>
            <w:sz w:val="20"/>
          </w:rPr>
          <w:t>333-272858</w:t>
        </w:r>
      </w:hyperlink>
      <w:r>
        <w:rPr>
          <w:rFonts w:ascii="Times New Roman;Times;Serif" w:hAnsi="Times New Roman;Times;Serif"/>
          <w:b w:val="false"/>
          <w:i w:val="false"/>
          <w:caps w:val="false"/>
          <w:smallCaps w:val="false"/>
          <w:sz w:val="20"/>
        </w:rPr>
        <w:t xml:space="preserve"> and No. </w:t>
      </w:r>
      <w:hyperlink r:id="rId8">
        <w:r>
          <w:rPr>
            <w:rStyle w:val="InternetLink"/>
            <w:rFonts w:ascii="Times New Roman;Times;Serif" w:hAnsi="Times New Roman;Times;Serif"/>
            <w:b w:val="false"/>
            <w:i w:val="false"/>
            <w:caps w:val="false"/>
            <w:smallCaps w:val="false"/>
            <w:sz w:val="20"/>
          </w:rPr>
          <w:t>333-275342</w:t>
        </w:r>
      </w:hyperlink>
      <w:r>
        <w:rPr>
          <w:rFonts w:ascii="Times New Roman;Times;Serif" w:hAnsi="Times New Roman;Times;Serif"/>
          <w:b w:val="false"/>
          <w:i w:val="false"/>
          <w:caps w:val="false"/>
          <w:smallCaps w:val="false"/>
          <w:sz w:val="20"/>
        </w:rPr>
        <w:t>),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8530" w:type="dxa"/>
        <w:jc w:val="left"/>
        <w:tblInd w:w="0" w:type="dxa"/>
        <w:tblLayout w:type="fixed"/>
        <w:tblCellMar>
          <w:top w:w="0" w:type="dxa"/>
          <w:left w:w="0" w:type="dxa"/>
          <w:bottom w:w="28" w:type="dxa"/>
          <w:right w:w="0" w:type="dxa"/>
        </w:tblCellMar>
      </w:tblPr>
      <w:tblGrid>
        <w:gridCol w:w="995"/>
        <w:gridCol w:w="60"/>
        <w:gridCol w:w="7475"/>
      </w:tblGrid>
      <w:tr>
        <w:trPr/>
        <w:tc>
          <w:tcPr>
            <w:tcW w:w="99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47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75" w:type="dxa"/>
            <w:tcBorders/>
            <w:shd w:fill="CCEEFF" w:val="clear"/>
            <w:tcMar>
              <w:bottom w:w="0" w:type="dxa"/>
            </w:tcMar>
            <w:vAlign w:val="center"/>
          </w:tcPr>
          <w:p>
            <w:pPr>
              <w:pStyle w:val="TableContents"/>
              <w:bidi w:val="0"/>
              <w:spacing w:before="0" w:after="283"/>
              <w:jc w:val="left"/>
              <w:rPr/>
            </w:pPr>
            <w:hyperlink w:anchor="ea025332001ex99-1_bitdeer.htm">
              <w:r>
                <w:rPr>
                  <w:rStyle w:val="InternetLink"/>
                  <w:sz w:val="20"/>
                </w:rPr>
                <w:t>Press Release – Bitdeer Reports Unaudited Financial Results for the Second Quarter of 2025</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Jihan Wu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Jihan Wu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5332001ex99-1_bitdeer.htm"/>
      <w:bookmarkStart w:id="3" w:name="ksea025332001ex991_bitdeer"/>
      <w:bookmarkEnd w:id="2"/>
      <w:bookmarkEnd w:id="3"/>
      <w:r>
        <w:rPr>
          <w:b/>
        </w:rPr>
        <w:t>Exhibit 99.1</w:t>
      </w:r>
      <w:r>
        <w:br w:type="page"/>
      </w:r>
    </w:p>
    <w:p>
      <w:pPr>
        <w:pStyle w:val="TextBody"/>
        <w:bidi w:val="0"/>
        <w:jc w:val="center"/>
        <w:rPr/>
      </w:pPr>
      <w:r>
        <w:rPr/>
        <w:t> </w:t>
      </w:r>
    </w:p>
    <w:p>
      <w:pPr>
        <w:pStyle w:val="TextBody"/>
        <w:bidi w:val="0"/>
        <w:spacing w:before="0" w:after="0"/>
        <w:jc w:val="center"/>
        <w:rPr>
          <w:caps w:val="false"/>
          <w:smallCaps w:val="false"/>
        </w:rPr>
      </w:pPr>
      <w:r>
        <w:rPr>
          <w:caps w:val="false"/>
          <w:smallCaps w:val="false"/>
        </w:rPr>
        <w:drawing>
          <wp:inline distT="0" distB="0" distL="0" distR="0">
            <wp:extent cx="18383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838325" cy="3714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Reports Unaudited Financial Results for the Second Quarter of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Q2 revenue of $155.6 million up 56.8% year-over-year and 121.9% sequentially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$69.5 million revenue from external sale of SEALMINER A2s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 track to achieve 40 EH/s of self-mining by end of October and exceed 40 EH/s by year-end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Entered into advanced negotiations with a development partner regarding Clarington, Ohio site for HPC/AI.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August 18, 2025 (GLOBE NEWSWIRE) -- </w:t>
      </w:r>
      <w:r>
        <w:rPr>
          <w:rFonts w:ascii="Times New Roman;Times;Serif" w:hAnsi="Times New Roman;Times;Serif"/>
          <w:b w:val="false"/>
          <w:i w:val="false"/>
          <w:caps w:val="false"/>
          <w:smallCaps w:val="false"/>
          <w:sz w:val="20"/>
        </w:rPr>
        <w:t>Bitdeer Technologies Group (NASDAQ: BTDR) (“</w:t>
      </w:r>
      <w:r>
        <w:rPr>
          <w:rFonts w:ascii="Times New Roman;Times;Serif" w:hAnsi="Times New Roman;Times;Serif"/>
          <w:b/>
          <w:i w:val="false"/>
          <w:caps w:val="false"/>
          <w:smallCaps w:val="false"/>
          <w:sz w:val="20"/>
        </w:rPr>
        <w:t>Bitdeer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world-leading technology company for Bitcoin mining, today released its unaudited financial results for the second quarter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compared to Q2 2024 unless otherwise noted</w:t>
      </w:r>
    </w:p>
    <w:p>
      <w:pPr>
        <w:pStyle w:val="TextBody"/>
        <w:bidi w:val="0"/>
        <w:spacing w:before="0" w:after="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Total revenue</w:t>
            </w:r>
            <w:r>
              <w:rPr>
                <w:rFonts w:ascii="Times New Roman;Times;Serif" w:hAnsi="Times New Roman;Times;Serif"/>
              </w:rPr>
              <w:t xml:space="preserve"> was US$155.6 million vs. US$99.2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pPr>
            <w:r>
              <w:rPr/>
              <w:t> </w:t>
            </w:r>
          </w:p>
        </w:tc>
      </w:tr>
    </w:tbl>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Cost of revenue </w:t>
            </w:r>
            <w:r>
              <w:rPr>
                <w:rFonts w:ascii="Times New Roman;Times;Serif" w:hAnsi="Times New Roman;Times;Serif"/>
              </w:rPr>
              <w:t>was US$142.8 million vs. US$74.8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left"/>
              <w:rPr/>
            </w:pPr>
            <w:r>
              <w:rPr/>
              <w:t> </w:t>
            </w:r>
          </w:p>
        </w:tc>
      </w:tr>
    </w:tbl>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Gross profit</w:t>
            </w:r>
            <w:r>
              <w:rPr>
                <w:rFonts w:ascii="Times New Roman;Times;Serif" w:hAnsi="Times New Roman;Times;Serif"/>
              </w:rPr>
              <w:t xml:space="preserve"> was US$12.8 million vs. US$24.4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left"/>
              <w:rPr/>
            </w:pPr>
            <w:r>
              <w:rPr/>
              <w:t> </w:t>
            </w:r>
          </w:p>
        </w:tc>
      </w:tr>
    </w:tbl>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Net loss</w:t>
            </w:r>
            <w:r>
              <w:rPr>
                <w:rFonts w:ascii="Times New Roman;Times;Serif" w:hAnsi="Times New Roman;Times;Serif"/>
              </w:rPr>
              <w:t xml:space="preserve"> was US$147.7 million vs. US$17.7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bl>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Adjusted EBITDA</w:t>
            </w:r>
            <w:r>
              <w:rPr>
                <w:rFonts w:ascii="Times New Roman;Times;Serif" w:hAnsi="Times New Roman;Times;Serif"/>
                <w:b/>
                <w:position w:val="7"/>
                <w:sz w:val="16"/>
                <w:sz w:val="20"/>
              </w:rPr>
              <w:t>1</w:t>
            </w:r>
            <w:r>
              <w:rPr>
                <w:rFonts w:ascii="Times New Roman;Times;Serif" w:hAnsi="Times New Roman;Times;Serif"/>
              </w:rPr>
              <w:t xml:space="preserve"> was US$17.3 million, vs. US$23.5</w:t>
            </w:r>
            <w:r>
              <w:rPr>
                <w:rFonts w:ascii="Times New Roman;Times;Serif" w:hAnsi="Times New Roman;Times;Serif"/>
                <w:position w:val="7"/>
                <w:sz w:val="16"/>
                <w:sz w:val="20"/>
              </w:rPr>
              <w:t>2</w:t>
            </w:r>
            <w:r>
              <w:rPr>
                <w:rFonts w:ascii="Times New Roman;Times;Serif" w:hAnsi="Times New Roman;Times;Serif"/>
              </w:rPr>
              <w:t xml:space="preserve">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pPr>
            <w:r>
              <w:rPr/>
              <w:t> </w:t>
            </w:r>
          </w:p>
        </w:tc>
      </w:tr>
    </w:tbl>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Cash and cash equivalents </w:t>
            </w:r>
            <w:r>
              <w:rPr>
                <w:rFonts w:ascii="Times New Roman;Times;Serif" w:hAnsi="Times New Roman;Times;Serif"/>
              </w:rPr>
              <w:t>were US$299.8 million as of June 30,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283"/>
              <w:jc w:val="left"/>
              <w:rPr/>
            </w:pPr>
            <w:r>
              <w:rPr/>
              <w:t> </w:t>
            </w:r>
          </w:p>
        </w:tc>
      </w:tr>
    </w:tbl>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Crypto balance:</w:t>
            </w:r>
            <w:r>
              <w:rPr>
                <w:rFonts w:ascii="Times New Roman;Times;Serif" w:hAnsi="Times New Roman;Times;Serif"/>
              </w:rPr>
              <w:t xml:space="preserve"> US$169.3 million as of June 30, 2025.</w:t>
            </w:r>
          </w:p>
        </w:tc>
      </w:tr>
    </w:tbl>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Q2 marked a key inflection point,” said Matt Kong, Chief Business Officer at Bitdeer. “Q2 revenue of $155.6 million up was 56.8% year-over-year and 121.9% sequentially, driven by strong growth in our self-mining business as well as external sales of our SEALMINER A2s. Looking forward, we anticipate continued rapid growth in our self-mining hashrate throughout the remainder of the year and we are well on track to achieve our 40 EH/s target by the end of October. Further, wafer supply allocation at our foundry has improved and it is likely that we will exceed this target by year end. As we move into the second half of the year, we expect our financial results to continue to improve sequentially.”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Kong continued, “Our R&amp;D efforts are now focused on our SEALMINER A4 project, for which we are targeting an unprecedent chip efficiency of approximately 5 J/TH at the chip level. Major progress was made in July with customized silicon software development and the expansion of the U.S. engineering team to support the SEAL04 chip. Together with our SEALMINER A3 mining rig, we believe these two chips will firmly position Bitdeer as a leading supplier with the most energy-efficient mining rigs in the industry—significantly enhancing our competitive position and unlocking substantial value for both our customers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10042" w:type="dxa"/>
            <w:tcBorders/>
            <w:vAlign w:val="center"/>
          </w:tcPr>
          <w:p>
            <w:pPr>
              <w:pStyle w:val="TableContents"/>
              <w:bidi w:val="0"/>
              <w:spacing w:before="0" w:after="283"/>
              <w:jc w:val="left"/>
              <w:rPr/>
            </w:pPr>
            <w:r>
              <w:rPr/>
              <w:t>“</w:t>
            </w:r>
            <w:r>
              <w:rPr/>
              <w:t>Adjusted EBITDA” is defined as earnings before interest, taxes, depreciation and amortization, further adjusted to exclude share-based payment expenses under IFRS 2, changes in fair value of derivative liabilities, changes in fair value of cryptocurrency-settled receivables and payables, and loss on extinguishment of convertible senior notes.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10042" w:type="dxa"/>
            <w:tcBorders/>
            <w:vAlign w:val="center"/>
          </w:tcPr>
          <w:p>
            <w:pPr>
              <w:pStyle w:val="TableContents"/>
              <w:bidi w:val="0"/>
              <w:spacing w:before="0" w:after="283"/>
              <w:jc w:val="left"/>
              <w:rPr/>
            </w:pPr>
            <w:r>
              <w:rPr/>
              <w:t>We revised definition of our previously reported non-IFRS Adjusted Profit and Adjusted EBITDA and recast the prior period for comparability. This revision, which resulted in a US$1.3 million and US$0.0 million revision to Q2 2024 and first half year of 2024 metrics, reflects non-cash fair value changes in cryptocurrency-settled receivables and payables as they do not represent normal operating expenses (or income) necessary to operate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Kong concluded, “On the energy front, we continued rapidly building out our global power and datacenter infrastructure. Year-to-date, we have energized 361 MW of datacenter capacity for self-mining, bringing our total available electrical capacity to approximately 1.3 GW. We expect to have over 1.6 GW by year-end. In July, we achieved a key milestone by signing the Letter of Agreement with AEP Ohio for the second phase of Clarington, advancing the final stages for the full 570 MW of capacity. In terms of our HPC/AI initiative, we have entered into advanced negotiations with a certain development partner with significant expertise and customer relationships for our Clarington, Ohio site and we are optimistic to be able to share more details in the coming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Summary</w:t>
      </w:r>
    </w:p>
    <w:p>
      <w:pPr>
        <w:pStyle w:val="TextBody"/>
        <w:bidi w:val="0"/>
        <w:spacing w:before="0" w:after="0"/>
        <w:ind w:left="0" w:right="0" w:hanging="0"/>
        <w:jc w:val="left"/>
        <w:rPr>
          <w:caps w:val="false"/>
          <w:smallCaps w:val="false"/>
        </w:rPr>
      </w:pPr>
      <w:r>
        <w:rPr>
          <w:caps w:val="false"/>
          <w:smallCaps w:val="false"/>
        </w:rPr>
        <w:t> </w:t>
      </w:r>
    </w:p>
    <w:tbl>
      <w:tblPr>
        <w:tblW w:w="6726" w:type="dxa"/>
        <w:jc w:val="left"/>
        <w:tblInd w:w="0" w:type="dxa"/>
        <w:tblLayout w:type="fixed"/>
        <w:tblCellMar>
          <w:top w:w="0" w:type="dxa"/>
          <w:left w:w="0" w:type="dxa"/>
          <w:bottom w:w="0" w:type="dxa"/>
          <w:right w:w="0" w:type="dxa"/>
        </w:tblCellMar>
      </w:tblPr>
      <w:tblGrid>
        <w:gridCol w:w="4325"/>
        <w:gridCol w:w="60"/>
        <w:gridCol w:w="61"/>
        <w:gridCol w:w="1011"/>
        <w:gridCol w:w="61"/>
        <w:gridCol w:w="61"/>
        <w:gridCol w:w="61"/>
        <w:gridCol w:w="1011"/>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75" w:type="dxa"/>
            <w:tcBorders/>
            <w:vAlign w:val="center"/>
          </w:tcPr>
          <w:p>
            <w:pPr>
              <w:pStyle w:val="TableContents"/>
              <w:bidi w:val="0"/>
              <w:spacing w:before="0" w:after="283"/>
              <w:jc w:val="left"/>
              <w:rPr/>
            </w:pPr>
            <w:r>
              <w:rPr/>
              <w:t> </w:t>
            </w:r>
          </w:p>
        </w:tc>
      </w:tr>
      <w:tr>
        <w:trPr/>
        <w:tc>
          <w:tcPr>
            <w:tcW w:w="4325" w:type="dxa"/>
            <w:tcBorders>
              <w:bottom w:val="single" w:sz="12" w:space="0" w:color="000000"/>
            </w:tcBorders>
            <w:tcMar>
              <w:bottom w:w="28" w:type="dxa"/>
            </w:tcMar>
            <w:vAlign w:val="center"/>
          </w:tcPr>
          <w:p>
            <w:pPr>
              <w:pStyle w:val="TableContents"/>
              <w:bidi w:val="0"/>
              <w:spacing w:before="0" w:after="283"/>
              <w:jc w:val="left"/>
              <w:rPr>
                <w:b/>
              </w:rPr>
            </w:pPr>
            <w:r>
              <w:rPr>
                <w:b/>
              </w:rPr>
              <w:t>Metrics</w:t>
            </w:r>
          </w:p>
        </w:tc>
        <w:tc>
          <w:tcPr>
            <w:tcW w:w="6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Total hash rate under management (EH/s)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b/>
              </w:rPr>
            </w:pPr>
            <w:r>
              <w:rPr>
                <w:b/>
              </w:rPr>
              <w:t>30.6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b/>
              </w:rPr>
            </w:pPr>
            <w:r>
              <w:rPr>
                <w:b/>
              </w:rPr>
              <w:t>22.3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Proprietary hash rate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16.7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8.5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Self-mining</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16.5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Cloud Hash Rate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Delivered but not yet hashing</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0.2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Hosting</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13.9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13.8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Mining rigs under management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b/>
              </w:rPr>
            </w:pPr>
            <w:r>
              <w:rPr>
                <w:b/>
              </w:rPr>
              <w:t>200,000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b/>
              </w:rPr>
            </w:pPr>
            <w:r>
              <w:rPr>
                <w:b/>
              </w:rPr>
              <w:t>223,000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Self-owned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114,000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86,000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Hosted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86,000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137,000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Bitcoin mined (self-mining only)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b/>
              </w:rPr>
            </w:pPr>
            <w:r>
              <w:rPr>
                <w:b/>
              </w:rPr>
              <w:t>565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b/>
              </w:rPr>
            </w:pPr>
            <w:r>
              <w:rPr>
                <w:b/>
              </w:rPr>
              <w:t>628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Bitcoins held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1,502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Total power usage (MWh)</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1,180,000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1,192,000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Average cost of electricity ($/MWh)</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b/>
              </w:rPr>
            </w:pPr>
            <w:r>
              <w:rPr>
                <w:b/>
              </w:rPr>
              <w:t>43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b/>
              </w:rPr>
            </w:pPr>
            <w:r>
              <w:rPr>
                <w:b/>
              </w:rPr>
              <w:t>43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Average miner efficiency (J/TH)</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b/>
              </w:rPr>
            </w:pPr>
            <w:r>
              <w:rPr>
                <w:b/>
              </w:rPr>
              <w:t>25.7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b/>
              </w:rPr>
            </w:pPr>
            <w:r>
              <w:rPr>
                <w:b/>
              </w:rPr>
              <w:t>31.6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Infrastructure Summary (as of July 31, 2025)</w:t>
      </w:r>
    </w:p>
    <w:p>
      <w:pPr>
        <w:pStyle w:val="TextBody"/>
        <w:bidi w:val="0"/>
        <w:spacing w:before="0" w:after="0"/>
        <w:ind w:left="0" w:right="0" w:hanging="0"/>
        <w:jc w:val="left"/>
        <w:rPr>
          <w:caps w:val="false"/>
          <w:smallCaps w:val="false"/>
        </w:rPr>
      </w:pPr>
      <w:r>
        <w:rPr>
          <w:caps w:val="false"/>
          <w:smallCaps w:val="false"/>
        </w:rPr>
        <w:t> </w:t>
      </w:r>
    </w:p>
    <w:tbl>
      <w:tblPr>
        <w:tblW w:w="6770" w:type="dxa"/>
        <w:jc w:val="left"/>
        <w:tblInd w:w="0" w:type="dxa"/>
        <w:tblLayout w:type="fixed"/>
        <w:tblCellMar>
          <w:top w:w="0" w:type="dxa"/>
          <w:left w:w="0" w:type="dxa"/>
          <w:bottom w:w="28" w:type="dxa"/>
          <w:right w:w="0" w:type="dxa"/>
        </w:tblCellMar>
      </w:tblPr>
      <w:tblGrid>
        <w:gridCol w:w="3110"/>
        <w:gridCol w:w="60"/>
        <w:gridCol w:w="90"/>
        <w:gridCol w:w="845"/>
        <w:gridCol w:w="60"/>
        <w:gridCol w:w="60"/>
        <w:gridCol w:w="1100"/>
        <w:gridCol w:w="60"/>
        <w:gridCol w:w="1385"/>
      </w:tblGrid>
      <w:tr>
        <w:trPr/>
        <w:tc>
          <w:tcPr>
            <w:tcW w:w="3110" w:type="dxa"/>
            <w:tcBorders>
              <w:bottom w:val="single" w:sz="12" w:space="0" w:color="000000"/>
            </w:tcBorders>
            <w:vAlign w:val="center"/>
          </w:tcPr>
          <w:p>
            <w:pPr>
              <w:pStyle w:val="TableContents"/>
              <w:bidi w:val="0"/>
              <w:spacing w:before="0" w:after="283"/>
              <w:jc w:val="left"/>
              <w:rPr>
                <w:b/>
              </w:rPr>
            </w:pPr>
            <w:r>
              <w:rPr>
                <w:b/>
              </w:rPr>
              <w:t>Site / Location</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Capacity</w:t>
              <w:br/>
              <w:t>(MW)</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b/>
              </w:rPr>
            </w:pPr>
            <w:r>
              <w:rPr>
                <w:b/>
              </w:rPr>
              <w:t>Status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Timing</w:t>
            </w:r>
            <w:r>
              <w:rPr>
                <w:rFonts w:ascii="Times New Roman;Times;Serif" w:hAnsi="Times New Roman;Times;Serif"/>
                <w:b/>
                <w:position w:val="7"/>
                <w:sz w:val="16"/>
                <w:sz w:val="20"/>
              </w:rPr>
              <w:t>3</w:t>
            </w:r>
          </w:p>
        </w:tc>
      </w:tr>
      <w:tr>
        <w:trPr/>
        <w:tc>
          <w:tcPr>
            <w:tcW w:w="3110" w:type="dxa"/>
            <w:tcBorders/>
            <w:tcMar>
              <w:bottom w:w="0" w:type="dxa"/>
            </w:tcMar>
            <w:vAlign w:val="center"/>
          </w:tcPr>
          <w:p>
            <w:pPr>
              <w:pStyle w:val="TableContents"/>
              <w:bidi w:val="0"/>
              <w:spacing w:before="0" w:after="283"/>
              <w:jc w:val="left"/>
              <w:rPr>
                <w:b/>
              </w:rPr>
            </w:pPr>
            <w:r>
              <w:rPr>
                <w:b/>
              </w:rPr>
              <w:t>Electrical capacity</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3110" w:type="dxa"/>
            <w:tcBorders/>
            <w:shd w:fill="CCEEFF" w:val="clear"/>
            <w:tcMar>
              <w:bottom w:w="0" w:type="dxa"/>
            </w:tcMar>
            <w:vAlign w:val="center"/>
          </w:tcPr>
          <w:p>
            <w:pPr>
              <w:pStyle w:val="TableContents"/>
              <w:bidi w:val="0"/>
              <w:spacing w:before="0" w:after="283"/>
              <w:jc w:val="left"/>
              <w:rPr>
                <w:b/>
              </w:rPr>
            </w:pPr>
            <w:r>
              <w:rPr>
                <w:b/>
              </w:rPr>
              <w:t>- Rockdale,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563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Completed</w:t>
            </w:r>
          </w:p>
        </w:tc>
      </w:tr>
      <w:tr>
        <w:trPr/>
        <w:tc>
          <w:tcPr>
            <w:tcW w:w="3110" w:type="dxa"/>
            <w:tcBorders/>
            <w:shd w:fill="FFFFFF" w:val="clear"/>
            <w:tcMar>
              <w:bottom w:w="0" w:type="dxa"/>
            </w:tcMar>
            <w:vAlign w:val="center"/>
          </w:tcPr>
          <w:p>
            <w:pPr>
              <w:pStyle w:val="TableContents"/>
              <w:bidi w:val="0"/>
              <w:spacing w:before="0" w:after="283"/>
              <w:jc w:val="left"/>
              <w:rPr>
                <w:b/>
              </w:rPr>
            </w:pPr>
            <w:r>
              <w:rPr>
                <w:b/>
              </w:rPr>
              <w:t>- Knoxville, Tennessee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Completed</w:t>
            </w:r>
          </w:p>
        </w:tc>
      </w:tr>
      <w:tr>
        <w:trPr/>
        <w:tc>
          <w:tcPr>
            <w:tcW w:w="3110" w:type="dxa"/>
            <w:tcBorders/>
            <w:shd w:fill="CCEEFF" w:val="clear"/>
            <w:tcMar>
              <w:bottom w:w="0" w:type="dxa"/>
            </w:tcMar>
            <w:vAlign w:val="center"/>
          </w:tcPr>
          <w:p>
            <w:pPr>
              <w:pStyle w:val="TableContents"/>
              <w:bidi w:val="0"/>
              <w:spacing w:before="0" w:after="283"/>
              <w:jc w:val="left"/>
              <w:rPr>
                <w:b/>
              </w:rPr>
            </w:pPr>
            <w:r>
              <w:rPr>
                <w:b/>
              </w:rPr>
              <w:t>- Wenatchee, Washington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Completed</w:t>
            </w:r>
          </w:p>
        </w:tc>
      </w:tr>
      <w:tr>
        <w:trPr/>
        <w:tc>
          <w:tcPr>
            <w:tcW w:w="3110" w:type="dxa"/>
            <w:tcBorders/>
            <w:shd w:fill="FFFFFF" w:val="clear"/>
            <w:tcMar>
              <w:bottom w:w="0" w:type="dxa"/>
            </w:tcMar>
            <w:vAlign w:val="center"/>
          </w:tcPr>
          <w:p>
            <w:pPr>
              <w:pStyle w:val="TableContents"/>
              <w:bidi w:val="0"/>
              <w:spacing w:before="0" w:after="283"/>
              <w:jc w:val="left"/>
              <w:rPr>
                <w:b/>
              </w:rPr>
            </w:pPr>
            <w:r>
              <w:rPr>
                <w:b/>
              </w:rPr>
              <w:t>- Molde, Norway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Completed</w:t>
            </w:r>
          </w:p>
        </w:tc>
      </w:tr>
      <w:tr>
        <w:trPr/>
        <w:tc>
          <w:tcPr>
            <w:tcW w:w="3110" w:type="dxa"/>
            <w:tcBorders/>
            <w:shd w:fill="CCEEFF" w:val="clear"/>
            <w:tcMar>
              <w:bottom w:w="0" w:type="dxa"/>
            </w:tcMar>
            <w:vAlign w:val="center"/>
          </w:tcPr>
          <w:p>
            <w:pPr>
              <w:pStyle w:val="TableContents"/>
              <w:bidi w:val="0"/>
              <w:spacing w:before="0" w:after="283"/>
              <w:jc w:val="left"/>
              <w:rPr>
                <w:b/>
              </w:rPr>
            </w:pPr>
            <w:r>
              <w:rPr>
                <w:b/>
              </w:rPr>
              <w:t>- Tydal, Norway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Completed</w:t>
            </w:r>
          </w:p>
        </w:tc>
      </w:tr>
      <w:tr>
        <w:trPr/>
        <w:tc>
          <w:tcPr>
            <w:tcW w:w="3110" w:type="dxa"/>
            <w:tcBorders/>
            <w:shd w:fill="FFFFFF" w:val="clear"/>
            <w:tcMar>
              <w:bottom w:w="0" w:type="dxa"/>
            </w:tcMar>
            <w:vAlign w:val="center"/>
          </w:tcPr>
          <w:p>
            <w:pPr>
              <w:pStyle w:val="TableContents"/>
              <w:bidi w:val="0"/>
              <w:spacing w:before="0" w:after="283"/>
              <w:jc w:val="left"/>
              <w:rPr>
                <w:b/>
              </w:rPr>
            </w:pPr>
            <w:r>
              <w:rPr>
                <w:b/>
              </w:rPr>
              <w:t>- Gedu, Bhutan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Completed</w:t>
            </w:r>
          </w:p>
        </w:tc>
      </w:tr>
      <w:tr>
        <w:trPr/>
        <w:tc>
          <w:tcPr>
            <w:tcW w:w="3110" w:type="dxa"/>
            <w:tcBorders/>
            <w:shd w:fill="CCEEFF" w:val="clear"/>
            <w:tcMar>
              <w:bottom w:w="0" w:type="dxa"/>
            </w:tcMar>
            <w:vAlign w:val="center"/>
          </w:tcPr>
          <w:p>
            <w:pPr>
              <w:pStyle w:val="TableContents"/>
              <w:bidi w:val="0"/>
              <w:spacing w:before="0" w:after="283"/>
              <w:jc w:val="left"/>
              <w:rPr>
                <w:b/>
              </w:rPr>
            </w:pPr>
            <w:r>
              <w:rPr>
                <w:b/>
              </w:rPr>
              <w:t>- Jigmeling, Bhutan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45" w:type="dxa"/>
            <w:tcBorders>
              <w:bottom w:val="single" w:sz="12" w:space="0" w:color="000000"/>
            </w:tcBorders>
            <w:shd w:fill="CCEEFF" w:val="clear"/>
            <w:vAlign w:val="center"/>
          </w:tcPr>
          <w:p>
            <w:pPr>
              <w:pStyle w:val="TableContents"/>
              <w:bidi w:val="0"/>
              <w:spacing w:before="0" w:after="283"/>
              <w:jc w:val="right"/>
              <w:rPr/>
            </w:pPr>
            <w:r>
              <w:rPr/>
              <w:t>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Completed</w:t>
            </w:r>
          </w:p>
        </w:tc>
      </w:tr>
      <w:tr>
        <w:trPr/>
        <w:tc>
          <w:tcPr>
            <w:tcW w:w="3110" w:type="dxa"/>
            <w:tcBorders/>
            <w:shd w:fill="FFFFFF" w:val="clear"/>
            <w:tcMar>
              <w:bottom w:w="0" w:type="dxa"/>
            </w:tcMar>
            <w:vAlign w:val="center"/>
          </w:tcPr>
          <w:p>
            <w:pPr>
              <w:pStyle w:val="TableContents"/>
              <w:bidi w:val="0"/>
              <w:spacing w:before="0" w:after="283"/>
              <w:jc w:val="left"/>
              <w:rPr>
                <w:b/>
              </w:rPr>
            </w:pPr>
            <w:r>
              <w:rPr>
                <w:b/>
              </w:rPr>
              <w:t>Total electrical capacity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45" w:type="dxa"/>
            <w:tcBorders>
              <w:bottom w:val="single" w:sz="12" w:space="0" w:color="000000"/>
            </w:tcBorders>
            <w:shd w:fill="FFFFFF" w:val="clear"/>
            <w:vAlign w:val="center"/>
          </w:tcPr>
          <w:p>
            <w:pPr>
              <w:pStyle w:val="TableContents"/>
              <w:bidi w:val="0"/>
              <w:spacing w:before="0" w:after="283"/>
              <w:jc w:val="right"/>
              <w:rPr>
                <w:b/>
              </w:rPr>
            </w:pPr>
            <w:r>
              <w:rPr>
                <w:b/>
              </w:rPr>
              <w:t>1,257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 </w:t>
            </w:r>
          </w:p>
        </w:tc>
      </w:tr>
      <w:tr>
        <w:trPr/>
        <w:tc>
          <w:tcPr>
            <w:tcW w:w="3110" w:type="dxa"/>
            <w:tcBorders/>
            <w:shd w:fill="CCEEFF" w:val="clear"/>
            <w:tcMar>
              <w:bottom w:w="0" w:type="dxa"/>
            </w:tcMar>
            <w:vAlign w:val="center"/>
          </w:tcPr>
          <w:p>
            <w:pPr>
              <w:pStyle w:val="TableContents"/>
              <w:bidi w:val="0"/>
              <w:spacing w:before="0" w:after="283"/>
              <w:jc w:val="left"/>
              <w:rPr>
                <w:b/>
              </w:rPr>
            </w:pPr>
            <w:r>
              <w:rPr>
                <w:b/>
              </w:rPr>
              <w:t>Pipeline capacity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 </w:t>
            </w:r>
          </w:p>
        </w:tc>
      </w:tr>
      <w:tr>
        <w:trPr/>
        <w:tc>
          <w:tcPr>
            <w:tcW w:w="3110" w:type="dxa"/>
            <w:tcBorders/>
            <w:shd w:fill="FFFFFF" w:val="clear"/>
            <w:tcMar>
              <w:bottom w:w="0" w:type="dxa"/>
            </w:tcMar>
            <w:vAlign w:val="center"/>
          </w:tcPr>
          <w:p>
            <w:pPr>
              <w:pStyle w:val="TableContents"/>
              <w:bidi w:val="0"/>
              <w:spacing w:before="0" w:after="283"/>
              <w:jc w:val="left"/>
              <w:rPr>
                <w:b/>
              </w:rPr>
            </w:pPr>
            <w:r>
              <w:rPr>
                <w:b/>
              </w:rPr>
              <w:t>- Tydal, Norway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Q3 2025</w:t>
            </w:r>
          </w:p>
        </w:tc>
      </w:tr>
      <w:tr>
        <w:trPr/>
        <w:tc>
          <w:tcPr>
            <w:tcW w:w="3110" w:type="dxa"/>
            <w:tcBorders/>
            <w:shd w:fill="CCEEFF" w:val="clear"/>
            <w:tcMar>
              <w:bottom w:w="0" w:type="dxa"/>
            </w:tcMar>
            <w:vAlign w:val="center"/>
          </w:tcPr>
          <w:p>
            <w:pPr>
              <w:pStyle w:val="TableContents"/>
              <w:bidi w:val="0"/>
              <w:spacing w:before="0" w:after="283"/>
              <w:jc w:val="left"/>
              <w:rPr>
                <w:b/>
              </w:rPr>
            </w:pPr>
            <w:r>
              <w:rPr>
                <w:b/>
              </w:rPr>
              <w:t>- Massillon, Ohio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Q1 2026</w:t>
            </w:r>
          </w:p>
        </w:tc>
      </w:tr>
      <w:tr>
        <w:trPr/>
        <w:tc>
          <w:tcPr>
            <w:tcW w:w="3110" w:type="dxa"/>
            <w:tcBorders/>
            <w:shd w:fill="FFFFFF" w:val="clear"/>
            <w:tcMar>
              <w:bottom w:w="0" w:type="dxa"/>
            </w:tcMar>
            <w:vAlign w:val="center"/>
          </w:tcPr>
          <w:p>
            <w:pPr>
              <w:pStyle w:val="TableContents"/>
              <w:bidi w:val="0"/>
              <w:spacing w:before="0" w:after="283"/>
              <w:jc w:val="left"/>
              <w:rPr>
                <w:b/>
              </w:rPr>
            </w:pPr>
            <w:r>
              <w:rPr>
                <w:b/>
              </w:rPr>
              <w:t>- Clarington, Ohio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Q2 2027</w:t>
            </w:r>
          </w:p>
        </w:tc>
      </w:tr>
      <w:tr>
        <w:trPr/>
        <w:tc>
          <w:tcPr>
            <w:tcW w:w="3110" w:type="dxa"/>
            <w:tcBorders/>
            <w:shd w:fill="CCEEFF" w:val="clear"/>
            <w:tcMar>
              <w:bottom w:w="0" w:type="dxa"/>
            </w:tcMar>
            <w:vAlign w:val="center"/>
          </w:tcPr>
          <w:p>
            <w:pPr>
              <w:pStyle w:val="TableContents"/>
              <w:bidi w:val="0"/>
              <w:spacing w:before="0" w:after="283"/>
              <w:jc w:val="left"/>
              <w:rPr>
                <w:b/>
              </w:rPr>
            </w:pPr>
            <w:r>
              <w:rPr>
                <w:b/>
              </w:rPr>
              <w:t>- Jigmeling, Bhutan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265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Q3 2025</w:t>
            </w:r>
          </w:p>
        </w:tc>
      </w:tr>
      <w:tr>
        <w:trPr/>
        <w:tc>
          <w:tcPr>
            <w:tcW w:w="3110" w:type="dxa"/>
            <w:tcBorders/>
            <w:shd w:fill="FFFFFF" w:val="clear"/>
            <w:tcMar>
              <w:bottom w:w="0" w:type="dxa"/>
            </w:tcMar>
            <w:vAlign w:val="center"/>
          </w:tcPr>
          <w:p>
            <w:pPr>
              <w:pStyle w:val="TableContents"/>
              <w:bidi w:val="0"/>
              <w:spacing w:before="0" w:after="283"/>
              <w:jc w:val="left"/>
              <w:rPr>
                <w:b/>
              </w:rPr>
            </w:pPr>
            <w:r>
              <w:rPr>
                <w:b/>
              </w:rPr>
              <w:t>- Rockdale, Texas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179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In planning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Estimate 2026</w:t>
            </w:r>
          </w:p>
        </w:tc>
      </w:tr>
      <w:tr>
        <w:trPr/>
        <w:tc>
          <w:tcPr>
            <w:tcW w:w="3110" w:type="dxa"/>
            <w:tcBorders/>
            <w:shd w:fill="CCEEFF" w:val="clear"/>
            <w:tcMar>
              <w:bottom w:w="0" w:type="dxa"/>
            </w:tcMar>
            <w:vAlign w:val="center"/>
          </w:tcPr>
          <w:p>
            <w:pPr>
              <w:pStyle w:val="TableContents"/>
              <w:bidi w:val="0"/>
              <w:spacing w:before="0" w:after="283"/>
              <w:jc w:val="left"/>
              <w:rPr>
                <w:b/>
              </w:rPr>
            </w:pPr>
            <w:r>
              <w:rPr>
                <w:b/>
              </w:rPr>
              <w:t>- Alberta,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In planning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Q4 2026</w:t>
            </w:r>
          </w:p>
        </w:tc>
      </w:tr>
      <w:tr>
        <w:trPr/>
        <w:tc>
          <w:tcPr>
            <w:tcW w:w="3110" w:type="dxa"/>
            <w:tcBorders/>
            <w:shd w:fill="FFFFFF" w:val="clear"/>
            <w:tcMar>
              <w:bottom w:w="0" w:type="dxa"/>
            </w:tcMar>
            <w:vAlign w:val="center"/>
          </w:tcPr>
          <w:p>
            <w:pPr>
              <w:pStyle w:val="TableContents"/>
              <w:bidi w:val="0"/>
              <w:spacing w:before="0" w:after="283"/>
              <w:jc w:val="left"/>
              <w:rPr>
                <w:b/>
              </w:rPr>
            </w:pPr>
            <w:r>
              <w:rPr>
                <w:b/>
              </w:rPr>
              <w:t>- Oromia Region, Ethiopia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45" w:type="dxa"/>
            <w:tcBorders>
              <w:bottom w:val="single" w:sz="12" w:space="0" w:color="000000"/>
            </w:tcBorders>
            <w:shd w:fill="FFFFFF" w:val="clear"/>
            <w:vAlign w:val="center"/>
          </w:tcPr>
          <w:p>
            <w:pPr>
              <w:pStyle w:val="TableContents"/>
              <w:bidi w:val="0"/>
              <w:spacing w:before="0" w:after="283"/>
              <w:jc w:val="right"/>
              <w:rPr/>
            </w:pPr>
            <w:r>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Q4 2025</w:t>
            </w:r>
          </w:p>
        </w:tc>
      </w:tr>
      <w:tr>
        <w:trPr/>
        <w:tc>
          <w:tcPr>
            <w:tcW w:w="3110" w:type="dxa"/>
            <w:tcBorders/>
            <w:shd w:fill="CCEEFF" w:val="clear"/>
            <w:tcMar>
              <w:bottom w:w="0" w:type="dxa"/>
            </w:tcMar>
            <w:vAlign w:val="center"/>
          </w:tcPr>
          <w:p>
            <w:pPr>
              <w:pStyle w:val="TableContents"/>
              <w:bidi w:val="0"/>
              <w:spacing w:before="0" w:after="283"/>
              <w:jc w:val="left"/>
              <w:rPr>
                <w:b/>
              </w:rPr>
            </w:pPr>
            <w:r>
              <w:rPr>
                <w:b/>
              </w:rPr>
              <w:t>Total pipeline capacity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45" w:type="dxa"/>
            <w:tcBorders>
              <w:bottom w:val="single" w:sz="12" w:space="0" w:color="000000"/>
            </w:tcBorders>
            <w:shd w:fill="CCEEFF" w:val="clear"/>
            <w:vAlign w:val="center"/>
          </w:tcPr>
          <w:p>
            <w:pPr>
              <w:pStyle w:val="TableContents"/>
              <w:bidi w:val="0"/>
              <w:spacing w:before="0" w:after="283"/>
              <w:jc w:val="right"/>
              <w:rPr>
                <w:b/>
              </w:rPr>
            </w:pPr>
            <w:r>
              <w:rPr>
                <w:b/>
              </w:rPr>
              <w:t>1,433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 </w:t>
            </w:r>
          </w:p>
        </w:tc>
      </w:tr>
      <w:tr>
        <w:trPr/>
        <w:tc>
          <w:tcPr>
            <w:tcW w:w="3110" w:type="dxa"/>
            <w:tcBorders/>
            <w:shd w:fill="FFFFFF" w:val="clear"/>
            <w:tcMar>
              <w:bottom w:w="0" w:type="dxa"/>
            </w:tcMar>
            <w:vAlign w:val="center"/>
          </w:tcPr>
          <w:p>
            <w:pPr>
              <w:pStyle w:val="TableContents"/>
              <w:bidi w:val="0"/>
              <w:spacing w:before="0" w:after="283"/>
              <w:jc w:val="left"/>
              <w:rPr>
                <w:b/>
              </w:rPr>
            </w:pPr>
            <w:r>
              <w:rPr>
                <w:b/>
              </w:rPr>
              <w:t>Total global electrical capacity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45" w:type="dxa"/>
            <w:tcBorders>
              <w:bottom w:val="single" w:sz="12" w:space="0" w:color="000000"/>
            </w:tcBorders>
            <w:shd w:fill="FFFFFF" w:val="clear"/>
            <w:vAlign w:val="center"/>
          </w:tcPr>
          <w:p>
            <w:pPr>
              <w:pStyle w:val="TableContents"/>
              <w:bidi w:val="0"/>
              <w:spacing w:before="0" w:after="283"/>
              <w:jc w:val="right"/>
              <w:rPr>
                <w:b/>
              </w:rPr>
            </w:pPr>
            <w:r>
              <w:rPr>
                <w:b/>
              </w:rPr>
              <w:t>2,690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7158" w:type="dxa"/>
        <w:jc w:val="left"/>
        <w:tblInd w:w="0" w:type="dxa"/>
        <w:tblLayout w:type="fixed"/>
        <w:tblCellMar>
          <w:top w:w="0" w:type="dxa"/>
          <w:left w:w="0" w:type="dxa"/>
          <w:bottom w:w="0" w:type="dxa"/>
          <w:right w:w="0" w:type="dxa"/>
        </w:tblCellMar>
      </w:tblPr>
      <w:tblGrid>
        <w:gridCol w:w="38"/>
        <w:gridCol w:w="125"/>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6995" w:type="dxa"/>
            <w:tcBorders/>
            <w:vAlign w:val="center"/>
          </w:tcPr>
          <w:p>
            <w:pPr>
              <w:pStyle w:val="TableContents"/>
              <w:bidi w:val="0"/>
              <w:spacing w:before="0" w:after="283"/>
              <w:jc w:val="left"/>
              <w:rPr/>
            </w:pPr>
            <w:r>
              <w:rPr/>
              <w:t>Indicative timing. All timing references are to calendar quarters and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variances are current quarter compared to the same quarter last year. All figures in this section are rounded</w:t>
      </w:r>
      <w:r>
        <w:rPr>
          <w:rFonts w:ascii="Times New Roman;Times;Serif" w:hAnsi="Times New Roman;Times;Serif"/>
          <w:b/>
          <w:i/>
          <w:caps w:val="false"/>
          <w:smallCaps w:val="false"/>
          <w:position w:val="7"/>
          <w:sz w:val="16"/>
          <w:sz w:val="20"/>
        </w:rPr>
        <w:t>4</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 High-Level P&amp;L and Disaggregated Revenue Details:</w:t>
      </w:r>
    </w:p>
    <w:p>
      <w:pPr>
        <w:pStyle w:val="TextBody"/>
        <w:bidi w:val="0"/>
        <w:spacing w:before="0" w:after="0"/>
        <w:ind w:left="0" w:right="0" w:hanging="0"/>
        <w:jc w:val="left"/>
        <w:rPr>
          <w:caps w:val="false"/>
          <w:smallCaps w:val="false"/>
        </w:rPr>
      </w:pPr>
      <w:r>
        <w:rPr>
          <w:caps w:val="false"/>
          <w:smallCaps w:val="false"/>
        </w:rPr>
        <w:t> </w:t>
      </w:r>
    </w:p>
    <w:tbl>
      <w:tblPr>
        <w:tblW w:w="5822" w:type="dxa"/>
        <w:jc w:val="left"/>
        <w:tblInd w:w="0" w:type="dxa"/>
        <w:tblLayout w:type="fixed"/>
        <w:tblCellMar>
          <w:top w:w="0" w:type="dxa"/>
          <w:left w:w="0" w:type="dxa"/>
          <w:bottom w:w="0" w:type="dxa"/>
          <w:right w:w="0" w:type="dxa"/>
        </w:tblCellMar>
      </w:tblPr>
      <w:tblGrid>
        <w:gridCol w:w="2525"/>
        <w:gridCol w:w="60"/>
        <w:gridCol w:w="75"/>
        <w:gridCol w:w="799"/>
        <w:gridCol w:w="95"/>
        <w:gridCol w:w="60"/>
        <w:gridCol w:w="102"/>
        <w:gridCol w:w="967"/>
        <w:gridCol w:w="95"/>
        <w:gridCol w:w="60"/>
        <w:gridCol w:w="84"/>
        <w:gridCol w:w="790"/>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2525" w:type="dxa"/>
            <w:tcBorders>
              <w:bottom w:val="single" w:sz="12" w:space="0" w:color="000000"/>
            </w:tcBorders>
            <w:tcMar>
              <w:bottom w:w="28" w:type="dxa"/>
            </w:tcMar>
            <w:vAlign w:val="center"/>
          </w:tcPr>
          <w:p>
            <w:pPr>
              <w:pStyle w:val="TableContents"/>
              <w:bidi w:val="0"/>
              <w:spacing w:before="0" w:after="283"/>
              <w:jc w:val="left"/>
              <w:rPr>
                <w:b/>
              </w:rPr>
            </w:pPr>
            <w:r>
              <w:rPr>
                <w:b/>
              </w:rPr>
              <w:t>US $ in millions</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99.2</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(142.8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(73.4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(74.8</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Gross profit/(loss)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24.4</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Net profit/(loss)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(147.7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409.5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23.52</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203.9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1"/>
        <w:gridCol w:w="60"/>
        <w:gridCol w:w="125"/>
        <w:gridCol w:w="1080"/>
        <w:gridCol w:w="114"/>
        <w:gridCol w:w="72"/>
        <w:gridCol w:w="385"/>
        <w:gridCol w:w="614"/>
        <w:gridCol w:w="72"/>
        <w:gridCol w:w="72"/>
        <w:gridCol w:w="109"/>
        <w:gridCol w:w="721"/>
        <w:gridCol w:w="114"/>
        <w:gridCol w:w="72"/>
        <w:gridCol w:w="136"/>
        <w:gridCol w:w="1174"/>
        <w:gridCol w:w="114"/>
        <w:gridCol w:w="72"/>
        <w:gridCol w:w="166"/>
        <w:gridCol w:w="1429"/>
        <w:gridCol w:w="113"/>
      </w:tblGrid>
      <w:tr>
        <w:trPr/>
        <w:tc>
          <w:tcPr>
            <w:tcW w:w="3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1"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113" w:type="dxa"/>
            <w:tcBorders/>
            <w:vAlign w:val="center"/>
          </w:tcPr>
          <w:p>
            <w:pPr>
              <w:pStyle w:val="TableContents"/>
              <w:bidi w:val="0"/>
              <w:spacing w:before="0" w:after="283"/>
              <w:jc w:val="left"/>
              <w:rPr/>
            </w:pPr>
            <w:r>
              <w:rPr/>
              <w:t> </w:t>
            </w:r>
          </w:p>
        </w:tc>
      </w:tr>
      <w:tr>
        <w:trPr/>
        <w:tc>
          <w:tcPr>
            <w:tcW w:w="3391" w:type="dxa"/>
            <w:tcBorders>
              <w:bottom w:val="single" w:sz="12" w:space="0" w:color="000000"/>
            </w:tcBorders>
            <w:tcMar>
              <w:bottom w:w="28" w:type="dxa"/>
            </w:tcMar>
            <w:vAlign w:val="center"/>
          </w:tcPr>
          <w:p>
            <w:pPr>
              <w:pStyle w:val="TableContents"/>
              <w:bidi w:val="0"/>
              <w:spacing w:before="0" w:after="283"/>
              <w:jc w:val="left"/>
              <w:rPr/>
            </w:pPr>
            <w:r>
              <w:rPr>
                <w:b/>
              </w:rPr>
              <w:t>US $ in millions</w:t>
            </w:r>
            <w:r>
              <w:rPr/>
              <w:br/>
            </w:r>
            <w:r>
              <w:rPr>
                <w:b/>
              </w:rPr>
              <w:t>Business lines</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Self-Mining</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Cloud </w:t>
              <w:br/>
              <w:t>Hash Rate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General</w:t>
              <w:br/>
              <w:t>Hosting</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Membership</w:t>
              <w:br/>
              <w:t>Hosting</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Sales of</w:t>
              <w:br/>
              <w:t>SEALMINERs</w:t>
              <w:br/>
              <w:t>and</w:t>
              <w:br/>
              <w:t>Accessories</w:t>
            </w:r>
          </w:p>
        </w:tc>
        <w:tc>
          <w:tcPr>
            <w:tcW w:w="113" w:type="dxa"/>
            <w:tcBorders/>
            <w:vAlign w:val="center"/>
          </w:tcPr>
          <w:p>
            <w:pPr>
              <w:pStyle w:val="TableContents"/>
              <w:bidi w:val="0"/>
              <w:spacing w:before="0" w:after="283"/>
              <w:jc w:val="left"/>
              <w:rPr/>
            </w:pPr>
            <w:r>
              <w:rPr/>
              <w:t> </w:t>
            </w:r>
          </w:p>
        </w:tc>
      </w:tr>
      <w:tr>
        <w:trPr/>
        <w:tc>
          <w:tcPr>
            <w:tcW w:w="3391"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b/>
              </w:rPr>
            </w:pPr>
            <w:r>
              <w:rPr>
                <w:b/>
              </w:rPr>
              <w:t>59.3</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b/>
              </w:rPr>
            </w:pPr>
            <w:r>
              <w:rPr>
                <w:b/>
              </w:rPr>
              <w:t>9.3</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b/>
              </w:rPr>
            </w:pPr>
            <w:r>
              <w:rPr>
                <w:b/>
              </w:rPr>
              <w:t>14.6</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b/>
              </w:rPr>
            </w:pPr>
            <w:r>
              <w:rPr>
                <w:b/>
              </w:rPr>
              <w:t>69.5</w:t>
            </w:r>
          </w:p>
        </w:tc>
        <w:tc>
          <w:tcPr>
            <w:tcW w:w="113" w:type="dxa"/>
            <w:tcBorders/>
            <w:shd w:fill="CCEEFF"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391" w:type="dxa"/>
            <w:tcBorders/>
            <w:shd w:fill="CCEEFF" w:val="clear"/>
            <w:vAlign w:val="center"/>
          </w:tcPr>
          <w:p>
            <w:pPr>
              <w:pStyle w:val="TableContents"/>
              <w:bidi w:val="0"/>
              <w:spacing w:before="0" w:after="283"/>
              <w:jc w:val="left"/>
              <w:rPr/>
            </w:pPr>
            <w:r>
              <w:rPr/>
              <w:t>- Electricity cost in operating mining rigs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(33.4</w:t>
            </w:r>
          </w:p>
        </w:tc>
        <w:tc>
          <w:tcPr>
            <w:tcW w:w="1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(6.9</w:t>
            </w:r>
          </w:p>
        </w:tc>
        <w:tc>
          <w:tcPr>
            <w:tcW w:w="1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(11.0</w:t>
            </w:r>
          </w:p>
        </w:tc>
        <w:tc>
          <w:tcPr>
            <w:tcW w:w="114"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pPr>
            <w:r>
              <w:rPr/>
              <w:t>- Depreciation and SBC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(14.5</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(1.2</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(1.9</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391" w:type="dxa"/>
            <w:tcBorders/>
            <w:shd w:fill="CCEEFF" w:val="clear"/>
            <w:vAlign w:val="center"/>
          </w:tcPr>
          <w:p>
            <w:pPr>
              <w:pStyle w:val="TableContents"/>
              <w:bidi w:val="0"/>
              <w:spacing w:before="0" w:after="283"/>
              <w:jc w:val="left"/>
              <w:rPr/>
            </w:pPr>
            <w:r>
              <w:rPr/>
              <w:t>- Cost of products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(60.0</w:t>
            </w:r>
          </w:p>
        </w:tc>
        <w:tc>
          <w:tcPr>
            <w:tcW w:w="113" w:type="dxa"/>
            <w:tcBorders/>
            <w:shd w:fill="CCEEFF" w:val="clear"/>
            <w:vAlign w:val="center"/>
          </w:tcPr>
          <w:p>
            <w:pPr>
              <w:pStyle w:val="TableContents"/>
              <w:bidi w:val="0"/>
              <w:spacing w:before="0" w:after="283"/>
              <w:jc w:val="left"/>
              <w:rPr/>
            </w:pPr>
            <w:r>
              <w:rPr/>
              <w:t>)</w:t>
            </w:r>
          </w:p>
        </w:tc>
      </w:tr>
      <w:tr>
        <w:trPr/>
        <w:tc>
          <w:tcPr>
            <w:tcW w:w="3391" w:type="dxa"/>
            <w:tcBorders/>
            <w:shd w:fill="FFFFFF" w:val="clear"/>
            <w:vAlign w:val="center"/>
          </w:tcPr>
          <w:p>
            <w:pPr>
              <w:pStyle w:val="TableContents"/>
              <w:bidi w:val="0"/>
              <w:spacing w:before="0" w:after="283"/>
              <w:jc w:val="left"/>
              <w:rPr/>
            </w:pPr>
            <w:r>
              <w:rPr/>
              <w:t>- Other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12" w:space="0" w:color="000000"/>
            </w:tcBorders>
            <w:shd w:fill="FFFFFF" w:val="clear"/>
            <w:tcMar>
              <w:bottom w:w="28" w:type="dxa"/>
            </w:tcMar>
            <w:vAlign w:val="center"/>
          </w:tcPr>
          <w:p>
            <w:pPr>
              <w:pStyle w:val="TableContents"/>
              <w:bidi w:val="0"/>
              <w:spacing w:before="0" w:after="283"/>
              <w:jc w:val="right"/>
              <w:rPr/>
            </w:pPr>
            <w:r>
              <w:rPr/>
              <w:t>(0.6</w:t>
            </w:r>
          </w:p>
        </w:tc>
        <w:tc>
          <w:tcPr>
            <w:tcW w:w="113" w:type="dxa"/>
            <w:tcBorders/>
            <w:shd w:fill="FFFFFF" w:val="clear"/>
            <w:vAlign w:val="center"/>
          </w:tcPr>
          <w:p>
            <w:pPr>
              <w:pStyle w:val="TableContents"/>
              <w:bidi w:val="0"/>
              <w:spacing w:before="0" w:after="283"/>
              <w:jc w:val="left"/>
              <w:rPr/>
            </w:pPr>
            <w:r>
              <w:rPr/>
              <w:t>)</w:t>
            </w:r>
          </w:p>
        </w:tc>
      </w:tr>
      <w:tr>
        <w:trPr/>
        <w:tc>
          <w:tcPr>
            <w:tcW w:w="3391" w:type="dxa"/>
            <w:tcBorders/>
            <w:shd w:fill="CCEEFF" w:val="clear"/>
            <w:vAlign w:val="center"/>
          </w:tcPr>
          <w:p>
            <w:pPr>
              <w:pStyle w:val="TableContents"/>
              <w:bidi w:val="0"/>
              <w:spacing w:before="0" w:after="283"/>
              <w:jc w:val="left"/>
              <w:rPr>
                <w:b/>
              </w:rPr>
            </w:pPr>
            <w:r>
              <w:rPr>
                <w:b/>
              </w:rPr>
              <w:t>Total cost of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(54.6</w:t>
            </w:r>
          </w:p>
        </w:tc>
        <w:tc>
          <w:tcPr>
            <w:tcW w:w="114"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3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(9.1</w:t>
            </w:r>
          </w:p>
        </w:tc>
        <w:tc>
          <w:tcPr>
            <w:tcW w:w="114"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(14.5</w:t>
            </w:r>
          </w:p>
        </w:tc>
        <w:tc>
          <w:tcPr>
            <w:tcW w:w="114"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(60.6</w:t>
            </w:r>
          </w:p>
        </w:tc>
        <w:tc>
          <w:tcPr>
            <w:tcW w:w="113" w:type="dxa"/>
            <w:tcBorders/>
            <w:shd w:fill="CCEEFF" w:val="clear"/>
            <w:vAlign w:val="center"/>
          </w:tcPr>
          <w:p>
            <w:pPr>
              <w:pStyle w:val="TableContents"/>
              <w:bidi w:val="0"/>
              <w:spacing w:before="0" w:after="283"/>
              <w:jc w:val="left"/>
              <w:rPr>
                <w:b/>
              </w:rPr>
            </w:pPr>
            <w:r>
              <w:rPr>
                <w:b/>
              </w:rPr>
              <w:t>)</w:t>
            </w:r>
          </w:p>
        </w:tc>
      </w:tr>
      <w:tr>
        <w:trPr/>
        <w:tc>
          <w:tcPr>
            <w:tcW w:w="3391"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0.3</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0.1</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8.9</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0"/>
        <w:gridCol w:w="60"/>
        <w:gridCol w:w="125"/>
        <w:gridCol w:w="1080"/>
        <w:gridCol w:w="122"/>
        <w:gridCol w:w="76"/>
        <w:gridCol w:w="119"/>
        <w:gridCol w:w="878"/>
        <w:gridCol w:w="122"/>
        <w:gridCol w:w="76"/>
        <w:gridCol w:w="86"/>
        <w:gridCol w:w="744"/>
        <w:gridCol w:w="122"/>
        <w:gridCol w:w="76"/>
        <w:gridCol w:w="136"/>
        <w:gridCol w:w="1174"/>
        <w:gridCol w:w="95"/>
        <w:gridCol w:w="60"/>
        <w:gridCol w:w="242"/>
        <w:gridCol w:w="1353"/>
        <w:gridCol w:w="79"/>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3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3380" w:type="dxa"/>
            <w:tcBorders>
              <w:bottom w:val="single" w:sz="12" w:space="0" w:color="000000"/>
            </w:tcBorders>
            <w:tcMar>
              <w:bottom w:w="28" w:type="dxa"/>
            </w:tcMar>
            <w:vAlign w:val="center"/>
          </w:tcPr>
          <w:p>
            <w:pPr>
              <w:pStyle w:val="TableContents"/>
              <w:bidi w:val="0"/>
              <w:spacing w:before="0" w:after="283"/>
              <w:jc w:val="left"/>
              <w:rPr/>
            </w:pPr>
            <w:r>
              <w:rPr>
                <w:b/>
              </w:rPr>
              <w:t>US $ in millions</w:t>
            </w:r>
            <w:r>
              <w:rPr/>
              <w:br/>
            </w:r>
            <w:r>
              <w:rPr>
                <w:b/>
              </w:rPr>
              <w:t>Business lines</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Self-Mining</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Cloud </w:t>
              <w:br/>
              <w:t>Hash Rate</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General</w:t>
              <w:br/>
              <w:t>Hosting</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Membership</w:t>
              <w:br/>
              <w:t>Hosting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Sales of</w:t>
              <w:br/>
              <w:t>SEALMINERs</w:t>
              <w:br/>
              <w:t>and</w:t>
              <w:br/>
              <w:t>Accessories</w:t>
            </w:r>
          </w:p>
        </w:tc>
        <w:tc>
          <w:tcPr>
            <w:tcW w:w="79"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b/>
              </w:rPr>
            </w:pPr>
            <w:r>
              <w:rPr>
                <w:b/>
              </w:rPr>
              <w:t>41.6</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b/>
              </w:rPr>
            </w:pPr>
            <w:r>
              <w:rPr>
                <w:b/>
              </w:rPr>
              <w:t>12.2</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b/>
              </w:rPr>
            </w:pPr>
            <w:r>
              <w:rPr>
                <w:b/>
              </w:rPr>
              <w:t>20.6</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b/>
              </w:rPr>
            </w:pPr>
            <w:r>
              <w:rPr>
                <w:b/>
              </w:rPr>
              <w:t>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r>
              <w:rPr>
                <w:b/>
              </w:rPr>
              <w:t>-</w:t>
            </w:r>
          </w:p>
        </w:tc>
        <w:tc>
          <w:tcPr>
            <w:tcW w:w="79"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Electricity cost in operating mining rigs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(20.9</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(2.0</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(12.8</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Depreciation and SBC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(8.3</w:t>
            </w:r>
          </w:p>
        </w:tc>
        <w:tc>
          <w:tcPr>
            <w:tcW w:w="122"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(2.4</w:t>
            </w:r>
          </w:p>
        </w:tc>
        <w:tc>
          <w:tcPr>
            <w:tcW w:w="122"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(2.3</w:t>
            </w:r>
          </w:p>
        </w:tc>
        <w:tc>
          <w:tcPr>
            <w:tcW w:w="122"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Other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pPr>
            <w:r>
              <w:rPr/>
              <w:t>(0.5</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b/>
              </w:rPr>
            </w:pPr>
            <w:r>
              <w:rPr>
                <w:b/>
              </w:rPr>
              <w:t>Total 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(31.1</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(4.9</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(16.1</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10.5</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Q2 2025 Management’s Discussion and Analysis (compared to Q2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Total revenue</w:t>
            </w:r>
            <w:r>
              <w:rPr>
                <w:rFonts w:ascii="Times New Roman;Times;Serif" w:hAnsi="Times New Roman;Times;Serif"/>
              </w:rPr>
              <w:t xml:space="preserve"> was US$155.6 million vs. US$99.2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Self-mining revenue</w:t>
            </w:r>
            <w:r>
              <w:rPr>
                <w:rFonts w:ascii="Times New Roman;Times;Serif" w:hAnsi="Times New Roman;Times;Serif"/>
              </w:rPr>
              <w:t xml:space="preserve"> was US$59.3 million vs. US$41.6 million, primarily due to the increase in the average self-mining hashrate for the quarter by 103.3% to 14.2 EH/s from 7.0 EH/s last year and higher year-over-year Bitcoin prices, offset partially by the April 2024 halving event and higher mining difficulty.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Cloud Hash Rate revenue</w:t>
            </w:r>
            <w:r>
              <w:rPr>
                <w:rFonts w:ascii="Times New Roman;Times;Serif" w:hAnsi="Times New Roman;Times;Serif"/>
              </w:rPr>
              <w:t xml:space="preserve"> was US$0.0 million vs. US$12.2 million. The decline was primarily due to expiration of long-term Cloud hashrate contracts and subsequent reallocation of nearly all machines to self-mining operations by the end of 2024.</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3753" w:type="dxa"/>
        <w:jc w:val="left"/>
        <w:tblInd w:w="0" w:type="dxa"/>
        <w:tblLayout w:type="fixed"/>
        <w:tblCellMar>
          <w:top w:w="0" w:type="dxa"/>
          <w:left w:w="0" w:type="dxa"/>
          <w:bottom w:w="0" w:type="dxa"/>
          <w:right w:w="0" w:type="dxa"/>
        </w:tblCellMar>
      </w:tblPr>
      <w:tblGrid>
        <w:gridCol w:w="38"/>
        <w:gridCol w:w="12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3590" w:type="dxa"/>
            <w:tcBorders/>
            <w:vAlign w:val="center"/>
          </w:tcPr>
          <w:p>
            <w:pPr>
              <w:pStyle w:val="TableContents"/>
              <w:bidi w:val="0"/>
              <w:spacing w:before="0" w:after="283"/>
              <w:jc w:val="left"/>
              <w:rPr/>
            </w:pPr>
            <w:r>
              <w:rPr/>
              <w:t>Figures may not add due to rounding.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General Hosting revenue </w:t>
            </w:r>
            <w:r>
              <w:rPr>
                <w:rFonts w:ascii="Times New Roman;Times;Serif" w:hAnsi="Times New Roman;Times;Serif"/>
              </w:rPr>
              <w:t>was US$9.3 million vs. US$20.6 million. The decline was primarily due to the expiration of certain hosting customer contracts as well as the removal of older and less efficient machines by other hosting customers following the April 2024 halving as a result of reduced mining economics.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Membership Hosting revenue</w:t>
            </w:r>
            <w:r>
              <w:rPr>
                <w:rFonts w:ascii="Times New Roman;Times;Serif" w:hAnsi="Times New Roman;Times;Serif"/>
              </w:rPr>
              <w:t xml:space="preserve"> was US$14.6 million vs. US$22.1 million. Similar to general hosting, the decline was primarily driven by customers scaling down operations for older and less efficient rigs following the April 2024 halving as a result of reduced mining economics.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SEALMINER sales revenue</w:t>
            </w:r>
            <w:r>
              <w:rPr>
                <w:rFonts w:ascii="Times New Roman;Times;Serif" w:hAnsi="Times New Roman;Times;Serif"/>
              </w:rPr>
              <w:t xml:space="preserve"> was US$69.5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p>
        </w:tc>
      </w:tr>
    </w:tbl>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HPC and AI Cloud revenue</w:t>
            </w:r>
            <w:r>
              <w:rPr>
                <w:rFonts w:ascii="Times New Roman;Times;Serif" w:hAnsi="Times New Roman;Times;Serif"/>
              </w:rPr>
              <w:t xml:space="preserve"> was US$1.3 million.</w:t>
            </w:r>
          </w:p>
        </w:tc>
      </w:tr>
    </w:tbl>
    <w:p>
      <w:pPr>
        <w:pStyle w:val="TextBody"/>
        <w:bidi w:val="0"/>
        <w:spacing w:before="0" w:after="0"/>
        <w:ind w:left="249" w:right="0" w:hanging="24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Cost of revenue </w:t>
            </w:r>
            <w:r>
              <w:rPr>
                <w:rFonts w:ascii="Times New Roman;Times;Serif" w:hAnsi="Times New Roman;Times;Serif"/>
              </w:rPr>
              <w:t>was US$142.8 million vs US$74.8 million. The increase was primarily driven by the increase in costs of SEALMINERs sold to customers, depreciation expenses for SEALMINER launched in our datacenters during 2025, and the increase in employees and in salaries, wages and other benefits.</w:t>
            </w:r>
          </w:p>
        </w:tc>
      </w:tr>
    </w:tbl>
    <w:p>
      <w:pPr>
        <w:pStyle w:val="TextBody"/>
        <w:bidi w:val="0"/>
        <w:spacing w:before="0" w:after="0"/>
        <w:ind w:left="270" w:right="0" w:hanging="27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Margin</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Gross profit </w:t>
            </w:r>
            <w:r>
              <w:rPr>
                <w:rFonts w:ascii="Times New Roman;Times;Serif" w:hAnsi="Times New Roman;Times;Serif"/>
              </w:rPr>
              <w:t xml:space="preserve">was US$12.8 million vs. US$24.4 million.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bl>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Gross margin</w:t>
            </w:r>
            <w:r>
              <w:rPr>
                <w:rFonts w:ascii="Times New Roman;Times;Serif" w:hAnsi="Times New Roman;Times;Serif"/>
              </w:rPr>
              <w:t xml:space="preserve"> was 8.2% vs. 24.6%.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sum of the operating expenses below was US$42.3 million vs. US$26.1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Selling expenses were US$1.6 million vs. US$2.2 million, down 25.2% year-over-year, primarily due to the decrease in staff costs and lower share-based payment expenses for sales personnel.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General and administrative expenses were US$20.1 million vs. US$15.9 million, up 27.0% year-over-year, primarily due to the increase in staff costs for general and administrative personnel and consulting fee.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 were US$20.6 million vs. US$8.0 million, up 155.7% year-over-year, primarily due to higher engineering costs related to the Company’s ASIC development roadmap, and non-cash amortization expenses of intangible assets related to the acquisition of FreeChain in Q4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Net Loss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net loss was US$108.5 million primarily due to the non-cash, fair value changes of derivative liabilities, which were the US$75.4 million of loss on fair value changes for the convertible notes, the US$15.8 million of loss on fair value changes for the Tether warrants and US$16.2 million of loss on extinguishment of the convertible notes.</w:t>
            </w:r>
          </w:p>
        </w:tc>
      </w:tr>
    </w:tbl>
    <w:p>
      <w:pPr>
        <w:pStyle w:val="TextBody"/>
        <w:bidi w:val="0"/>
        <w:spacing w:before="0" w:after="0"/>
        <w:ind w:left="27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was US$147.7 million vs. US$17.7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Profit / (Loss) (Non-IFRS)</w:t>
      </w:r>
      <w:r>
        <w:rPr>
          <w:rFonts w:ascii="Times New Roman;Times;Serif" w:hAnsi="Times New Roman;Times;Serif"/>
          <w:b/>
          <w:i/>
          <w:caps w:val="false"/>
          <w:smallCaps w:val="false"/>
          <w:position w:val="7"/>
          <w:sz w:val="16"/>
          <w:sz w:val="20"/>
        </w:rPr>
        <w:t>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Adjusted loss was US$24.4 million vs. adjusted profit of US$3.2</w:t>
            </w:r>
            <w:r>
              <w:rPr>
                <w:position w:val="7"/>
                <w:sz w:val="16"/>
                <w:sz w:val="20"/>
              </w:rPr>
              <w:t>2</w:t>
            </w:r>
            <w:r>
              <w:rPr/>
              <w:t xml:space="preserve"> </w:t>
            </w:r>
            <w:r>
              <w:rPr>
                <w:rFonts w:ascii="Times New Roman;Times;Serif" w:hAnsi="Times New Roman;Times;Serif"/>
              </w:rPr>
              <w:t>million. The change was primarily due to the year-over-year lower gross profit margins and higher operating expenses as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5</w:t>
            </w:r>
          </w:p>
        </w:tc>
        <w:tc>
          <w:tcPr>
            <w:tcW w:w="10042" w:type="dxa"/>
            <w:tcBorders/>
            <w:vAlign w:val="center"/>
          </w:tcPr>
          <w:p>
            <w:pPr>
              <w:pStyle w:val="TableContents"/>
              <w:bidi w:val="0"/>
              <w:spacing w:before="0" w:after="283"/>
              <w:jc w:val="left"/>
              <w:rPr/>
            </w:pPr>
            <w:r>
              <w:rPr/>
              <w:t>“</w:t>
            </w:r>
            <w:r>
              <w:rPr/>
              <w:t>Adjusted profit/(loss)” is defined as profit/(loss) adjusted to exclude share-based payment expenses under IFRS 2, changes in fair value of derivative liabilities, changes in fair value of cryptocurrency-settled receivables and payables, and loss on extinguishment of convertible senior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(Non-IFRS)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Adjusted EBITDA was US$17.3 million vs. US$23.5</w:t>
            </w:r>
            <w:r>
              <w:rPr>
                <w:position w:val="7"/>
                <w:sz w:val="16"/>
                <w:sz w:val="20"/>
              </w:rPr>
              <w:t>2</w:t>
            </w:r>
            <w:r>
              <w:rPr/>
              <w:t xml:space="preserve"> </w:t>
            </w:r>
            <w:r>
              <w:rPr>
                <w:rFonts w:ascii="Times New Roman;Times;Serif" w:hAnsi="Times New Roman;Times;Serif"/>
              </w:rPr>
              <w:t>million. The decrease was primarily due to the year-over-year lower gross profit margins and higher operating expenses as described above.</w:t>
            </w:r>
          </w:p>
        </w:tc>
      </w:tr>
    </w:tbl>
    <w:p>
      <w:pPr>
        <w:pStyle w:val="TextBody"/>
        <w:bidi w:val="0"/>
        <w:spacing w:before="0" w:after="0"/>
        <w:ind w:left="27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Net cash used in operating activities was US$334.9 million, primarily driven by approximately US$230 million of payments for SEALMINER wafers and to our production supply chain and approximately US$27 million related to the initial tapeout of SEAL04. The remainder was driven by electricity costs from the mining business and general corporate overhead.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 was US$12.6 million, which was driven by US$106.5 million of capital expenditures, of which approximately US$76 million related to datacenter infrastructure and related construction. Proceeds from disposal of cryptocurrencies from principal business was US$100.1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generated from financing activities was US$431.5 million, primarily driven by US$364.3 million proceeds from convertible senior notes, net of transaction costs, US$180.0 million borrowings from a related party and US$50.0 million proceeds from issuance of shares for exercise of Tether warrants and partially offset by US$129.6 million used for purchases of zero-strike call option in connection with the convertible senior notes issued in June 2025 and US$33.8 million payment in connection with the extinguishment of a potion of the convertible senior notes issued in August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 power and datacenter infrastructure capex maintained at prior guidance range of US$260 to US$290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June 30, 2025 unless stated otherwise (compared to December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US$299.8 million in cash and cash equivalents, US$169.3 million in cryptocurrencies and US$533.1 million in borrowings.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US$465.2 million prepayments and other assets, up from US$310.2 million. Change primarily driven by advanced payments to suppliers for SEALMINER mass volume production.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US$208.8 million inventories, up from US$64.9 million. Increase driven by wafers, chips, WIP and finished SEALMINER inventory.</w:t>
            </w:r>
          </w:p>
        </w:tc>
      </w:tr>
    </w:tbl>
    <w:p>
      <w:pPr>
        <w:pStyle w:val="TextBody"/>
        <w:bidi w:val="0"/>
        <w:spacing w:before="0" w:after="283"/>
        <w:jc w:val="left"/>
        <w:rPr/>
      </w:pPr>
      <w:r>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US$438.0 million derivative liabilities mainly due to convertible senior notes issued in 2024 and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regarding the Company’s second quarter 2025 financial and operations results can be found on the SEC’s website https://sec.gov and the Company’s Investor Relations website https://ir.bitdeer.com.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 world-leading technology company for Bitcoin mining. Bitdeer is committed to providing comprehensive Bitcoin mining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To learn more, please visit https://ir.bitdeer.com/ or follow Bitdeer on X @BitdeerOfficial and LinkedIn @ Bitdeer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 looking statement, whether due to new information, future events, or otherwise. Readers should not rely upon the information on this page as current or accurate after its publication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GROUP UNAUDITED CONSOLIDATED STATEMENTS OF FINANCIAL POSITION</w:t>
      </w:r>
    </w:p>
    <w:p>
      <w:pPr>
        <w:pStyle w:val="TextBody"/>
        <w:bidi w:val="0"/>
        <w:spacing w:before="0" w:after="0"/>
        <w:jc w:val="center"/>
        <w:rPr>
          <w:caps w:val="false"/>
          <w:smallCaps w:val="false"/>
        </w:rPr>
      </w:pPr>
      <w:r>
        <w:rPr>
          <w:caps w:val="false"/>
          <w:smallCaps w:val="false"/>
        </w:rPr>
        <w:t> </w:t>
      </w:r>
    </w:p>
    <w:tbl>
      <w:tblPr>
        <w:tblW w:w="7584" w:type="dxa"/>
        <w:jc w:val="left"/>
        <w:tblInd w:w="0" w:type="dxa"/>
        <w:tblLayout w:type="fixed"/>
        <w:tblCellMar>
          <w:top w:w="0" w:type="dxa"/>
          <w:left w:w="0" w:type="dxa"/>
          <w:bottom w:w="0" w:type="dxa"/>
          <w:right w:w="0" w:type="dxa"/>
        </w:tblCellMar>
      </w:tblPr>
      <w:tblGrid>
        <w:gridCol w:w="4715"/>
        <w:gridCol w:w="60"/>
        <w:gridCol w:w="60"/>
        <w:gridCol w:w="980"/>
        <w:gridCol w:w="140"/>
        <w:gridCol w:w="60"/>
        <w:gridCol w:w="81"/>
        <w:gridCol w:w="1333"/>
        <w:gridCol w:w="155"/>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 xml:space="preserve">As of </w:t>
              <w:br/>
              <w:t>June 30,</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155" w:type="dxa"/>
            <w:tcBorders/>
            <w:vAlign w:val="center"/>
          </w:tcPr>
          <w:p>
            <w:pPr>
              <w:pStyle w:val="TableContents"/>
              <w:bidi w:val="0"/>
              <w:spacing w:before="0" w:after="283"/>
              <w:jc w:val="left"/>
              <w:rPr/>
            </w:pPr>
            <w:r>
              <w:rPr/>
              <w:t> </w:t>
            </w:r>
          </w:p>
        </w:tc>
      </w:tr>
      <w:tr>
        <w:trPr/>
        <w:tc>
          <w:tcPr>
            <w:tcW w:w="4715" w:type="dxa"/>
            <w:tcBorders>
              <w:bottom w:val="single" w:sz="12" w:space="0" w:color="000000"/>
            </w:tcBorders>
            <w:tcMar>
              <w:bottom w:w="28" w:type="dxa"/>
            </w:tcMar>
            <w:vAlign w:val="center"/>
          </w:tcPr>
          <w:p>
            <w:pPr>
              <w:pStyle w:val="TableContents"/>
              <w:bidi w:val="0"/>
              <w:spacing w:before="0" w:after="283"/>
              <w:jc w:val="both"/>
              <w:rPr>
                <w:b/>
              </w:rPr>
            </w:pPr>
            <w:r>
              <w:rPr>
                <w:b/>
              </w:rPr>
              <w:t>(US $ in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both"/>
              <w:rPr>
                <w:b/>
              </w:rPr>
            </w:pPr>
            <w:r>
              <w:rPr>
                <w:b/>
              </w:rPr>
              <w:t>Current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299,792</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476,270</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12,965</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9,144</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169,340</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77,537</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12,700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9,627</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Amounts due from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15,568</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15,512</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Prepayments and other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391,633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291,929</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208,782</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64,888</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Financial assets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4,540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pPr>
            <w:r>
              <w:rPr/>
              <w:t>4,540</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1,115,320</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949,447</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6,144</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8,212</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Prepayments and other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73,530</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18,244</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Financial assets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35,083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37,981</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Mining rigs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211,031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67,324</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80,424</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69,273</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360,780</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251,377</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Investment properties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31,137</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30,723</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83,193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83,235</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35,818</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35,818</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8,610</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pPr>
            <w:r>
              <w:rPr/>
              <w:t>6,220</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925,750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608,407</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2,041,070</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1,557,854</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Trade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76,248</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31,471</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39,219</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40,617</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Amounts due to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11,337</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8,747</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Income tax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2,764</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2,729</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437,953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763,939</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56,863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39,029</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359,684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208,127</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Borrowings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90,000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7,967</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pPr>
            <w:r>
              <w:rPr/>
              <w:t>5,460</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1,082,035</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1,100,119</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Other payables and accruals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1,650</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67,006</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90,200</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475</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Borrowings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82,917</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84,675</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72,673</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14,810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pPr>
            <w:r>
              <w:rPr/>
              <w:t>16,614</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252,284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181,137</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1,334,319</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1,281,256</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706,751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276,598</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both"/>
              <w:rPr/>
            </w:pPr>
            <w:r>
              <w:rPr/>
              <w:t>Treasury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(290,607</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(160,926</w:t>
            </w:r>
          </w:p>
        </w:tc>
        <w:tc>
          <w:tcPr>
            <w:tcW w:w="155"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(387,264</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(649,004</w:t>
            </w:r>
          </w:p>
        </w:tc>
        <w:tc>
          <w:tcPr>
            <w:tcW w:w="155"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both"/>
              <w:rPr/>
            </w:pPr>
            <w:r>
              <w:rPr/>
              <w:t>Reserves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1,384,622</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pPr>
            <w:r>
              <w:rPr/>
              <w:t>1,086,528</w:t>
            </w:r>
          </w:p>
        </w:tc>
        <w:tc>
          <w:tcPr>
            <w:tcW w:w="15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706,751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276,598</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4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pPr>
            <w:r>
              <w:rPr/>
              <w:t>Amount less than US$1,000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GROUP UNAUDITED CONSOLIDATED OPERATIONS AND COMPREHENSIVE INCOME / (LOSS)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3"/>
        <w:gridCol w:w="60"/>
        <w:gridCol w:w="65"/>
        <w:gridCol w:w="956"/>
        <w:gridCol w:w="103"/>
        <w:gridCol w:w="65"/>
        <w:gridCol w:w="65"/>
        <w:gridCol w:w="874"/>
        <w:gridCol w:w="95"/>
        <w:gridCol w:w="60"/>
        <w:gridCol w:w="60"/>
        <w:gridCol w:w="875"/>
        <w:gridCol w:w="95"/>
        <w:gridCol w:w="60"/>
        <w:gridCol w:w="60"/>
        <w:gridCol w:w="875"/>
        <w:gridCol w:w="114"/>
      </w:tblGrid>
      <w:tr>
        <w:trPr/>
        <w:tc>
          <w:tcPr>
            <w:tcW w:w="5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4" w:type="dxa"/>
            <w:tcBorders/>
            <w:vAlign w:val="center"/>
          </w:tcPr>
          <w:p>
            <w:pPr>
              <w:pStyle w:val="TableContents"/>
              <w:bidi w:val="0"/>
              <w:spacing w:before="0" w:after="283"/>
              <w:jc w:val="left"/>
              <w:rPr/>
            </w:pPr>
            <w:r>
              <w:rPr/>
              <w:t> </w:t>
            </w:r>
          </w:p>
        </w:tc>
      </w:tr>
      <w:tr>
        <w:trPr/>
        <w:tc>
          <w:tcPr>
            <w:tcW w:w="5723" w:type="dxa"/>
            <w:tcBorders>
              <w:bottom w:val="single" w:sz="12" w:space="0" w:color="000000"/>
            </w:tcBorders>
            <w:tcMar>
              <w:bottom w:w="28" w:type="dxa"/>
            </w:tcMar>
            <w:vAlign w:val="center"/>
          </w:tcPr>
          <w:p>
            <w:pPr>
              <w:pStyle w:val="TableContents"/>
              <w:bidi w:val="0"/>
              <w:spacing w:before="0" w:after="283"/>
              <w:jc w:val="left"/>
              <w:rPr>
                <w:b/>
              </w:rPr>
            </w:pPr>
            <w:r>
              <w:rPr>
                <w:b/>
              </w:rPr>
              <w:t>(US $ in thousands)</w:t>
            </w:r>
          </w:p>
        </w:tc>
        <w:tc>
          <w:tcPr>
            <w:tcW w:w="60" w:type="dxa"/>
            <w:tcBorders/>
            <w:vAlign w:val="center"/>
          </w:tcPr>
          <w:p>
            <w:pPr>
              <w:pStyle w:val="TableContents"/>
              <w:bidi w:val="0"/>
              <w:spacing w:before="0" w:after="283"/>
              <w:jc w:val="left"/>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5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5723" w:type="dxa"/>
            <w:tcBorders/>
            <w:shd w:fill="CCEEFF" w:val="clear"/>
            <w:vAlign w:val="center"/>
          </w:tcPr>
          <w:p>
            <w:pPr>
              <w:pStyle w:val="TableContents"/>
              <w:bidi w:val="0"/>
              <w:spacing w:before="0" w:after="283"/>
              <w:jc w:val="both"/>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b/>
              </w:rPr>
            </w:pPr>
            <w:r>
              <w:rPr>
                <w:b/>
              </w:rPr>
              <w:t>155,582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b/>
              </w:rPr>
            </w:pPr>
            <w:r>
              <w:rPr>
                <w:b/>
              </w:rPr>
              <w:t>99,229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225,710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218,735</w:t>
            </w:r>
          </w:p>
        </w:tc>
        <w:tc>
          <w:tcPr>
            <w:tcW w:w="114" w:type="dxa"/>
            <w:tcBorders/>
            <w:shd w:fill="CCEEFF" w:val="clear"/>
            <w:vAlign w:val="center"/>
          </w:tcPr>
          <w:p>
            <w:pPr>
              <w:pStyle w:val="TableContents"/>
              <w:bidi w:val="0"/>
              <w:spacing w:before="0" w:after="283"/>
              <w:jc w:val="left"/>
              <w:rPr/>
            </w:pPr>
            <w:r>
              <w:rPr/>
              <w:t> </w:t>
            </w:r>
          </w:p>
        </w:tc>
      </w:tr>
      <w:tr>
        <w:trPr/>
        <w:tc>
          <w:tcPr>
            <w:tcW w:w="5723" w:type="dxa"/>
            <w:tcBorders/>
            <w:shd w:fill="FFFFFF" w:val="clear"/>
            <w:vAlign w:val="center"/>
          </w:tcPr>
          <w:p>
            <w:pPr>
              <w:pStyle w:val="TableContents"/>
              <w:bidi w:val="0"/>
              <w:spacing w:before="0" w:after="283"/>
              <w:jc w:val="both"/>
              <w:rPr/>
            </w:pPr>
            <w:r>
              <w:rPr/>
              <w:t>Cost of revenue</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pPr>
            <w:r>
              <w:rPr/>
              <w:t>(142,762</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FFFFFF" w:val="clear"/>
            <w:tcMar>
              <w:bottom w:w="28" w:type="dxa"/>
            </w:tcMar>
            <w:vAlign w:val="center"/>
          </w:tcPr>
          <w:p>
            <w:pPr>
              <w:pStyle w:val="TableContents"/>
              <w:bidi w:val="0"/>
              <w:spacing w:before="0" w:after="283"/>
              <w:jc w:val="right"/>
              <w:rPr/>
            </w:pPr>
            <w:r>
              <w:rPr/>
              <w:t>(74,824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(216,115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(160,199</w:t>
            </w:r>
          </w:p>
        </w:tc>
        <w:tc>
          <w:tcPr>
            <w:tcW w:w="114" w:type="dxa"/>
            <w:tcBorders/>
            <w:shd w:fill="FFFFFF" w:val="clear"/>
            <w:vAlign w:val="center"/>
          </w:tcPr>
          <w:p>
            <w:pPr>
              <w:pStyle w:val="TableContents"/>
              <w:bidi w:val="0"/>
              <w:spacing w:before="0" w:after="283"/>
              <w:jc w:val="left"/>
              <w:rPr/>
            </w:pPr>
            <w:r>
              <w:rPr/>
              <w:t>)</w:t>
            </w:r>
          </w:p>
        </w:tc>
      </w:tr>
      <w:tr>
        <w:trPr/>
        <w:tc>
          <w:tcPr>
            <w:tcW w:w="5723"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b/>
              </w:rPr>
            </w:pPr>
            <w:r>
              <w:rPr>
                <w:b/>
              </w:rPr>
              <w:t>12,820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b/>
              </w:rPr>
            </w:pPr>
            <w:r>
              <w:rPr>
                <w:b/>
              </w:rPr>
              <w:t>24,405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9,595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58,536</w:t>
            </w:r>
          </w:p>
        </w:tc>
        <w:tc>
          <w:tcPr>
            <w:tcW w:w="114" w:type="dxa"/>
            <w:tcBorders/>
            <w:shd w:fill="CCEEFF" w:val="clear"/>
            <w:vAlign w:val="center"/>
          </w:tcPr>
          <w:p>
            <w:pPr>
              <w:pStyle w:val="TableContents"/>
              <w:bidi w:val="0"/>
              <w:spacing w:before="0" w:after="283"/>
              <w:jc w:val="left"/>
              <w:rPr/>
            </w:pPr>
            <w:r>
              <w:rPr/>
              <w:t> </w:t>
            </w:r>
          </w:p>
        </w:tc>
      </w:tr>
      <w:tr>
        <w:trPr/>
        <w:tc>
          <w:tcPr>
            <w:tcW w:w="5723" w:type="dxa"/>
            <w:tcBorders/>
            <w:shd w:fill="FFFFFF" w:val="clear"/>
            <w:vAlign w:val="center"/>
          </w:tcPr>
          <w:p>
            <w:pPr>
              <w:pStyle w:val="TableContents"/>
              <w:bidi w:val="0"/>
              <w:spacing w:before="0" w:after="283"/>
              <w:jc w:val="both"/>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(1,626</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(2,173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(3,863</w:t>
            </w:r>
          </w:p>
        </w:tc>
        <w:tc>
          <w:tcPr>
            <w:tcW w:w="114" w:type="dxa"/>
            <w:tcBorders/>
            <w:shd w:fill="FFFFFF" w:val="clear"/>
            <w:vAlign w:val="center"/>
          </w:tcPr>
          <w:p>
            <w:pPr>
              <w:pStyle w:val="TableContents"/>
              <w:bidi w:val="0"/>
              <w:spacing w:before="0" w:after="283"/>
              <w:jc w:val="left"/>
              <w:rPr/>
            </w:pPr>
            <w:r>
              <w:rPr/>
              <w:t>)</w:t>
            </w:r>
          </w:p>
        </w:tc>
      </w:tr>
      <w:tr>
        <w:trPr/>
        <w:tc>
          <w:tcPr>
            <w:tcW w:w="5723"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(20,138</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(15,852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(35,527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(30,821</w:t>
            </w:r>
          </w:p>
        </w:tc>
        <w:tc>
          <w:tcPr>
            <w:tcW w:w="114" w:type="dxa"/>
            <w:tcBorders/>
            <w:shd w:fill="CCEEFF" w:val="clear"/>
            <w:vAlign w:val="center"/>
          </w:tcPr>
          <w:p>
            <w:pPr>
              <w:pStyle w:val="TableContents"/>
              <w:bidi w:val="0"/>
              <w:spacing w:before="0" w:after="283"/>
              <w:jc w:val="left"/>
              <w:rPr/>
            </w:pPr>
            <w:r>
              <w:rPr/>
              <w:t>)</w:t>
            </w:r>
          </w:p>
        </w:tc>
      </w:tr>
      <w:tr>
        <w:trPr/>
        <w:tc>
          <w:tcPr>
            <w:tcW w:w="5723"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(20,577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(8,048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(79,591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(29,212</w:t>
            </w:r>
          </w:p>
        </w:tc>
        <w:tc>
          <w:tcPr>
            <w:tcW w:w="114" w:type="dxa"/>
            <w:tcBorders/>
            <w:shd w:fill="FFFFFF" w:val="clear"/>
            <w:vAlign w:val="center"/>
          </w:tcPr>
          <w:p>
            <w:pPr>
              <w:pStyle w:val="TableContents"/>
              <w:bidi w:val="0"/>
              <w:spacing w:before="0" w:after="283"/>
              <w:jc w:val="left"/>
              <w:rPr/>
            </w:pPr>
            <w:r>
              <w:rPr/>
              <w:t>)</w:t>
            </w:r>
          </w:p>
        </w:tc>
      </w:tr>
      <w:tr>
        <w:trPr/>
        <w:tc>
          <w:tcPr>
            <w:tcW w:w="5723" w:type="dxa"/>
            <w:tcBorders/>
            <w:shd w:fill="CCEEFF" w:val="clear"/>
            <w:vAlign w:val="center"/>
          </w:tcPr>
          <w:p>
            <w:pPr>
              <w:pStyle w:val="TableContents"/>
              <w:bidi w:val="0"/>
              <w:spacing w:before="0" w:after="283"/>
              <w:jc w:val="both"/>
              <w:rPr/>
            </w:pPr>
            <w:r>
              <w:rPr/>
              <w:t>Other operating income / (expenses)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3,735</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1,431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3,177</w:t>
            </w:r>
          </w:p>
        </w:tc>
        <w:tc>
          <w:tcPr>
            <w:tcW w:w="114" w:type="dxa"/>
            <w:tcBorders/>
            <w:shd w:fill="CCEEFF" w:val="clear"/>
            <w:vAlign w:val="center"/>
          </w:tcPr>
          <w:p>
            <w:pPr>
              <w:pStyle w:val="TableContents"/>
              <w:bidi w:val="0"/>
              <w:spacing w:before="0" w:after="283"/>
              <w:jc w:val="left"/>
              <w:rPr/>
            </w:pPr>
            <w:r>
              <w:rPr/>
              <w:t> </w:t>
            </w:r>
          </w:p>
        </w:tc>
      </w:tr>
      <w:tr>
        <w:trPr/>
        <w:tc>
          <w:tcPr>
            <w:tcW w:w="5723" w:type="dxa"/>
            <w:tcBorders/>
            <w:shd w:fill="FFFFFF" w:val="clear"/>
            <w:vAlign w:val="center"/>
          </w:tcPr>
          <w:p>
            <w:pPr>
              <w:pStyle w:val="TableContents"/>
              <w:bidi w:val="0"/>
              <w:spacing w:before="0" w:after="283"/>
              <w:jc w:val="both"/>
              <w:rPr/>
            </w:pPr>
            <w:r>
              <w:rPr/>
              <w:t>Other net gain / (loss)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pPr>
            <w:r>
              <w:rPr/>
              <w:t>(108,451</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FFFFFF" w:val="clear"/>
            <w:tcMar>
              <w:bottom w:w="28" w:type="dxa"/>
            </w:tcMar>
            <w:vAlign w:val="center"/>
          </w:tcPr>
          <w:p>
            <w:pPr>
              <w:pStyle w:val="TableContents"/>
              <w:bidi w:val="0"/>
              <w:spacing w:before="0" w:after="283"/>
              <w:jc w:val="right"/>
              <w:rPr/>
            </w:pPr>
            <w:r>
              <w:rPr/>
              <w:t>(15,467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394,599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(13,020</w:t>
            </w:r>
          </w:p>
        </w:tc>
        <w:tc>
          <w:tcPr>
            <w:tcW w:w="114" w:type="dxa"/>
            <w:tcBorders/>
            <w:shd w:fill="FFFFFF" w:val="clear"/>
            <w:vAlign w:val="center"/>
          </w:tcPr>
          <w:p>
            <w:pPr>
              <w:pStyle w:val="TableContents"/>
              <w:bidi w:val="0"/>
              <w:spacing w:before="0" w:after="283"/>
              <w:jc w:val="left"/>
              <w:rPr/>
            </w:pPr>
            <w:r>
              <w:rPr/>
              <w:t>)</w:t>
            </w:r>
          </w:p>
        </w:tc>
      </w:tr>
      <w:tr>
        <w:trPr/>
        <w:tc>
          <w:tcPr>
            <w:tcW w:w="5723" w:type="dxa"/>
            <w:tcBorders/>
            <w:shd w:fill="CCEEFF" w:val="clear"/>
            <w:vAlign w:val="center"/>
          </w:tcPr>
          <w:p>
            <w:pPr>
              <w:pStyle w:val="TableContents"/>
              <w:bidi w:val="0"/>
              <w:spacing w:before="0" w:after="283"/>
              <w:jc w:val="both"/>
              <w:rPr>
                <w:b/>
              </w:rPr>
            </w:pPr>
            <w:r>
              <w:rPr>
                <w:b/>
              </w:rPr>
              <w:t>Profit / (loss) from operations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b/>
              </w:rPr>
            </w:pPr>
            <w:r>
              <w:rPr>
                <w:b/>
              </w:rPr>
              <w:t>(134,237</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b/>
              </w:rPr>
            </w:pPr>
            <w:r>
              <w:rPr>
                <w:b/>
              </w:rPr>
              <w:t>(15,704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282,003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(15,203</w:t>
            </w:r>
          </w:p>
        </w:tc>
        <w:tc>
          <w:tcPr>
            <w:tcW w:w="114" w:type="dxa"/>
            <w:tcBorders/>
            <w:shd w:fill="CCEEFF" w:val="clear"/>
            <w:vAlign w:val="center"/>
          </w:tcPr>
          <w:p>
            <w:pPr>
              <w:pStyle w:val="TableContents"/>
              <w:bidi w:val="0"/>
              <w:spacing w:before="0" w:after="283"/>
              <w:jc w:val="left"/>
              <w:rPr>
                <w:b/>
              </w:rPr>
            </w:pPr>
            <w:r>
              <w:rPr>
                <w:b/>
              </w:rPr>
              <w:t>)</w:t>
            </w:r>
          </w:p>
        </w:tc>
      </w:tr>
      <w:tr>
        <w:trPr/>
        <w:tc>
          <w:tcPr>
            <w:tcW w:w="5723" w:type="dxa"/>
            <w:tcBorders/>
            <w:shd w:fill="FFFFFF" w:val="clear"/>
            <w:vAlign w:val="center"/>
          </w:tcPr>
          <w:p>
            <w:pPr>
              <w:pStyle w:val="TableContents"/>
              <w:bidi w:val="0"/>
              <w:spacing w:before="0" w:after="283"/>
              <w:jc w:val="both"/>
              <w:rPr/>
            </w:pPr>
            <w:r>
              <w:rPr/>
              <w:t>Finance income / (expenses)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pPr>
            <w:r>
              <w:rPr/>
              <w:t>(13,693</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FFFFFF" w:val="clear"/>
            <w:tcMar>
              <w:bottom w:w="28" w:type="dxa"/>
            </w:tcM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(23,036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107</w:t>
            </w:r>
          </w:p>
        </w:tc>
        <w:tc>
          <w:tcPr>
            <w:tcW w:w="114" w:type="dxa"/>
            <w:tcBorders/>
            <w:shd w:fill="FFFFFF" w:val="clear"/>
            <w:vAlign w:val="center"/>
          </w:tcPr>
          <w:p>
            <w:pPr>
              <w:pStyle w:val="TableContents"/>
              <w:bidi w:val="0"/>
              <w:spacing w:before="0" w:after="283"/>
              <w:jc w:val="left"/>
              <w:rPr/>
            </w:pPr>
            <w:r>
              <w:rPr/>
              <w:t> </w:t>
            </w:r>
          </w:p>
        </w:tc>
      </w:tr>
      <w:tr>
        <w:trPr/>
        <w:tc>
          <w:tcPr>
            <w:tcW w:w="5723" w:type="dxa"/>
            <w:tcBorders/>
            <w:shd w:fill="CCEEFF" w:val="clear"/>
            <w:vAlign w:val="center"/>
          </w:tcPr>
          <w:p>
            <w:pPr>
              <w:pStyle w:val="TableContents"/>
              <w:bidi w:val="0"/>
              <w:spacing w:before="0" w:after="283"/>
              <w:jc w:val="both"/>
              <w:rPr>
                <w:b/>
              </w:rPr>
            </w:pPr>
            <w:r>
              <w:rPr>
                <w:b/>
              </w:rPr>
              <w:t>Profit / (loss) before taxation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b/>
              </w:rPr>
            </w:pPr>
            <w:r>
              <w:rPr>
                <w:b/>
              </w:rPr>
              <w:t>(147,930</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b/>
              </w:rPr>
            </w:pPr>
            <w:r>
              <w:rPr>
                <w:b/>
              </w:rPr>
              <w:t>(15,748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258,967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(15,096</w:t>
            </w:r>
          </w:p>
        </w:tc>
        <w:tc>
          <w:tcPr>
            <w:tcW w:w="114" w:type="dxa"/>
            <w:tcBorders/>
            <w:shd w:fill="CCEEFF" w:val="clear"/>
            <w:vAlign w:val="center"/>
          </w:tcPr>
          <w:p>
            <w:pPr>
              <w:pStyle w:val="TableContents"/>
              <w:bidi w:val="0"/>
              <w:spacing w:before="0" w:after="283"/>
              <w:jc w:val="left"/>
              <w:rPr>
                <w:b/>
              </w:rPr>
            </w:pPr>
            <w:r>
              <w:rPr>
                <w:b/>
              </w:rPr>
              <w:t>)</w:t>
            </w:r>
          </w:p>
        </w:tc>
      </w:tr>
      <w:tr>
        <w:trPr/>
        <w:tc>
          <w:tcPr>
            <w:tcW w:w="5723" w:type="dxa"/>
            <w:tcBorders/>
            <w:shd w:fill="FFFFFF" w:val="clear"/>
            <w:vAlign w:val="center"/>
          </w:tcPr>
          <w:p>
            <w:pPr>
              <w:pStyle w:val="TableContents"/>
              <w:bidi w:val="0"/>
              <w:spacing w:before="0" w:after="283"/>
              <w:jc w:val="both"/>
              <w:rPr/>
            </w:pPr>
            <w:r>
              <w:rPr/>
              <w:t>Income tax benefit / (expenses)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pPr>
            <w:r>
              <w:rPr/>
              <w:t>197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FFFFFF" w:val="clear"/>
            <w:tcMar>
              <w:bottom w:w="28" w:type="dxa"/>
            </w:tcMar>
            <w:vAlign w:val="center"/>
          </w:tcPr>
          <w:p>
            <w:pPr>
              <w:pStyle w:val="TableContents"/>
              <w:bidi w:val="0"/>
              <w:spacing w:before="0" w:after="283"/>
              <w:jc w:val="right"/>
              <w:rPr/>
            </w:pPr>
            <w:r>
              <w:rPr/>
              <w:t>(1,995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(2,041</w:t>
            </w:r>
          </w:p>
        </w:tc>
        <w:tc>
          <w:tcPr>
            <w:tcW w:w="114" w:type="dxa"/>
            <w:tcBorders/>
            <w:shd w:fill="FFFFFF" w:val="clear"/>
            <w:vAlign w:val="center"/>
          </w:tcPr>
          <w:p>
            <w:pPr>
              <w:pStyle w:val="TableContents"/>
              <w:bidi w:val="0"/>
              <w:spacing w:before="0" w:after="283"/>
              <w:jc w:val="left"/>
              <w:rPr/>
            </w:pPr>
            <w:r>
              <w:rPr/>
              <w:t>)</w:t>
            </w:r>
          </w:p>
        </w:tc>
      </w:tr>
      <w:tr>
        <w:trPr/>
        <w:tc>
          <w:tcPr>
            <w:tcW w:w="5723" w:type="dxa"/>
            <w:tcBorders/>
            <w:shd w:fill="CCEEFF" w:val="clear"/>
            <w:vAlign w:val="center"/>
          </w:tcPr>
          <w:p>
            <w:pPr>
              <w:pStyle w:val="TableContents"/>
              <w:bidi w:val="0"/>
              <w:spacing w:before="0" w:after="283"/>
              <w:jc w:val="both"/>
              <w:rPr>
                <w:b/>
              </w:rPr>
            </w:pPr>
            <w:r>
              <w:rPr>
                <w:b/>
              </w:rPr>
              <w:t>Profit / (loss) for the period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(147,733</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(17,743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(17,137</w:t>
            </w:r>
          </w:p>
        </w:tc>
        <w:tc>
          <w:tcPr>
            <w:tcW w:w="114" w:type="dxa"/>
            <w:tcBorders/>
            <w:shd w:fill="CCEEFF" w:val="clear"/>
            <w:vAlign w:val="center"/>
          </w:tcPr>
          <w:p>
            <w:pPr>
              <w:pStyle w:val="TableContents"/>
              <w:bidi w:val="0"/>
              <w:spacing w:before="0" w:after="283"/>
              <w:jc w:val="left"/>
              <w:rPr>
                <w:b/>
              </w:rPr>
            </w:pPr>
            <w:r>
              <w:rPr>
                <w:b/>
              </w:rPr>
              <w:t>)</w:t>
            </w:r>
          </w:p>
        </w:tc>
      </w:tr>
      <w:tr>
        <w:trPr/>
        <w:tc>
          <w:tcPr>
            <w:tcW w:w="5723" w:type="dxa"/>
            <w:tcBorders/>
            <w:shd w:fill="FFFFFF" w:val="clear"/>
            <w:vAlign w:val="center"/>
          </w:tcPr>
          <w:p>
            <w:pPr>
              <w:pStyle w:val="TableContents"/>
              <w:bidi w:val="0"/>
              <w:spacing w:before="0" w:after="283"/>
              <w:jc w:val="both"/>
              <w:rPr>
                <w:b/>
              </w:rPr>
            </w:pPr>
            <w:r>
              <w:rPr>
                <w:b/>
              </w:rPr>
              <w:t>Other comprehensive income / (loss)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723" w:type="dxa"/>
            <w:tcBorders/>
            <w:shd w:fill="CCEEFF" w:val="clear"/>
            <w:vAlign w:val="center"/>
          </w:tcPr>
          <w:p>
            <w:pPr>
              <w:pStyle w:val="TableContents"/>
              <w:bidi w:val="0"/>
              <w:spacing w:before="0" w:after="283"/>
              <w:jc w:val="both"/>
              <w:rPr/>
            </w:pPr>
            <w:r>
              <w:rPr/>
              <w:t>Income / (loss) for the period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(147,733</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(17,743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261,740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(17,137</w:t>
            </w:r>
          </w:p>
        </w:tc>
        <w:tc>
          <w:tcPr>
            <w:tcW w:w="114" w:type="dxa"/>
            <w:tcBorders/>
            <w:shd w:fill="CCEEFF" w:val="clear"/>
            <w:vAlign w:val="center"/>
          </w:tcPr>
          <w:p>
            <w:pPr>
              <w:pStyle w:val="TableContents"/>
              <w:bidi w:val="0"/>
              <w:spacing w:before="0" w:after="283"/>
              <w:jc w:val="left"/>
              <w:rPr/>
            </w:pPr>
            <w:r>
              <w:rPr/>
              <w:t>)</w:t>
            </w:r>
          </w:p>
        </w:tc>
      </w:tr>
      <w:tr>
        <w:trPr/>
        <w:tc>
          <w:tcPr>
            <w:tcW w:w="5723" w:type="dxa"/>
            <w:tcBorders/>
            <w:shd w:fill="FFFFFF" w:val="clear"/>
            <w:vAlign w:val="center"/>
          </w:tcPr>
          <w:p>
            <w:pPr>
              <w:pStyle w:val="TableContents"/>
              <w:bidi w:val="0"/>
              <w:spacing w:before="0" w:after="283"/>
              <w:jc w:val="left"/>
              <w:rPr>
                <w:b/>
              </w:rPr>
            </w:pPr>
            <w:r>
              <w:rPr>
                <w:b/>
              </w:rPr>
              <w:t>Other comprehensive income / (loss) for the period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723" w:type="dxa"/>
            <w:tcBorders/>
            <w:shd w:fill="CCEEFF" w:val="clear"/>
            <w:vAlign w:val="center"/>
          </w:tcPr>
          <w:p>
            <w:pPr>
              <w:pStyle w:val="TableContents"/>
              <w:bidi w:val="0"/>
              <w:spacing w:before="0" w:after="283"/>
              <w:jc w:val="both"/>
              <w:rPr>
                <w:i/>
              </w:rPr>
            </w:pPr>
            <w:r>
              <w:rPr>
                <w:i/>
              </w:rPr>
              <w:t>Item that may be reclassified to profit or loss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723" w:type="dxa"/>
            <w:tcBorders/>
            <w:shd w:fill="FFFFFF" w:val="clear"/>
            <w:vAlign w:val="center"/>
          </w:tcPr>
          <w:p>
            <w:pPr>
              <w:pStyle w:val="TableContents"/>
              <w:bidi w:val="0"/>
              <w:spacing w:before="0" w:after="283"/>
              <w:jc w:val="both"/>
              <w:rPr/>
            </w:pPr>
            <w:r>
              <w:rPr/>
              <w:t>Exchange differences on translation of financial statements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114" w:type="dxa"/>
            <w:tcBorders/>
            <w:shd w:fill="FFFFFF" w:val="clear"/>
            <w:vAlign w:val="center"/>
          </w:tcPr>
          <w:p>
            <w:pPr>
              <w:pStyle w:val="TableContents"/>
              <w:bidi w:val="0"/>
              <w:spacing w:before="0" w:after="283"/>
              <w:jc w:val="left"/>
              <w:rPr/>
            </w:pPr>
            <w:r>
              <w:rPr/>
              <w:t> </w:t>
            </w:r>
          </w:p>
        </w:tc>
      </w:tr>
      <w:tr>
        <w:trPr/>
        <w:tc>
          <w:tcPr>
            <w:tcW w:w="5723" w:type="dxa"/>
            <w:tcBorders/>
            <w:shd w:fill="CCEEFF" w:val="clear"/>
            <w:vAlign w:val="center"/>
          </w:tcPr>
          <w:p>
            <w:pPr>
              <w:pStyle w:val="TableContents"/>
              <w:bidi w:val="0"/>
              <w:spacing w:before="0" w:after="283"/>
              <w:jc w:val="both"/>
              <w:rPr>
                <w:b/>
              </w:rPr>
            </w:pPr>
            <w:r>
              <w:rPr>
                <w:b/>
              </w:rPr>
              <w:t>Other comprehensive income / (loss) for the period, net of tax</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w:t>
            </w:r>
          </w:p>
        </w:tc>
        <w:tc>
          <w:tcPr>
            <w:tcW w:w="114" w:type="dxa"/>
            <w:tcBorders/>
            <w:shd w:fill="CCEEFF" w:val="clear"/>
            <w:vAlign w:val="center"/>
          </w:tcPr>
          <w:p>
            <w:pPr>
              <w:pStyle w:val="TableContents"/>
              <w:bidi w:val="0"/>
              <w:spacing w:before="0" w:after="283"/>
              <w:jc w:val="left"/>
              <w:rPr/>
            </w:pPr>
            <w:r>
              <w:rPr/>
              <w:t> </w:t>
            </w:r>
          </w:p>
        </w:tc>
      </w:tr>
      <w:tr>
        <w:trPr/>
        <w:tc>
          <w:tcPr>
            <w:tcW w:w="5723" w:type="dxa"/>
            <w:tcBorders/>
            <w:shd w:fill="FFFFFF" w:val="clear"/>
            <w:vAlign w:val="center"/>
          </w:tcPr>
          <w:p>
            <w:pPr>
              <w:pStyle w:val="TableContents"/>
              <w:bidi w:val="0"/>
              <w:spacing w:before="0" w:after="283"/>
              <w:jc w:val="both"/>
              <w:rPr>
                <w:b/>
              </w:rPr>
            </w:pPr>
            <w:r>
              <w:rPr>
                <w:b/>
              </w:rPr>
              <w:t>Total comprehensive income / (loss) for the period</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(147,750</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(17,729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261,889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(17,091</w:t>
            </w:r>
          </w:p>
        </w:tc>
        <w:tc>
          <w:tcPr>
            <w:tcW w:w="114" w:type="dxa"/>
            <w:tcBorders/>
            <w:shd w:fill="FFFFFF" w:val="clear"/>
            <w:vAlign w:val="center"/>
          </w:tcPr>
          <w:p>
            <w:pPr>
              <w:pStyle w:val="TableContents"/>
              <w:bidi w:val="0"/>
              <w:spacing w:before="0" w:after="283"/>
              <w:jc w:val="left"/>
              <w:rPr>
                <w:b/>
              </w:rPr>
            </w:pPr>
            <w:r>
              <w:rPr>
                <w:b/>
              </w:rPr>
              <w:t>)</w:t>
            </w:r>
          </w:p>
        </w:tc>
      </w:tr>
      <w:tr>
        <w:trPr/>
        <w:tc>
          <w:tcPr>
            <w:tcW w:w="5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723" w:type="dxa"/>
            <w:tcBorders/>
            <w:shd w:fill="FFFFFF" w:val="clear"/>
            <w:vAlign w:val="center"/>
          </w:tcPr>
          <w:p>
            <w:pPr>
              <w:pStyle w:val="TableContents"/>
              <w:bidi w:val="0"/>
              <w:spacing w:before="0" w:after="283"/>
              <w:jc w:val="both"/>
              <w:rPr>
                <w:b/>
              </w:rPr>
            </w:pPr>
            <w:r>
              <w:rPr>
                <w:b/>
              </w:rPr>
              <w:t>Earnings / (loss) per share (in US$)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723" w:type="dxa"/>
            <w:tcBorders/>
            <w:shd w:fill="CCEEFF" w:val="clear"/>
            <w:vAlign w:val="center"/>
          </w:tcPr>
          <w:p>
            <w:pPr>
              <w:pStyle w:val="TableContents"/>
              <w:bidi w:val="0"/>
              <w:spacing w:before="0" w:after="283"/>
              <w:jc w:val="both"/>
              <w:rPr/>
            </w:pPr>
            <w:r>
              <w:rPr/>
              <w:t>Basic</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(0.76</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(0.14</w:t>
            </w:r>
          </w:p>
        </w:tc>
        <w:tc>
          <w:tcPr>
            <w:tcW w:w="114" w:type="dxa"/>
            <w:tcBorders/>
            <w:shd w:fill="CCEEFF" w:val="clear"/>
            <w:vAlign w:val="center"/>
          </w:tcPr>
          <w:p>
            <w:pPr>
              <w:pStyle w:val="TableContents"/>
              <w:bidi w:val="0"/>
              <w:spacing w:before="0" w:after="283"/>
              <w:jc w:val="left"/>
              <w:rPr/>
            </w:pPr>
            <w:r>
              <w:rPr/>
              <w:t>)</w:t>
            </w:r>
          </w:p>
        </w:tc>
      </w:tr>
      <w:tr>
        <w:trPr/>
        <w:tc>
          <w:tcPr>
            <w:tcW w:w="5723"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(0.76</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(0.14</w:t>
            </w:r>
          </w:p>
        </w:tc>
        <w:tc>
          <w:tcPr>
            <w:tcW w:w="114" w:type="dxa"/>
            <w:tcBorders/>
            <w:shd w:fill="FFFFFF" w:val="clear"/>
            <w:vAlign w:val="center"/>
          </w:tcPr>
          <w:p>
            <w:pPr>
              <w:pStyle w:val="TableContents"/>
              <w:bidi w:val="0"/>
              <w:spacing w:before="0" w:after="283"/>
              <w:jc w:val="left"/>
              <w:rPr/>
            </w:pPr>
            <w:r>
              <w:rPr/>
              <w:t>)</w:t>
            </w:r>
          </w:p>
        </w:tc>
      </w:tr>
      <w:tr>
        <w:trPr/>
        <w:tc>
          <w:tcPr>
            <w:tcW w:w="5723" w:type="dxa"/>
            <w:tcBorders/>
            <w:shd w:fill="CCEEFF" w:val="clear"/>
            <w:vAlign w:val="center"/>
          </w:tcPr>
          <w:p>
            <w:pPr>
              <w:pStyle w:val="TableContents"/>
              <w:bidi w:val="0"/>
              <w:spacing w:before="0" w:after="283"/>
              <w:jc w:val="left"/>
              <w:rPr>
                <w:b/>
              </w:rPr>
            </w:pPr>
            <w:r>
              <w:rPr>
                <w:b/>
              </w:rPr>
              <w:t>Weighted average number of shares outstanding (thousand shares)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723" w:type="dxa"/>
            <w:tcBorders/>
            <w:shd w:fill="FFFFFF" w:val="clear"/>
            <w:vAlign w:val="center"/>
          </w:tcPr>
          <w:p>
            <w:pPr>
              <w:pStyle w:val="TableContents"/>
              <w:bidi w:val="0"/>
              <w:spacing w:before="0" w:after="283"/>
              <w:jc w:val="both"/>
              <w:rPr/>
            </w:pPr>
            <w:r>
              <w:rPr/>
              <w:t>Basic</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193,970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126,530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192,095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120,686</w:t>
            </w:r>
          </w:p>
        </w:tc>
        <w:tc>
          <w:tcPr>
            <w:tcW w:w="114" w:type="dxa"/>
            <w:tcBorders/>
            <w:shd w:fill="FFFFFF" w:val="clear"/>
            <w:vAlign w:val="center"/>
          </w:tcPr>
          <w:p>
            <w:pPr>
              <w:pStyle w:val="TableContents"/>
              <w:bidi w:val="0"/>
              <w:spacing w:before="0" w:after="283"/>
              <w:jc w:val="left"/>
              <w:rPr/>
            </w:pPr>
            <w:r>
              <w:rPr/>
              <w:t> </w:t>
            </w:r>
          </w:p>
        </w:tc>
      </w:tr>
      <w:tr>
        <w:trPr/>
        <w:tc>
          <w:tcPr>
            <w:tcW w:w="5723" w:type="dxa"/>
            <w:tcBorders/>
            <w:shd w:fill="CCEEFF" w:val="clear"/>
            <w:vAlign w:val="center"/>
          </w:tcPr>
          <w:p>
            <w:pPr>
              <w:pStyle w:val="TableContents"/>
              <w:bidi w:val="0"/>
              <w:spacing w:before="0" w:after="283"/>
              <w:jc w:val="both"/>
              <w:rPr/>
            </w:pPr>
            <w:r>
              <w:rPr/>
              <w:t>Diluted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193,970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126,530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228,946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120,686</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GROUP 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2"/>
        <w:gridCol w:w="60"/>
        <w:gridCol w:w="64"/>
        <w:gridCol w:w="940"/>
        <w:gridCol w:w="101"/>
        <w:gridCol w:w="64"/>
        <w:gridCol w:w="64"/>
        <w:gridCol w:w="859"/>
        <w:gridCol w:w="95"/>
        <w:gridCol w:w="60"/>
        <w:gridCol w:w="60"/>
        <w:gridCol w:w="875"/>
        <w:gridCol w:w="95"/>
        <w:gridCol w:w="60"/>
        <w:gridCol w:w="60"/>
        <w:gridCol w:w="875"/>
        <w:gridCol w:w="101"/>
      </w:tblGrid>
      <w:tr>
        <w:trPr/>
        <w:tc>
          <w:tcPr>
            <w:tcW w:w="577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01" w:type="dxa"/>
            <w:tcBorders/>
            <w:vAlign w:val="center"/>
          </w:tcPr>
          <w:p>
            <w:pPr>
              <w:pStyle w:val="TableContents"/>
              <w:bidi w:val="0"/>
              <w:spacing w:before="0" w:after="283"/>
              <w:ind w:left="0" w:right="0" w:hanging="180"/>
              <w:jc w:val="left"/>
              <w:rPr/>
            </w:pPr>
            <w:r>
              <w:rPr/>
              <w:t> </w:t>
            </w:r>
          </w:p>
        </w:tc>
      </w:tr>
      <w:tr>
        <w:trPr/>
        <w:tc>
          <w:tcPr>
            <w:tcW w:w="5772" w:type="dxa"/>
            <w:tcBorders>
              <w:bottom w:val="single" w:sz="12" w:space="0" w:color="000000"/>
            </w:tcBorders>
            <w:tcMar>
              <w:bottom w:w="28" w:type="dxa"/>
            </w:tcMar>
            <w:vAlign w:val="center"/>
          </w:tcPr>
          <w:p>
            <w:pPr>
              <w:pStyle w:val="TableContents"/>
              <w:bidi w:val="0"/>
              <w:spacing w:before="0" w:after="283"/>
              <w:jc w:val="left"/>
              <w:rPr>
                <w:b/>
              </w:rPr>
            </w:pPr>
            <w:r>
              <w:rPr>
                <w:b/>
              </w:rPr>
              <w:t>(US $ in thousands)</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ind w:left="0" w:right="0" w:hanging="180"/>
              <w:jc w:val="left"/>
              <w:rPr/>
            </w:pPr>
            <w:r>
              <w:rPr/>
              <w:t> </w:t>
            </w:r>
          </w:p>
        </w:tc>
      </w:tr>
      <w:tr>
        <w:trPr/>
        <w:tc>
          <w:tcPr>
            <w:tcW w:w="57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5772"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(319,553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(68,507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(600,442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(201,374</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5772" w:type="dxa"/>
            <w:tcBorders/>
            <w:shd w:fill="FFFFFF" w:val="clear"/>
            <w:vAlign w:val="center"/>
          </w:tcPr>
          <w:p>
            <w:pPr>
              <w:pStyle w:val="TableContents"/>
              <w:bidi w:val="0"/>
              <w:spacing w:before="0" w:after="283"/>
              <w:jc w:val="left"/>
              <w:rPr/>
            </w:pPr>
            <w:r>
              <w:rPr/>
              <w:t>Interest paid on leases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(1,257</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(1,024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(1,676</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5772" w:type="dxa"/>
            <w:tcBorders/>
            <w:shd w:fill="CCEEFF" w:val="clear"/>
            <w:vAlign w:val="center"/>
          </w:tcPr>
          <w:p>
            <w:pPr>
              <w:pStyle w:val="TableContents"/>
              <w:bidi w:val="0"/>
              <w:spacing w:before="0" w:after="283"/>
              <w:jc w:val="left"/>
              <w:rPr/>
            </w:pPr>
            <w:r>
              <w:rPr/>
              <w:t>Interest paid on borrowings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(15,308</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(19,801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5772"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1,749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1,722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3,535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(502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pPr>
            <w:r>
              <w:rPr/>
              <w:t>(5,850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(5,850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5772"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(334,871</w:t>
            </w:r>
          </w:p>
        </w:tc>
        <w:tc>
          <w:tcPr>
            <w:tcW w:w="101"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(74,124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(618,859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(206,295</w:t>
            </w:r>
          </w:p>
        </w:tc>
        <w:tc>
          <w:tcPr>
            <w:tcW w:w="101" w:type="dxa"/>
            <w:tcBorders/>
            <w:shd w:fill="FFFFFF" w:val="clear"/>
            <w:vAlign w:val="center"/>
          </w:tcPr>
          <w:p>
            <w:pPr>
              <w:pStyle w:val="TableContents"/>
              <w:bidi w:val="0"/>
              <w:spacing w:before="0" w:after="283"/>
              <w:ind w:left="0" w:right="0" w:hanging="180"/>
              <w:jc w:val="left"/>
              <w:rPr>
                <w:b/>
              </w:rPr>
            </w:pPr>
            <w:r>
              <w:rPr>
                <w:b/>
              </w:rPr>
              <w:t>)</w:t>
            </w:r>
          </w:p>
        </w:tc>
      </w:tr>
      <w:tr>
        <w:trPr/>
        <w:tc>
          <w:tcPr>
            <w:tcW w:w="57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Purchase of property, plant and equipment, investment properties and intangible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(106,548</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(17,333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(46,948</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5772" w:type="dxa"/>
            <w:tcBorders/>
            <w:shd w:fill="FFFFFF" w:val="clear"/>
            <w:vAlign w:val="center"/>
          </w:tcPr>
          <w:p>
            <w:pPr>
              <w:pStyle w:val="TableContents"/>
              <w:bidi w:val="0"/>
              <w:spacing w:before="0" w:after="283"/>
              <w:jc w:val="left"/>
              <w:rPr/>
            </w:pPr>
            <w:r>
              <w:rPr/>
              <w:t>Payments for mining rigs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(4,932</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(178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(1,738</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5772" w:type="dxa"/>
            <w:tcBorders/>
            <w:shd w:fill="CCEEFF" w:val="clear"/>
            <w:vAlign w:val="center"/>
          </w:tcPr>
          <w:p>
            <w:pPr>
              <w:pStyle w:val="TableContents"/>
              <w:bidi w:val="0"/>
              <w:spacing w:before="0" w:after="283"/>
              <w:jc w:val="left"/>
              <w:rPr/>
            </w:pPr>
            <w:r>
              <w:rPr/>
              <w:t>Purchase of financial assets at fair value through profit or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(1,200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(1,532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(2,524</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5772" w:type="dxa"/>
            <w:tcBorders/>
            <w:shd w:fill="FFFFFF" w:val="clear"/>
            <w:vAlign w:val="center"/>
          </w:tcPr>
          <w:p>
            <w:pPr>
              <w:pStyle w:val="TableContents"/>
              <w:bidi w:val="0"/>
              <w:spacing w:before="0" w:after="283"/>
              <w:jc w:val="left"/>
              <w:rPr/>
            </w:pPr>
            <w:r>
              <w:rPr/>
              <w:t>Purchase of cryptocurrencies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Proceeds from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Proceeds from disposal of cryptocurrencies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100,068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79,344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112,351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169,724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Cash paid for the site and gas-fired power project in Alberta, Canada</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(11</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Cash paid for business combinations, net of cash acquired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pPr>
            <w:r>
              <w:rPr/>
              <w:t>(6,277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(6,277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5772" w:type="dxa"/>
            <w:tcBorders/>
            <w:shd w:fill="CCEEFF" w:val="clear"/>
            <w:vAlign w:val="center"/>
          </w:tcPr>
          <w:p>
            <w:pPr>
              <w:pStyle w:val="TableContents"/>
              <w:bidi w:val="0"/>
              <w:spacing w:before="0" w:after="283"/>
              <w:jc w:val="left"/>
              <w:rPr>
                <w:b/>
              </w:rPr>
            </w:pPr>
            <w:r>
              <w:rPr>
                <w:b/>
              </w:rPr>
              <w:t>Net cash generated from / (used in) investing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(12,623</w:t>
            </w:r>
          </w:p>
        </w:tc>
        <w:tc>
          <w:tcPr>
            <w:tcW w:w="101"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(86,226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112,481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Capital element of lease rentals paid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(1,951</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(1,236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(2,574</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5772" w:type="dxa"/>
            <w:tcBorders/>
            <w:shd w:fill="CCEEFF" w:val="clear"/>
            <w:vAlign w:val="center"/>
          </w:tcPr>
          <w:p>
            <w:pPr>
              <w:pStyle w:val="TableContents"/>
              <w:bidi w:val="0"/>
              <w:spacing w:before="0" w:after="283"/>
              <w:jc w:val="left"/>
              <w:rPr/>
            </w:pPr>
            <w:r>
              <w:rPr/>
              <w:t>Proceeds from borrowings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17,472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Repayments of borrowings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Borrowings from a related party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180,000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Repayments of borrowings to a related party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(7,083</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Proceeds from issuance of shares for exercise of share rewards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1,135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604</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Proceeds from issuance of ordinary shares, net of transaction costs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106,064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118,403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155,692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Proceeds from issuance of shares for exercise of warrants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50,000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Payment for the future issuance cost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(297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5772" w:type="dxa"/>
            <w:tcBorders/>
            <w:shd w:fill="CCEEFF" w:val="clear"/>
            <w:vAlign w:val="center"/>
          </w:tcPr>
          <w:p>
            <w:pPr>
              <w:pStyle w:val="TableContents"/>
              <w:bidi w:val="0"/>
              <w:spacing w:before="0" w:after="283"/>
              <w:jc w:val="left"/>
              <w:rPr/>
            </w:pPr>
            <w:r>
              <w:rPr/>
              <w:t>Acquisition of treasury shares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(9,000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Proceeds from convertible senior notes, net of transaction costs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364,311</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363,192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Repayments to convertible senior notes in connection with note extinguishment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(33,783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(33,783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Purchase of zero-strike call option</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(129,607</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(129,607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b/>
              </w:rPr>
            </w:pPr>
            <w:r>
              <w:rPr>
                <w:b/>
              </w:rPr>
              <w:t>Net cash generated from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431,490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526,352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153,425</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b/>
              </w:rPr>
            </w:pPr>
            <w:r>
              <w:rPr>
                <w:b/>
              </w:rPr>
              <w:t>Net increase /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b/>
              </w:rPr>
            </w:pPr>
            <w:r>
              <w:rPr>
                <w:b/>
              </w:rPr>
              <w:t>83,996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b/>
              </w:rPr>
            </w:pPr>
            <w:r>
              <w:rPr>
                <w:b/>
              </w:rPr>
              <w:t>85,242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(178,733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59,611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5772" w:type="dxa"/>
            <w:tcBorders/>
            <w:shd w:fill="FFFFFF" w:val="clear"/>
            <w:vAlign w:val="center"/>
          </w:tcPr>
          <w:p>
            <w:pPr>
              <w:pStyle w:val="TableContents"/>
              <w:bidi w:val="0"/>
              <w:spacing w:before="0" w:after="283"/>
              <w:jc w:val="left"/>
              <w:rPr/>
            </w:pPr>
            <w:r>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215,642</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118,461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476,270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144,729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772" w:type="dxa"/>
            <w:tcBorders/>
            <w:shd w:fill="CCEEFF" w:val="clear"/>
            <w:vAlign w:val="center"/>
          </w:tcPr>
          <w:p>
            <w:pPr>
              <w:pStyle w:val="TableContents"/>
              <w:bidi w:val="0"/>
              <w:spacing w:before="0" w:after="283"/>
              <w:jc w:val="left"/>
              <w:rPr/>
            </w:pPr>
            <w:r>
              <w:rPr/>
              <w:t>Effect of movements in exchange rates on cash and cash equivalents held</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154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pPr>
            <w:r>
              <w:rPr/>
              <w:t>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(458</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5772" w:type="dxa"/>
            <w:tcBorders/>
            <w:shd w:fill="FFFFFF" w:val="clear"/>
            <w:vAlign w:val="center"/>
          </w:tcPr>
          <w:p>
            <w:pPr>
              <w:pStyle w:val="TableContents"/>
              <w:bidi w:val="0"/>
              <w:spacing w:before="0" w:after="283"/>
              <w:jc w:val="left"/>
              <w:rPr>
                <w:b/>
              </w:rPr>
            </w:pPr>
            <w:r>
              <w:rPr>
                <w:b/>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299,792</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299,792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203,882</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Non-IFRS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Company’s business, the Company considers and uses non-IFRS measures, adjusted EBITDA and adjusted profit / (loss), as supplemental measures to review and assess its operating performance. The Company defines adjusted EBITDA as earnings before interest, taxes, depreciation and amortization, further adjusted to exclude share-based payment expenses under IFRS 2, changes in fair value of derivative liabilities, changes in fair value of cryptocurrency-settled receivables and payables, and loss on extinguishment of convertible senior notes, and defines adjusted profit/(loss) as profit/(loss) adjusted to exclude share-based payment expenses under IFRS 2, changes in fair value of derivative liabilities, changes in fair value of cryptocurrency-settled receivables and payables, and loss on extinguishment of convertible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these non-IFRS financial measures because they are used by its management to evaluate its operating performance and formulate business plans. The Company also believes that the use of these non-IFRS measures facilitate investors’ assessment of its operating performance. These measures are not necessarily comparable to similarly titled measures used by other companies. As a result, investors should not consider these measures in isolation from, or as a substitute analysis for, the Company’s profit or loss for the periods, as determined in accordance with IFRS. The Company compensates for these limitations by reconciling these non-IFRS financial measures to the nearest IFRS performance measure, all of which should be considered when evaluating its performance. The Company encourages investors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profit/ (loss) for the relevant period to adjusted EBITDA and adjusted profit/ (loss), for the three and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GROUP UNAUDITED NON-IFRS ADJUSTED EBITDA AND ADJUSTED PROFIT / (LOSS) RECONCILIATION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09"/>
        <w:gridCol w:w="60"/>
        <w:gridCol w:w="65"/>
        <w:gridCol w:w="955"/>
        <w:gridCol w:w="103"/>
        <w:gridCol w:w="65"/>
        <w:gridCol w:w="65"/>
        <w:gridCol w:w="873"/>
        <w:gridCol w:w="95"/>
        <w:gridCol w:w="60"/>
        <w:gridCol w:w="60"/>
        <w:gridCol w:w="875"/>
        <w:gridCol w:w="95"/>
        <w:gridCol w:w="60"/>
        <w:gridCol w:w="60"/>
        <w:gridCol w:w="800"/>
        <w:gridCol w:w="105"/>
      </w:tblGrid>
      <w:tr>
        <w:trPr/>
        <w:tc>
          <w:tcPr>
            <w:tcW w:w="580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05" w:type="dxa"/>
            <w:tcBorders/>
            <w:vAlign w:val="center"/>
          </w:tcPr>
          <w:p>
            <w:pPr>
              <w:pStyle w:val="TableContents"/>
              <w:bidi w:val="0"/>
              <w:spacing w:before="0" w:after="283"/>
              <w:ind w:left="0" w:right="0" w:hanging="180"/>
              <w:jc w:val="left"/>
              <w:rPr/>
            </w:pPr>
            <w:r>
              <w:rPr/>
              <w:t> </w:t>
            </w:r>
          </w:p>
        </w:tc>
      </w:tr>
      <w:tr>
        <w:trPr/>
        <w:tc>
          <w:tcPr>
            <w:tcW w:w="5809" w:type="dxa"/>
            <w:tcBorders>
              <w:bottom w:val="single" w:sz="12" w:space="0" w:color="000000"/>
            </w:tcBorders>
            <w:tcMar>
              <w:bottom w:w="28" w:type="dxa"/>
            </w:tcMar>
            <w:vAlign w:val="center"/>
          </w:tcPr>
          <w:p>
            <w:pPr>
              <w:pStyle w:val="TableContents"/>
              <w:bidi w:val="0"/>
              <w:spacing w:before="0" w:after="283"/>
              <w:jc w:val="left"/>
              <w:rPr>
                <w:b/>
              </w:rPr>
            </w:pPr>
            <w:r>
              <w:rPr>
                <w:b/>
              </w:rPr>
              <w:t>(US $ in thousands)</w:t>
            </w:r>
          </w:p>
        </w:tc>
        <w:tc>
          <w:tcPr>
            <w:tcW w:w="60" w:type="dxa"/>
            <w:tcBorders/>
            <w:vAlign w:val="center"/>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ind w:left="0" w:right="0" w:hanging="180"/>
              <w:jc w:val="left"/>
              <w:rPr/>
            </w:pPr>
            <w:r>
              <w:rPr/>
              <w:t> </w:t>
            </w:r>
          </w:p>
        </w:tc>
      </w:tr>
      <w:tr>
        <w:trPr/>
        <w:tc>
          <w:tcPr>
            <w:tcW w:w="5809" w:type="dxa"/>
            <w:tcBorders/>
            <w:vAlign w:val="center"/>
          </w:tcPr>
          <w:p>
            <w:pPr>
              <w:pStyle w:val="TableContents"/>
              <w:bidi w:val="0"/>
              <w:spacing w:before="0" w:after="283"/>
              <w:jc w:val="left"/>
              <w:rPr>
                <w:b/>
              </w:rPr>
            </w:pPr>
            <w:r>
              <w:rPr>
                <w:b/>
              </w:rPr>
              <w:t>Adjusted EBITDA</w:t>
            </w:r>
          </w:p>
        </w:tc>
        <w:tc>
          <w:tcPr>
            <w:tcW w:w="60" w:type="dxa"/>
            <w:tcBorders/>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b/>
              </w:rPr>
            </w:pPr>
            <w:r>
              <w:rPr>
                <w:b/>
              </w:rPr>
              <w:t>Profit / (loss) for the period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b/>
              </w:rPr>
            </w:pPr>
            <w:r>
              <w:rPr>
                <w:b/>
              </w:rPr>
              <w:t>(147,733</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b/>
              </w:rPr>
            </w:pPr>
            <w:r>
              <w:rPr>
                <w:b/>
              </w:rPr>
              <w:t>(17,743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261,740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(17,137</w:t>
            </w:r>
          </w:p>
        </w:tc>
        <w:tc>
          <w:tcPr>
            <w:tcW w:w="105" w:type="dxa"/>
            <w:tcBorders/>
            <w:shd w:fill="CCEEFF" w:val="clear"/>
            <w:vAlign w:val="center"/>
          </w:tcPr>
          <w:p>
            <w:pPr>
              <w:pStyle w:val="TableContents"/>
              <w:bidi w:val="0"/>
              <w:spacing w:before="0" w:after="283"/>
              <w:ind w:left="0" w:right="0" w:hanging="180"/>
              <w:jc w:val="left"/>
              <w:rPr>
                <w:b/>
              </w:rPr>
            </w:pPr>
            <w:r>
              <w:rPr>
                <w:b/>
              </w:rPr>
              <w:t>)</w:t>
            </w:r>
          </w:p>
        </w:tc>
      </w:tr>
      <w:tr>
        <w:trPr/>
        <w:tc>
          <w:tcPr>
            <w:tcW w:w="5809" w:type="dxa"/>
            <w:tcBorders/>
            <w:shd w:fill="FFFFFF" w:val="clear"/>
            <w:vAlign w:val="center"/>
          </w:tcPr>
          <w:p>
            <w:pPr>
              <w:pStyle w:val="TableContents"/>
              <w:bidi w:val="0"/>
              <w:spacing w:before="0" w:after="283"/>
              <w:jc w:val="left"/>
              <w:rPr/>
            </w:pPr>
            <w:r>
              <w:rPr>
                <w:b/>
                <w:i/>
              </w:rPr>
              <w:t>Add</w:t>
            </w:r>
            <w:r>
              <w:rPr>
                <w:b/>
                <w:i/>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26,445</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18,304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36,491</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809" w:type="dxa"/>
            <w:tcBorders/>
            <w:shd w:fill="FFFFFF" w:val="clear"/>
            <w:vAlign w:val="center"/>
          </w:tcPr>
          <w:p>
            <w:pPr>
              <w:pStyle w:val="TableContents"/>
              <w:bidi w:val="0"/>
              <w:spacing w:before="0" w:after="283"/>
              <w:jc w:val="left"/>
              <w:rPr/>
            </w:pPr>
            <w:r>
              <w:rPr/>
              <w:t>Income tax (benefit) / expenses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(197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2,041</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pPr>
            <w:r>
              <w:rPr/>
              <w:t>Interest (income) / expense, net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15,451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(617</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809" w:type="dxa"/>
            <w:tcBorders/>
            <w:shd w:fill="FFFFFF" w:val="clear"/>
            <w:vAlign w:val="center"/>
          </w:tcPr>
          <w:p>
            <w:pPr>
              <w:pStyle w:val="TableContents"/>
              <w:bidi w:val="0"/>
              <w:spacing w:before="0" w:after="283"/>
              <w:jc w:val="left"/>
              <w:rPr/>
            </w:pPr>
            <w:r>
              <w:rPr/>
              <w:t>Share-based payment expenses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10,170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8,093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15,896</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pPr>
            <w:r>
              <w:rPr/>
              <w:t>Changes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91,241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14,230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(415,921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14,230</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809" w:type="dxa"/>
            <w:tcBorders/>
            <w:shd w:fill="FFFFFF" w:val="clear"/>
            <w:vAlign w:val="center"/>
          </w:tcPr>
          <w:p>
            <w:pPr>
              <w:pStyle w:val="TableContents"/>
              <w:bidi w:val="0"/>
              <w:spacing w:before="0" w:after="283"/>
              <w:jc w:val="left"/>
              <w:rPr/>
            </w:pPr>
            <w:r>
              <w:rPr/>
              <w:t>Changes in fair value of cryptocurrency-settled receivables and payables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5,740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809" w:type="dxa"/>
            <w:tcBorders/>
            <w:shd w:fill="CCEEFF" w:val="clear"/>
            <w:vAlign w:val="center"/>
          </w:tcPr>
          <w:p>
            <w:pPr>
              <w:pStyle w:val="TableContents"/>
              <w:bidi w:val="0"/>
              <w:spacing w:before="0" w:after="283"/>
              <w:jc w:val="left"/>
              <w:rPr/>
            </w:pPr>
            <w:r>
              <w:rPr/>
              <w:t>Loss on extinguishment of convertible senior notes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16,194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809" w:type="dxa"/>
            <w:tcBorders/>
            <w:shd w:fill="FFFFFF" w:val="clear"/>
            <w:vAlign w:val="center"/>
          </w:tcPr>
          <w:p>
            <w:pPr>
              <w:pStyle w:val="TableContents"/>
              <w:bidi w:val="0"/>
              <w:spacing w:before="0" w:after="283"/>
              <w:jc w:val="left"/>
              <w:rPr>
                <w:b/>
              </w:rPr>
            </w:pPr>
            <w:r>
              <w:rPr>
                <w:b/>
              </w:rPr>
              <w:t>Total of Adjusted EBITDA</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17,311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23,5332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(38,834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50,8722</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809" w:type="dxa"/>
            <w:tcBorders/>
            <w:shd w:fill="FFFFFF" w:val="clear"/>
            <w:vAlign w:val="center"/>
          </w:tcPr>
          <w:p>
            <w:pPr>
              <w:pStyle w:val="TableContents"/>
              <w:bidi w:val="0"/>
              <w:spacing w:before="0" w:after="283"/>
              <w:jc w:val="left"/>
              <w:rPr>
                <w:b/>
              </w:rPr>
            </w:pPr>
            <w:r>
              <w:rPr>
                <w:b/>
              </w:rPr>
              <w:t>Adjusted Profit / (loss)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b/>
              </w:rPr>
            </w:pPr>
            <w:r>
              <w:rPr>
                <w:b/>
              </w:rPr>
              <w:t>Profit / (loss) for the period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b/>
              </w:rPr>
            </w:pPr>
            <w:r>
              <w:rPr>
                <w:b/>
              </w:rPr>
              <w:t>(147,733</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b/>
              </w:rPr>
            </w:pPr>
            <w:r>
              <w:rPr>
                <w:b/>
              </w:rPr>
              <w:t>(17,743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261,740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(17,137</w:t>
            </w:r>
          </w:p>
        </w:tc>
        <w:tc>
          <w:tcPr>
            <w:tcW w:w="105" w:type="dxa"/>
            <w:tcBorders/>
            <w:shd w:fill="CCEEFF" w:val="clear"/>
            <w:vAlign w:val="center"/>
          </w:tcPr>
          <w:p>
            <w:pPr>
              <w:pStyle w:val="TableContents"/>
              <w:bidi w:val="0"/>
              <w:spacing w:before="0" w:after="283"/>
              <w:ind w:left="0" w:right="0" w:hanging="180"/>
              <w:jc w:val="left"/>
              <w:rPr>
                <w:b/>
              </w:rPr>
            </w:pPr>
            <w:r>
              <w:rPr>
                <w:b/>
              </w:rPr>
              <w:t>)</w:t>
            </w:r>
          </w:p>
        </w:tc>
      </w:tr>
      <w:tr>
        <w:trPr/>
        <w:tc>
          <w:tcPr>
            <w:tcW w:w="5809" w:type="dxa"/>
            <w:tcBorders/>
            <w:shd w:fill="FFFFFF" w:val="clear"/>
            <w:vAlign w:val="center"/>
          </w:tcPr>
          <w:p>
            <w:pPr>
              <w:pStyle w:val="TableContents"/>
              <w:bidi w:val="0"/>
              <w:spacing w:before="0" w:after="283"/>
              <w:jc w:val="left"/>
              <w:rPr/>
            </w:pPr>
            <w:r>
              <w:rPr>
                <w:b/>
                <w:i/>
              </w:rPr>
              <w:t>Add</w:t>
            </w:r>
            <w:r>
              <w:rPr>
                <w:b/>
                <w:i/>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pPr>
            <w:r>
              <w:rPr/>
              <w:t>Share-based payment expenses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10,170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8,093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15,896</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809" w:type="dxa"/>
            <w:tcBorders/>
            <w:shd w:fill="FFFFFF" w:val="clear"/>
            <w:vAlign w:val="center"/>
          </w:tcPr>
          <w:p>
            <w:pPr>
              <w:pStyle w:val="TableContents"/>
              <w:bidi w:val="0"/>
              <w:spacing w:before="0" w:after="283"/>
              <w:jc w:val="left"/>
              <w:rPr/>
            </w:pPr>
            <w:r>
              <w:rPr/>
              <w:t>Changes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91,241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14,230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(415,921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14,230</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pPr>
            <w:r>
              <w:rPr/>
              <w:t>Changes in fair value of cryptocurrency-settled receivables and payables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5,740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809" w:type="dxa"/>
            <w:tcBorders/>
            <w:shd w:fill="FFFFFF" w:val="clear"/>
            <w:vAlign w:val="center"/>
          </w:tcPr>
          <w:p>
            <w:pPr>
              <w:pStyle w:val="TableContents"/>
              <w:bidi w:val="0"/>
              <w:spacing w:before="0" w:after="283"/>
              <w:jc w:val="left"/>
              <w:rPr/>
            </w:pPr>
            <w:r>
              <w:rPr/>
              <w:t>Loss on extinguishment of convertible senior notes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16,194</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16,194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809" w:type="dxa"/>
            <w:tcBorders/>
            <w:shd w:fill="CCEEFF" w:val="clear"/>
            <w:vAlign w:val="center"/>
          </w:tcPr>
          <w:p>
            <w:pPr>
              <w:pStyle w:val="TableContents"/>
              <w:bidi w:val="0"/>
              <w:spacing w:before="0" w:after="283"/>
              <w:jc w:val="left"/>
              <w:rPr>
                <w:b/>
              </w:rPr>
            </w:pPr>
            <w:r>
              <w:rPr>
                <w:b/>
              </w:rPr>
              <w:t>Total of Adjusted Profit / (Loss)</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(24,388</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(114,224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12,9572</w:t>
            </w:r>
          </w:p>
        </w:tc>
        <w:tc>
          <w:tcPr>
            <w:tcW w:w="1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Yujia Zhai</w:t>
        <w:br/>
        <w:t>Orange Group</w:t>
        <w:br/>
        <w:t>bitdeerIR@orangegroupadvisors.com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Elev8 New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Starman, MBA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bitdeer@news8media.com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Nishant Sharma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99123/000114036124021346/ny20023745x7_posam.htm" TargetMode="External"/><Relationship Id="rId3" Type="http://schemas.openxmlformats.org/officeDocument/2006/relationships/hyperlink" Target="http://www.sec.gov/Archives/edgar/data/1899123/000114036124013887/ny20023745x1_f3.htm" TargetMode="External"/><Relationship Id="rId4" Type="http://schemas.openxmlformats.org/officeDocument/2006/relationships/hyperlink" Target="http://www.sec.gov/Archives/edgar/data/1899123/000114036124013888/ny20023745x3_f3.htm" TargetMode="External"/><Relationship Id="rId5" Type="http://schemas.openxmlformats.org/officeDocument/2006/relationships/hyperlink" Target="http://www.sec.gov/Archives/edgar/data/1899123/000114036124029276/ny20030771x1_f3.htm" TargetMode="External"/><Relationship Id="rId6" Type="http://schemas.openxmlformats.org/officeDocument/2006/relationships/hyperlink" Target="http://www.sec.gov/Archives/edgar/data/1899123/000114036124049031/ny20039746x1_f3.htm" TargetMode="External"/><Relationship Id="rId7" Type="http://schemas.openxmlformats.org/officeDocument/2006/relationships/hyperlink" Target="http://www.sec.gov/Archives/edgar/data/1899123/000114036123031108/brhc20054618_s8.htm" TargetMode="External"/><Relationship Id="rId8" Type="http://schemas.openxmlformats.org/officeDocument/2006/relationships/hyperlink" Target="http://www.sec.gov/Archives/edgar/data/1899123/000114036123051570/ef20013751_s8.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4163</Words>
  <Characters>22683</Characters>
  <CharactersWithSpaces>27857</CharactersWithSpaces>
  <Paragraphs>3190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