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 the registration statements of Bitdeer Technologies Group on Form F-3 (No. </w:t>
      </w:r>
      <w:hyperlink r:id="rId17">
        <w:r>
          <w:rPr>
            <w:rFonts w:ascii="Times New Roman" w:cs="Times New Roman" w:eastAsia="Times New Roman" w:hAnsi="Times New Roman"/>
            <w:sz w:val="18"/>
            <w:szCs w:val="18"/>
            <w:u w:val="single" w:color="auto"/>
            <w:color w:val="0000EE"/>
          </w:rPr>
          <w:t>333-273905</w:t>
        </w:r>
      </w:hyperlink>
      <w:r>
        <w:rPr>
          <w:rFonts w:ascii="Times New Roman" w:cs="Times New Roman" w:eastAsia="Times New Roman" w:hAnsi="Times New Roman"/>
          <w:sz w:val="18"/>
          <w:szCs w:val="18"/>
          <w:color w:val="auto"/>
        </w:rPr>
        <w:t xml:space="preserve">, No. </w:t>
      </w:r>
      <w:hyperlink r:id="rId18">
        <w:r>
          <w:rPr>
            <w:rFonts w:ascii="Times New Roman" w:cs="Times New Roman" w:eastAsia="Times New Roman" w:hAnsi="Times New Roman"/>
            <w:sz w:val="18"/>
            <w:szCs w:val="18"/>
            <w:u w:val="single" w:color="auto"/>
            <w:color w:val="0000EE"/>
          </w:rPr>
          <w:t>333-278027</w:t>
        </w:r>
      </w:hyperlink>
      <w:r>
        <w:rPr>
          <w:rFonts w:ascii="Times New Roman" w:cs="Times New Roman" w:eastAsia="Times New Roman" w:hAnsi="Times New Roman"/>
          <w:sz w:val="18"/>
          <w:szCs w:val="18"/>
          <w:color w:val="auto"/>
        </w:rPr>
        <w:t xml:space="preserve">, No. </w:t>
      </w:r>
      <w:hyperlink r:id="rId19">
        <w:r>
          <w:rPr>
            <w:rFonts w:ascii="Times New Roman" w:cs="Times New Roman" w:eastAsia="Times New Roman" w:hAnsi="Times New Roman"/>
            <w:sz w:val="18"/>
            <w:szCs w:val="18"/>
            <w:u w:val="single" w:color="auto"/>
            <w:color w:val="0000EE"/>
          </w:rPr>
          <w:t>333-278029</w:t>
        </w:r>
      </w:hyperlink>
      <w:r>
        <w:rPr>
          <w:rFonts w:ascii="Times New Roman" w:cs="Times New Roman" w:eastAsia="Times New Roman" w:hAnsi="Times New Roman"/>
          <w:sz w:val="18"/>
          <w:szCs w:val="18"/>
          <w:color w:val="auto"/>
        </w:rPr>
        <w:t xml:space="preserve">, No. </w:t>
      </w:r>
      <w:hyperlink r:id="rId20">
        <w:r>
          <w:rPr>
            <w:rFonts w:ascii="Times New Roman" w:cs="Times New Roman" w:eastAsia="Times New Roman" w:hAnsi="Times New Roman"/>
            <w:sz w:val="18"/>
            <w:szCs w:val="18"/>
            <w:u w:val="single" w:color="auto"/>
            <w:color w:val="0000EE"/>
          </w:rPr>
          <w:t>333-280041</w:t>
        </w:r>
      </w:hyperlink>
      <w:r>
        <w:rPr>
          <w:rFonts w:ascii="Times New Roman" w:cs="Times New Roman" w:eastAsia="Times New Roman" w:hAnsi="Times New Roman"/>
          <w:sz w:val="18"/>
          <w:szCs w:val="18"/>
          <w:color w:val="auto"/>
        </w:rPr>
        <w:t xml:space="preserve">, No. </w:t>
      </w:r>
      <w:hyperlink r:id="rId21">
        <w:r>
          <w:rPr>
            <w:rFonts w:ascii="Times New Roman" w:cs="Times New Roman" w:eastAsia="Times New Roman" w:hAnsi="Times New Roman"/>
            <w:sz w:val="18"/>
            <w:szCs w:val="18"/>
            <w:u w:val="single" w:color="auto"/>
            <w:color w:val="0000EE"/>
          </w:rPr>
          <w:t>333-283732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2">
        <w:r>
          <w:rPr>
            <w:rFonts w:ascii="Times New Roman" w:cs="Times New Roman" w:eastAsia="Times New Roman" w:hAnsi="Times New Roman"/>
            <w:sz w:val="18"/>
            <w:szCs w:val="18"/>
            <w:u w:val="single" w:color="auto"/>
            <w:color w:val="0000EE"/>
          </w:rPr>
          <w:t>333-289855</w:t>
        </w:r>
      </w:hyperlink>
      <w:r>
        <w:rPr>
          <w:rFonts w:ascii="Times New Roman" w:cs="Times New Roman" w:eastAsia="Times New Roman" w:hAnsi="Times New Roman"/>
          <w:sz w:val="18"/>
          <w:szCs w:val="18"/>
          <w:color w:val="auto"/>
        </w:rPr>
        <w:t xml:space="preserve">) and Form S-8 (No. </w:t>
      </w:r>
      <w:hyperlink r:id="rId23">
        <w:r>
          <w:rPr>
            <w:rFonts w:ascii="Times New Roman" w:cs="Times New Roman" w:eastAsia="Times New Roman" w:hAnsi="Times New Roman"/>
            <w:sz w:val="18"/>
            <w:szCs w:val="18"/>
            <w:u w:val="single" w:color="auto"/>
            <w:color w:val="0000EE"/>
          </w:rPr>
          <w:t>333-272858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No. </w:t>
      </w:r>
      <w:hyperlink r:id="rId24">
        <w:r>
          <w:rPr>
            <w:rFonts w:ascii="Times New Roman" w:cs="Times New Roman" w:eastAsia="Times New Roman" w:hAnsi="Times New Roman"/>
            <w:sz w:val="18"/>
            <w:szCs w:val="18"/>
            <w:u w:val="single" w:color="auto"/>
            <w:color w:val="0000EE"/>
          </w:rPr>
          <w:t>333-275342</w:t>
        </w:r>
      </w:hyperlink>
      <w:r>
        <w:rPr>
          <w:rFonts w:ascii="Times New Roman" w:cs="Times New Roman" w:eastAsia="Times New Roman" w:hAnsi="Times New Roman"/>
          <w:sz w:val="18"/>
          <w:szCs w:val="18"/>
          <w:color w:val="auto"/>
        </w:rPr>
        <w:t>), to the extent not superseded by documents or reports subsequently filed or furnished.</w:t>
      </w:r>
    </w:p>
    <w:p>
      <w:pPr>
        <w:spacing w:after="0" w:line="39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Reports Unaudited Financial Results for the Fourth Quarter and Full Year of 2025</w:t>
            </w: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640" w:type="dxa"/>
            <w:vAlign w:val="bottom"/>
            <w:tcBorders>
              <w:top w:val="single" w:sz="8" w:color="0000EE"/>
              <w:bottom w:val="single" w:sz="8" w:color="auto"/>
            </w:tcBorders>
          </w:tcPr>
          <w:p>
            <w:pPr>
              <w:jc w:val="right"/>
              <w:ind w:right="303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156845</wp:posOffset>
            </wp:positionV>
            <wp:extent cx="1654175" cy="334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65417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Bitdeer Reports Unaudited Financial Results</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Fourth Quarter and Full Year of 2025</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February 12, 2026 (GLOBE NEWSWIRE) -- </w:t>
      </w:r>
      <w:r>
        <w:rPr>
          <w:rFonts w:ascii="Times New Roman" w:cs="Times New Roman" w:eastAsia="Times New Roman" w:hAnsi="Times New Roman"/>
          <w:sz w:val="18"/>
          <w:szCs w:val="18"/>
          <w:color w:val="auto"/>
        </w:rPr>
        <w:t>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and AI infrastructure, today released its unaudited financial results for the fourth quarter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2025 Financial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amounts compared to Q4’24 unless otherwise noted</w:t>
      </w:r>
    </w:p>
    <w:p>
      <w:pPr>
        <w:spacing w:after="0" w:line="22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US$224.8 million vs. US$69.0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US$214.3 million vs. US$63.9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US$10.6 million vs. US$5.1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profit </w:t>
      </w:r>
      <w:r>
        <w:rPr>
          <w:rFonts w:ascii="Times New Roman" w:cs="Times New Roman" w:eastAsia="Times New Roman" w:hAnsi="Times New Roman"/>
          <w:sz w:val="18"/>
          <w:szCs w:val="18"/>
          <w:color w:val="auto"/>
        </w:rPr>
        <w:t>was US$70.5 million vs. net loss of US$531.9 million.</w:t>
      </w:r>
    </w:p>
    <w:p>
      <w:pPr>
        <w:spacing w:after="0" w:line="23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positive US$31.2 million, vs. negative US$4.3</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w:t>
      </w:r>
    </w:p>
    <w:p>
      <w:pPr>
        <w:spacing w:after="0" w:line="97"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US$149.4 million as of December 31, 2025.</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and crypto receivable balance: </w:t>
      </w:r>
      <w:r>
        <w:rPr>
          <w:rFonts w:ascii="Times New Roman" w:cs="Times New Roman" w:eastAsia="Times New Roman" w:hAnsi="Times New Roman"/>
          <w:sz w:val="18"/>
          <w:szCs w:val="18"/>
          <w:color w:val="auto"/>
        </w:rPr>
        <w:t>US$218.6 million as of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fourth quarter of 2025 marked a strategic inflection point as we accelerated our transition toward high-performance compute infrastructure and colocation services,” said Matt Kong, Chief Business Officer at Bitdeer. “We expect the global AI infrastructure supply / demand imbalance to widen, and our 3.0 GW power portfolio represents a rare and increasingly valuable strategic asset. As hyperscalers and enterprise customers face extended lead times for power and data center capacity, Bitdeer’s operational infrastructure and speed to market provide a compelling competitive advantage.”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Kong continued, “we are pursuing a dual-track AI infrastructure strategy that prioritizes colocation for our largest sites while continuing to expand GPU-as-a-service opportunities where appropriate. For power-rich assets such as Tydal and Clarington, we believe colocation offers superior economics and more capital-efficient paths to monetization. This approach allows us to leverage our core strengths including power procurement, large-scale infrastructure development, and operational execution, to capitalize on the rapidly growing demand for AI compute capacity across multiple deployment models.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Bitcoin self-mining operations remain a cornerstone of our business and demonstrate our ability to rapidly scale infrastructure while achieving industry-leading efficiency. We continue to view Bitcoin mining as a significant long-term value driver, supported by our expanding power portfolio and proprietary SEALMINER technology. The substantial expansion of our fleet throughout 2025 showcases the technical execution and operational excellence that has become our competitive advantage. As we scale our colocation platform alongside our self-mining operations, we see meaningful opportunities to capture value across multiple high-growth infrastructure markets where time-to-power and deployment speed are increasingly critical differentiators.”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2" w:lineRule="exact"/>
        <w:rPr>
          <w:sz w:val="20"/>
          <w:szCs w:val="20"/>
          <w:color w:val="auto"/>
        </w:rPr>
      </w:pPr>
    </w:p>
    <w:p>
      <w:pPr>
        <w:jc w:val="both"/>
        <w:ind w:left="340" w:hanging="332"/>
        <w:spacing w:after="0" w:line="219"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is defined as earnings before interest, taxes, depreciation and amortization, further adjusted to exclude share-based payment expenses under IFRS 2, changes in fair value of derivative liabilities, loss on extinguishment of convertible senior notes, changes in fair value of cryptocurrency-settled receivables and payables, changes in fair value of cryptocurrency receivables, impairment of assets, other expenses – one off donation, changes in fair value of derivative assets, changes in fair value of financial assets at fair value through profit or loss, and changes in fair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 of holdback shares for acquisition of FreeChain.</w:t>
      </w:r>
    </w:p>
    <w:p>
      <w:pPr>
        <w:spacing w:after="0" w:line="9" w:lineRule="exact"/>
        <w:rPr>
          <w:sz w:val="20"/>
          <w:szCs w:val="20"/>
          <w:color w:val="auto"/>
        </w:rPr>
      </w:pPr>
    </w:p>
    <w:p>
      <w:pPr>
        <w:jc w:val="both"/>
        <w:ind w:left="340" w:hanging="332"/>
        <w:spacing w:after="0" w:line="214"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current period, we revised definition of our previously reported non-IFRS Adjusted Profit and Adjusted EBITDA and recast the prior period for comparability. This revision, which resulted in a US$0.5 million, US$2.0 million and US$3.4 million revision to Q4 2024, Year-ended 2024 and Q3 2025 metrics, respectively, reflects non-cash fair value changes in financial assets at fair value through profit or loss as they do not represent normal operating expenses (or income) necessary to operate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Summary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160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560" w:type="dxa"/>
            <w:vAlign w:val="bottom"/>
            <w:tcBorders>
              <w:top w:val="single" w:sz="8" w:color="auto"/>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hash rate under management (EH/s)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Proprietary hash rate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Self-mining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Cloud Hash Rate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Delivered but not yet hashing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Hosting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293,000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Self-owned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Hosted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Bitcoin mined (self-mining only)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1,673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Bitcoins held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power usage (MWh)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2,353,000</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857,000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Average cost of electricity ($/MWh)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miner efficiency (J/TH)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30.4</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Power Infrastructure Summary (As of 1/31/2026)</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06"/>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Timing</w:t>
            </w:r>
            <w:r>
              <w:rPr>
                <w:rFonts w:ascii="Times New Roman" w:cs="Times New Roman" w:eastAsia="Times New Roman" w:hAnsi="Times New Roman"/>
                <w:sz w:val="29"/>
                <w:szCs w:val="29"/>
                <w:b w:val="1"/>
                <w:bCs w:val="1"/>
                <w:color w:val="auto"/>
                <w:w w:val="97"/>
                <w:vertAlign w:val="superscript"/>
              </w:rPr>
              <w:t>3</w:t>
            </w:r>
          </w:p>
        </w:tc>
        <w:tc>
          <w:tcPr>
            <w:tcW w:w="0" w:type="dxa"/>
            <w:vAlign w:val="bottom"/>
          </w:tcPr>
          <w:p>
            <w:pPr>
              <w:spacing w:after="0"/>
              <w:rPr>
                <w:sz w:val="1"/>
                <w:szCs w:val="1"/>
                <w:color w:val="auto"/>
              </w:rPr>
            </w:pPr>
          </w:p>
        </w:tc>
      </w:tr>
      <w:tr>
        <w:trPr>
          <w:trHeight w:val="245"/>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240" w:type="dxa"/>
            <w:vAlign w:val="bottom"/>
            <w:gridSpan w:val="2"/>
          </w:tcPr>
          <w:p>
            <w:pPr>
              <w:jc w:val="center"/>
              <w:ind w:right="306"/>
              <w:spacing w:after="0"/>
              <w:rPr>
                <w:sz w:val="20"/>
                <w:szCs w:val="20"/>
                <w:color w:val="auto"/>
              </w:rPr>
            </w:pPr>
            <w:r>
              <w:rPr>
                <w:rFonts w:ascii="Times New Roman" w:cs="Times New Roman" w:eastAsia="Times New Roman" w:hAnsi="Times New Roman"/>
                <w:sz w:val="18"/>
                <w:szCs w:val="18"/>
                <w:b w:val="1"/>
                <w:bCs w:val="1"/>
                <w:color w:val="auto"/>
              </w:rPr>
              <w:t>(MW)</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Datacenter Type</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563</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Crypto / Evaluating AI</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Knoxville, Tennessee – phase 1</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Crypto converting to AI</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Knoxville, Tennessee – phase 2</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Wenatchee, Washington </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Crypto converting to AI</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Molde, Norway</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84</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Tydal - 1, Norway</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50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Crypto converting to AI</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Tydal - 2, Norway</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175</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Crypto converting to AI</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Gedu, Bhutan</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Jigmeling, Bhutan</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Online</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1,658</w:t>
            </w:r>
          </w:p>
        </w:tc>
        <w:tc>
          <w:tcPr>
            <w:tcW w:w="220" w:type="dxa"/>
            <w:vAlign w:val="bottom"/>
            <w:tcBorders>
              <w:top w:val="single" w:sz="8" w:color="CCEEFF"/>
              <w:bottom w:val="single" w:sz="8" w:color="CCEEFF"/>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1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Oromia Region, Ethiopia</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Massillon, Ohio</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148/26</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Q2 2026/TBD</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Clarington, Ohio</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570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HPC/AI</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be updated</w:t>
            </w:r>
          </w:p>
        </w:tc>
        <w:tc>
          <w:tcPr>
            <w:tcW w:w="0" w:type="dxa"/>
            <w:vAlign w:val="bottom"/>
          </w:tcPr>
          <w:p>
            <w:pPr>
              <w:spacing w:after="0"/>
              <w:rPr>
                <w:sz w:val="1"/>
                <w:szCs w:val="1"/>
                <w:color w:val="auto"/>
              </w:rPr>
            </w:pPr>
          </w:p>
        </w:tc>
      </w:tr>
      <w:tr>
        <w:trPr>
          <w:trHeight w:val="216"/>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Niles, Ohio</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300</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HPC/AI</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Q4 2028</w:t>
            </w:r>
          </w:p>
        </w:tc>
        <w:tc>
          <w:tcPr>
            <w:tcW w:w="0" w:type="dxa"/>
            <w:vAlign w:val="bottom"/>
          </w:tcPr>
          <w:p>
            <w:pPr>
              <w:spacing w:after="0"/>
              <w:rPr>
                <w:sz w:val="1"/>
                <w:szCs w:val="1"/>
                <w:color w:val="auto"/>
              </w:rPr>
            </w:pPr>
          </w:p>
        </w:tc>
      </w:tr>
      <w:tr>
        <w:trPr>
          <w:trHeight w:val="216"/>
        </w:trPr>
        <w:tc>
          <w:tcPr>
            <w:tcW w:w="4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Rockdale, Texas</w:t>
            </w:r>
          </w:p>
        </w:tc>
        <w:tc>
          <w:tcPr>
            <w:tcW w:w="124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 planning</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49"/>
        </w:trPr>
        <w:tc>
          <w:tcPr>
            <w:tcW w:w="4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Alberta, Canada</w:t>
            </w:r>
          </w:p>
        </w:tc>
        <w:tc>
          <w:tcPr>
            <w:tcW w:w="124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 planning</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Crypto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Q2 2027</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1,344</w:t>
            </w:r>
          </w:p>
        </w:tc>
        <w:tc>
          <w:tcPr>
            <w:tcW w:w="2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for completion of power and data center infrastructure. All timing references are to calendar quarters and years.</w:t>
      </w:r>
    </w:p>
    <w:p>
      <w:pPr>
        <w:ind w:left="340" w:hanging="332"/>
        <w:spacing w:after="0" w:line="180"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Figures represent total available electrical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MD&amp;A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variances are current quarter compared to the same quarter last year. All figures in this section are rounded</w:t>
      </w:r>
      <w:r>
        <w:rPr>
          <w:rFonts w:ascii="Times New Roman" w:cs="Times New Roman" w:eastAsia="Times New Roman" w:hAnsi="Times New Roman"/>
          <w:sz w:val="29"/>
          <w:szCs w:val="29"/>
          <w:i w:val="1"/>
          <w:iCs w:val="1"/>
          <w:color w:val="auto"/>
          <w:vertAlign w:val="superscript"/>
        </w:rPr>
        <w:t>5</w:t>
      </w:r>
      <w:r>
        <w:rPr>
          <w:rFonts w:ascii="Times New Roman" w:cs="Times New Roman" w:eastAsia="Times New Roman" w:hAnsi="Times New Roman"/>
          <w:sz w:val="18"/>
          <w:szCs w:val="18"/>
          <w:i w:val="1"/>
          <w:iCs w:val="1"/>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2025 High-Level P&amp;L and Disaggregated Revenue Details: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60" w:type="dxa"/>
            <w:vAlign w:val="bottom"/>
            <w:gridSpan w:val="14"/>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 30, 2025</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 31, 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4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(128.9)</w:t>
            </w:r>
          </w:p>
        </w:tc>
        <w:tc>
          <w:tcPr>
            <w:tcW w:w="13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 / (loss)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(266.7)</w:t>
            </w:r>
          </w:p>
        </w:tc>
        <w:tc>
          <w:tcPr>
            <w:tcW w:w="13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(531.9)</w:t>
            </w:r>
          </w:p>
        </w:tc>
      </w:tr>
      <w:tr>
        <w:trPr>
          <w:trHeight w:val="25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80" w:type="dxa"/>
            <w:vAlign w:val="bottom"/>
            <w:gridSpan w:val="5"/>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8"/>
                <w:szCs w:val="18"/>
                <w:color w:val="auto"/>
              </w:rPr>
              <w:t>39.6</w:t>
            </w:r>
            <w:r>
              <w:rPr>
                <w:rFonts w:ascii="Times New Roman" w:cs="Times New Roman" w:eastAsia="Times New Roman" w:hAnsi="Times New Roman"/>
                <w:sz w:val="29"/>
                <w:szCs w:val="29"/>
                <w:color w:val="auto"/>
                <w:vertAlign w:val="superscript"/>
              </w:rPr>
              <w:t>2</w:t>
            </w:r>
          </w:p>
        </w:tc>
        <w:tc>
          <w:tcPr>
            <w:tcW w:w="1320" w:type="dxa"/>
            <w:vAlign w:val="bottom"/>
            <w:gridSpan w:val="5"/>
            <w:shd w:val="clear" w:color="auto" w:fill="CCEEFF"/>
          </w:tcPr>
          <w:p>
            <w:pPr>
              <w:jc w:val="right"/>
              <w:ind w:right="20"/>
              <w:spacing w:after="0" w:line="256" w:lineRule="exact"/>
              <w:rPr>
                <w:sz w:val="20"/>
                <w:szCs w:val="20"/>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29"/>
                <w:szCs w:val="29"/>
                <w:color w:val="auto"/>
                <w:vertAlign w:val="superscript"/>
              </w:rPr>
              <w:t>2</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Pr>
          <w:p>
            <w:pPr>
              <w:spacing w:after="0"/>
              <w:rPr>
                <w:sz w:val="20"/>
                <w:szCs w:val="20"/>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20"/>
                <w:szCs w:val="20"/>
                <w:color w:val="auto"/>
              </w:rPr>
            </w:pPr>
          </w:p>
        </w:tc>
      </w:tr>
      <w:tr>
        <w:trPr>
          <w:trHeight w:val="4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Sales of</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Cloud hash</w:t>
            </w:r>
          </w:p>
        </w:tc>
        <w:tc>
          <w:tcPr>
            <w:tcW w:w="40" w:type="dxa"/>
            <w:vAlign w:val="bottom"/>
          </w:tcPr>
          <w:p>
            <w:pPr>
              <w:spacing w:after="0"/>
              <w:rPr>
                <w:sz w:val="18"/>
                <w:szCs w:val="18"/>
                <w:color w:val="auto"/>
              </w:rPr>
            </w:pPr>
          </w:p>
        </w:tc>
        <w:tc>
          <w:tcPr>
            <w:tcW w:w="1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General</w:t>
            </w:r>
          </w:p>
        </w:tc>
        <w:tc>
          <w:tcPr>
            <w:tcW w:w="12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Membership</w:t>
            </w:r>
          </w:p>
        </w:tc>
        <w:tc>
          <w:tcPr>
            <w:tcW w:w="1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40" w:type="dxa"/>
            <w:vAlign w:val="bottom"/>
          </w:tcPr>
          <w:p>
            <w:pPr>
              <w:spacing w:after="0"/>
              <w:rPr>
                <w:sz w:val="21"/>
                <w:szCs w:val="21"/>
                <w:color w:val="auto"/>
              </w:rPr>
            </w:pPr>
          </w:p>
        </w:tc>
        <w:tc>
          <w:tcPr>
            <w:tcW w:w="13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0" w:type="dxa"/>
            <w:vAlign w:val="bottom"/>
          </w:tcPr>
          <w:p>
            <w:pPr>
              <w:spacing w:after="0"/>
              <w:rPr>
                <w:sz w:val="21"/>
                <w:szCs w:val="21"/>
                <w:color w:val="auto"/>
              </w:rPr>
            </w:pPr>
          </w:p>
        </w:tc>
        <w:tc>
          <w:tcPr>
            <w:tcW w:w="12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60" w:type="dxa"/>
            <w:vAlign w:val="bottom"/>
          </w:tcPr>
          <w:p>
            <w:pPr>
              <w:spacing w:after="0"/>
              <w:rPr>
                <w:sz w:val="21"/>
                <w:szCs w:val="21"/>
                <w:color w:val="auto"/>
              </w:rPr>
            </w:pPr>
          </w:p>
        </w:tc>
        <w:tc>
          <w:tcPr>
            <w:tcW w:w="12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and Accessories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Cost of products sold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(162.8)</w:t>
            </w:r>
          </w:p>
        </w:tc>
        <w:tc>
          <w:tcPr>
            <w:tcW w:w="8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w:t>
            </w:r>
          </w:p>
        </w:tc>
        <w:tc>
          <w:tcPr>
            <w:tcW w:w="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w:t>
            </w:r>
          </w:p>
        </w:tc>
        <w:tc>
          <w:tcPr>
            <w:tcW w:w="12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45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20"/>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5"/>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Cloud hash</w:t>
            </w:r>
          </w:p>
        </w:tc>
        <w:tc>
          <w:tcPr>
            <w:tcW w:w="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4"/>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General</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80"/>
              <w:spacing w:after="0" w:line="194" w:lineRule="exact"/>
              <w:rPr>
                <w:sz w:val="20"/>
                <w:szCs w:val="20"/>
                <w:color w:val="auto"/>
              </w:rPr>
            </w:pPr>
            <w:r>
              <w:rPr>
                <w:rFonts w:ascii="Times New Roman" w:cs="Times New Roman" w:eastAsia="Times New Roman" w:hAnsi="Times New Roman"/>
                <w:sz w:val="18"/>
                <w:szCs w:val="18"/>
                <w:b w:val="1"/>
                <w:bCs w:val="1"/>
                <w:color w:val="auto"/>
              </w:rPr>
              <w:t>Membership</w:t>
            </w:r>
          </w:p>
        </w:tc>
        <w:tc>
          <w:tcPr>
            <w:tcW w:w="100" w:type="dxa"/>
            <w:vAlign w:val="bottom"/>
          </w:tcPr>
          <w:p>
            <w:pPr>
              <w:spacing w:after="0"/>
              <w:rPr>
                <w:sz w:val="16"/>
                <w:szCs w:val="16"/>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40" w:type="dxa"/>
            <w:vAlign w:val="bottom"/>
          </w:tcPr>
          <w:p>
            <w:pPr>
              <w:spacing w:after="0"/>
              <w:rPr>
                <w:sz w:val="21"/>
                <w:szCs w:val="21"/>
                <w:color w:val="auto"/>
              </w:rPr>
            </w:pPr>
          </w:p>
        </w:tc>
        <w:tc>
          <w:tcPr>
            <w:tcW w:w="12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60" w:type="dxa"/>
            <w:vAlign w:val="bottom"/>
          </w:tcPr>
          <w:p>
            <w:pPr>
              <w:spacing w:after="0"/>
              <w:rPr>
                <w:sz w:val="21"/>
                <w:szCs w:val="21"/>
                <w:color w:val="auto"/>
              </w:rPr>
            </w:pPr>
          </w:p>
        </w:tc>
        <w:tc>
          <w:tcPr>
            <w:tcW w:w="12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hosting</w:t>
            </w:r>
          </w:p>
        </w:tc>
      </w:tr>
      <w:tr>
        <w:trPr>
          <w:trHeight w:val="216"/>
        </w:trPr>
        <w:tc>
          <w:tcPr>
            <w:tcW w:w="4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(38.5)</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(7.8)</w:t>
            </w:r>
          </w:p>
        </w:tc>
        <w:tc>
          <w:tcPr>
            <w:tcW w:w="13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w:t>
            </w:r>
          </w:p>
        </w:tc>
        <w:tc>
          <w:tcPr>
            <w:tcW w:w="40" w:type="dxa"/>
            <w:vAlign w:val="bottom"/>
          </w:tcPr>
          <w:p>
            <w:pPr>
              <w:spacing w:after="0"/>
              <w:rPr>
                <w:sz w:val="20"/>
                <w:szCs w:val="20"/>
                <w:color w:val="auto"/>
              </w:rPr>
            </w:pPr>
          </w:p>
        </w:tc>
        <w:tc>
          <w:tcPr>
            <w:tcW w:w="12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w:t>
            </w:r>
          </w:p>
        </w:tc>
        <w:tc>
          <w:tcPr>
            <w:tcW w:w="40" w:type="dxa"/>
            <w:vAlign w:val="bottom"/>
          </w:tcPr>
          <w:p>
            <w:pPr>
              <w:spacing w:after="0"/>
              <w:rPr>
                <w:sz w:val="20"/>
                <w:szCs w:val="20"/>
                <w:color w:val="auto"/>
              </w:rPr>
            </w:pPr>
          </w:p>
        </w:tc>
        <w:tc>
          <w:tcPr>
            <w:tcW w:w="12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0.7</w:t>
            </w: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may not add due to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Full Year 2025 High-Level P&amp;L and Disaggregated Revenue Details:</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Years Ended</w:t>
            </w: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(559.3)</w:t>
            </w:r>
          </w:p>
        </w:tc>
        <w:tc>
          <w:tcPr>
            <w:tcW w:w="1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(283.4)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 / (loss)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(599.2)</w:t>
            </w:r>
          </w:p>
        </w:tc>
      </w:tr>
      <w:tr>
        <w:trPr>
          <w:trHeight w:val="25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2"/>
                <w:szCs w:val="22"/>
                <w:color w:val="auto"/>
              </w:rPr>
            </w:pPr>
          </w:p>
        </w:tc>
        <w:tc>
          <w:tcPr>
            <w:tcW w:w="1320" w:type="dxa"/>
            <w:vAlign w:val="bottom"/>
            <w:gridSpan w:val="5"/>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8"/>
                <w:szCs w:val="18"/>
                <w:color w:val="auto"/>
              </w:rPr>
              <w:t>37.4</w:t>
            </w:r>
            <w:r>
              <w:rPr>
                <w:rFonts w:ascii="Times New Roman" w:cs="Times New Roman" w:eastAsia="Times New Roman" w:hAnsi="Times New Roman"/>
                <w:sz w:val="29"/>
                <w:szCs w:val="29"/>
                <w:color w:val="auto"/>
                <w:vertAlign w:val="superscript"/>
              </w:rPr>
              <w:t>2</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20"/>
                <w:szCs w:val="20"/>
                <w:color w:val="auto"/>
              </w:rPr>
            </w:pPr>
          </w:p>
        </w:tc>
        <w:tc>
          <w:tcPr>
            <w:tcW w:w="12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20"/>
                <w:szCs w:val="20"/>
                <w:color w:val="auto"/>
              </w:rPr>
            </w:pPr>
          </w:p>
        </w:tc>
      </w:tr>
      <w:tr>
        <w:trPr>
          <w:trHeight w:val="4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3"/>
          </w:tcPr>
          <w:p>
            <w:pPr>
              <w:ind w:left="7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Sales of</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Cloud hash</w:t>
            </w:r>
          </w:p>
        </w:tc>
        <w:tc>
          <w:tcPr>
            <w:tcW w:w="8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3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Membership</w:t>
            </w:r>
          </w:p>
        </w:tc>
        <w:tc>
          <w:tcPr>
            <w:tcW w:w="1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SEALMINERs</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w:t>
            </w: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40" w:type="dxa"/>
            <w:vAlign w:val="bottom"/>
          </w:tcPr>
          <w:p>
            <w:pPr>
              <w:spacing w:after="0"/>
              <w:rPr>
                <w:sz w:val="21"/>
                <w:szCs w:val="21"/>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0" w:type="dxa"/>
            <w:vAlign w:val="bottom"/>
          </w:tcPr>
          <w:p>
            <w:pPr>
              <w:spacing w:after="0"/>
              <w:rPr>
                <w:sz w:val="21"/>
                <w:szCs w:val="21"/>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3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and Accessories</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Cost of products sold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(93.2)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(353.0)</w:t>
            </w:r>
          </w:p>
        </w:tc>
        <w:tc>
          <w:tcPr>
            <w:tcW w:w="80" w:type="dxa"/>
            <w:vAlign w:val="bottom"/>
          </w:tcPr>
          <w:p>
            <w:pPr>
              <w:spacing w:after="0"/>
              <w:rPr>
                <w:sz w:val="18"/>
                <w:szCs w:val="18"/>
                <w:color w:val="auto"/>
              </w:rPr>
            </w:pPr>
          </w:p>
        </w:tc>
        <w:tc>
          <w:tcPr>
            <w:tcW w:w="13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(32.3)</w:t>
            </w:r>
          </w:p>
        </w:tc>
        <w:tc>
          <w:tcPr>
            <w:tcW w:w="120" w:type="dxa"/>
            <w:vAlign w:val="bottom"/>
          </w:tcPr>
          <w:p>
            <w:pPr>
              <w:spacing w:after="0"/>
              <w:rPr>
                <w:sz w:val="18"/>
                <w:szCs w:val="18"/>
                <w:color w:val="auto"/>
              </w:rPr>
            </w:pPr>
          </w:p>
        </w:tc>
        <w:tc>
          <w:tcPr>
            <w:tcW w:w="1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43.1</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w:t>
            </w:r>
          </w:p>
        </w:tc>
      </w:tr>
      <w:tr>
        <w:trPr>
          <w:trHeight w:val="45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 in millions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Cloud hash</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General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Membership</w:t>
            </w:r>
          </w:p>
        </w:tc>
        <w:tc>
          <w:tcPr>
            <w:tcW w:w="100" w:type="dxa"/>
            <w:vAlign w:val="bottom"/>
          </w:tcPr>
          <w:p>
            <w:pPr>
              <w:spacing w:after="0"/>
              <w:rPr>
                <w:sz w:val="16"/>
                <w:szCs w:val="16"/>
                <w:color w:val="auto"/>
              </w:rPr>
            </w:pP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Business line</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Self-mining</w:t>
            </w:r>
          </w:p>
        </w:tc>
        <w:tc>
          <w:tcPr>
            <w:tcW w:w="80" w:type="dxa"/>
            <w:vAlign w:val="bottom"/>
          </w:tcPr>
          <w:p>
            <w:pPr>
              <w:spacing w:after="0"/>
              <w:rPr>
                <w:sz w:val="21"/>
                <w:szCs w:val="21"/>
                <w:color w:val="auto"/>
              </w:rPr>
            </w:pPr>
          </w:p>
        </w:tc>
        <w:tc>
          <w:tcPr>
            <w:tcW w:w="12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hosting</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hosting</w:t>
            </w:r>
          </w:p>
        </w:tc>
      </w:tr>
      <w:tr>
        <w:trPr>
          <w:trHeight w:val="216"/>
        </w:trPr>
        <w:tc>
          <w:tcPr>
            <w:tcW w:w="4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3"/>
              </w:rPr>
              <w:t>163.1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Electricity cost in operating mining rigs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(91.1)</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and SBC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Other costs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(142.0)</w:t>
            </w: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w:t>
            </w:r>
          </w:p>
        </w:tc>
        <w:tc>
          <w:tcPr>
            <w:tcW w:w="13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(52.3)</w:t>
            </w:r>
          </w:p>
        </w:tc>
        <w:tc>
          <w:tcPr>
            <w:tcW w:w="13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(53.7)</w:t>
            </w: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21.1</w:t>
            </w:r>
          </w:p>
        </w:tc>
        <w:tc>
          <w:tcPr>
            <w:tcW w:w="1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w:t>
            </w:r>
          </w:p>
        </w:tc>
        <w:tc>
          <w:tcPr>
            <w:tcW w:w="13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15.3</w:t>
            </w:r>
          </w:p>
        </w:tc>
        <w:tc>
          <w:tcPr>
            <w:tcW w:w="13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2025 Management’s Discussion and Analysis (compared to Q4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US$224.8 million vs. US$69.0 million.</w:t>
      </w:r>
    </w:p>
    <w:p>
      <w:pPr>
        <w:spacing w:after="0" w:line="252"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revenue </w:t>
      </w:r>
      <w:r>
        <w:rPr>
          <w:rFonts w:ascii="Times New Roman" w:cs="Times New Roman" w:eastAsia="Times New Roman" w:hAnsi="Times New Roman"/>
          <w:sz w:val="18"/>
          <w:szCs w:val="18"/>
          <w:color w:val="auto"/>
        </w:rPr>
        <w:t>was US$168.6 million vs. US$41.5 million, primarily due to the increase in the average self-mining hashrate for the quarter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464.3% to 47.4 EH/s from 8.4 EH/s last year.</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revenue </w:t>
      </w:r>
      <w:r>
        <w:rPr>
          <w:rFonts w:ascii="Times New Roman" w:cs="Times New Roman" w:eastAsia="Times New Roman" w:hAnsi="Times New Roman"/>
          <w:sz w:val="18"/>
          <w:szCs w:val="18"/>
          <w:color w:val="auto"/>
        </w:rPr>
        <w:t>was US$2.1 million vs. US$2.3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Hosting revenue </w:t>
      </w:r>
      <w:r>
        <w:rPr>
          <w:rFonts w:ascii="Times New Roman" w:cs="Times New Roman" w:eastAsia="Times New Roman" w:hAnsi="Times New Roman"/>
          <w:sz w:val="18"/>
          <w:szCs w:val="18"/>
          <w:color w:val="auto"/>
        </w:rPr>
        <w:t>was US$7.6 million vs. US$8.5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Membership Hosting revenue </w:t>
      </w:r>
      <w:r>
        <w:rPr>
          <w:rFonts w:ascii="Times New Roman" w:cs="Times New Roman" w:eastAsia="Times New Roman" w:hAnsi="Times New Roman"/>
          <w:sz w:val="18"/>
          <w:szCs w:val="18"/>
          <w:color w:val="auto"/>
        </w:rPr>
        <w:t>was US$16.3 million vs. US$12.4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SEALMINER sales revenue </w:t>
      </w:r>
      <w:r>
        <w:rPr>
          <w:rFonts w:ascii="Times New Roman" w:cs="Times New Roman" w:eastAsia="Times New Roman" w:hAnsi="Times New Roman"/>
          <w:sz w:val="18"/>
          <w:szCs w:val="18"/>
          <w:color w:val="auto"/>
        </w:rPr>
        <w:t>was US$23.4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HPC and AI Cloud revenue </w:t>
      </w:r>
      <w:r>
        <w:rPr>
          <w:rFonts w:ascii="Times New Roman" w:cs="Times New Roman" w:eastAsia="Times New Roman" w:hAnsi="Times New Roman"/>
          <w:sz w:val="18"/>
          <w:szCs w:val="18"/>
          <w:color w:val="auto"/>
        </w:rPr>
        <w:t>was US$2.3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jc w:val="both"/>
        <w:ind w:left="340" w:hanging="332"/>
        <w:spacing w:after="0" w:line="26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was US$214.3 million vs US$63.9 million. The increase was primarily driven by higher electricity and depreciation costs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number of new mining rigs came online, a slightly higher per unit power cost, compounded by a change in the depreciation accounting assumptions applied to mining rigs to reflect a more conservative approach.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US$10.6 million vs. US$5.1 million.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4.7% vs. 7.4%.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operating expenses below was US$66.3 million vs. US$42.5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expenses were US$2.4 million vs. US$2.0 million, flat year-over-year.</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US$28.8 million vs. US$17.7 million. The increase was primarily due to an increase in staff costs for general and administrative personnel and consulting fee for capital market and compliance activities, as well as the higher share-based payment expenses.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US$35.2 million vs. US$22.9 million, primarily due to the one-off development and tape out costs of SEAL-DL1 chip.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29" w:lineRule="exact"/>
        <w:rPr>
          <w:sz w:val="20"/>
          <w:szCs w:val="20"/>
          <w:color w:val="auto"/>
        </w:rPr>
      </w:pPr>
    </w:p>
    <w:p>
      <w:pPr>
        <w:ind w:left="340" w:right="2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were US$43.8 million vs. US$3.7 million. This was largely attributable to the fair value change of Bitcoins pledged for the Bitcoin collateralized loan since Q3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Net Gain</w:t>
      </w:r>
    </w:p>
    <w:p>
      <w:pPr>
        <w:spacing w:after="0" w:line="229"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Q4 2025, we recorded US$208.9 million other net gain primarily due to the non-cash, fair value changes of derivative liabilities, which are the US$276.6 million of gain on fair value changes for the convertible senior notes issued in November 2024, June 2025 and November 2025 and the US$44.2 million of loss on extinguishment of the convertible senior notes issued in November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Profit / (Loss)</w:t>
      </w:r>
    </w:p>
    <w:p>
      <w:pPr>
        <w:spacing w:after="0" w:line="22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 was US$70.5 million vs. net loss of US$531.9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Loss (Non-IFRS)</w:t>
      </w:r>
      <w:r>
        <w:rPr>
          <w:rFonts w:ascii="Times New Roman" w:cs="Times New Roman" w:eastAsia="Times New Roman" w:hAnsi="Times New Roman"/>
          <w:sz w:val="29"/>
          <w:szCs w:val="29"/>
          <w:b w:val="1"/>
          <w:bCs w:val="1"/>
          <w:i w:val="1"/>
          <w:iCs w:val="1"/>
          <w:color w:val="auto"/>
          <w:vertAlign w:val="superscript"/>
        </w:rPr>
        <w:t>6</w:t>
      </w:r>
    </w:p>
    <w:p>
      <w:pPr>
        <w:spacing w:after="0" w:line="130" w:lineRule="exact"/>
        <w:rPr>
          <w:sz w:val="20"/>
          <w:szCs w:val="20"/>
          <w:color w:val="auto"/>
        </w:rPr>
      </w:pPr>
    </w:p>
    <w:p>
      <w:pPr>
        <w:ind w:left="340" w:hanging="332"/>
        <w:spacing w:after="0" w:line="188" w:lineRule="auto"/>
        <w:tabs>
          <w:tab w:leader="none" w:pos="340" w:val="left"/>
        </w:tabs>
        <w:numPr>
          <w:ilvl w:val="0"/>
          <w:numId w:val="1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loss was US$82.6 million vs. US$37.4</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million. The change was primarily due to the higher energy and depreciation costs, higher operating and interest expense, partially offset by the year-over-year higher 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(Non-IFRS)</w:t>
      </w:r>
      <w:r>
        <w:rPr>
          <w:rFonts w:ascii="Times New Roman" w:cs="Times New Roman" w:eastAsia="Times New Roman" w:hAnsi="Times New Roman"/>
          <w:sz w:val="29"/>
          <w:szCs w:val="29"/>
          <w:b w:val="1"/>
          <w:bCs w:val="1"/>
          <w:i w:val="1"/>
          <w:iCs w:val="1"/>
          <w:color w:val="auto"/>
          <w:vertAlign w:val="superscript"/>
        </w:rPr>
        <w:t>1</w:t>
      </w:r>
    </w:p>
    <w:p>
      <w:pPr>
        <w:spacing w:after="0" w:line="130" w:lineRule="exact"/>
        <w:rPr>
          <w:sz w:val="20"/>
          <w:szCs w:val="20"/>
          <w:color w:val="auto"/>
        </w:rPr>
      </w:pPr>
    </w:p>
    <w:p>
      <w:pPr>
        <w:ind w:left="260" w:right="20" w:hanging="252"/>
        <w:spacing w:after="0" w:line="188" w:lineRule="auto"/>
        <w:tabs>
          <w:tab w:leader="none" w:pos="260" w:val="left"/>
        </w:tabs>
        <w:numPr>
          <w:ilvl w:val="0"/>
          <w:numId w:val="1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 was positive US$31.2 million vs. negative US$4.3</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million. The year-over-year growth was primarily driven by significantly higher self-mining hashrate as a result of the Company’s mass production and deployment of SEALMINERs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830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27" w:lineRule="exact"/>
        <w:rPr>
          <w:sz w:val="20"/>
          <w:szCs w:val="20"/>
          <w:color w:val="auto"/>
        </w:rPr>
      </w:pPr>
    </w:p>
    <w:p>
      <w:pPr>
        <w:jc w:val="both"/>
        <w:ind w:left="340" w:right="20" w:hanging="332"/>
        <w:spacing w:after="0" w:line="219" w:lineRule="auto"/>
        <w:tabs>
          <w:tab w:leader="none" w:pos="34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profit/(loss)” is defined as profit/(loss) adjusted to exclude share-based payment expenses under IFRS 2, changes in fair value of derivative liabilities, loss on extinguishment of convertible senior notes, changes in fair value of cryptocurrency-settled receivables and payables, changes in fair value of cryptocurrency receivables, impairment of assets, other expenses – one off donation, changes in fair value of derivative assets, changes in fair value of financial assets at fair value through profit or loss, and changes in fair value of holdback shares for acquisition of FreeChain.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was US$599.5 million, primarily driven by SEALMINERs supply chain and manufacturing costs, electricity costs from the mining business, general corporate overhead and interest.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investing activities was US$97.9 million, which included US$50.7 million of capital expenditures for datacenter infrastructure construction, GPU equipment procurement and tariffs and freight for mining rigs delivered to the datacenters, and US$150.6 million of proceeds from the disposal of cryptocurrencies.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generated from financing activities was US$454.5 million, primarily driven by the proceeds of a total US$698.0 million from our convertible senior note issuance in November, borrowing from a related party and ATM and ELOC program, partially offset by US$171.1 million of repayments of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of December 31, 2025 (compared to December 31, 2024)</w:t>
      </w:r>
    </w:p>
    <w:p>
      <w:pPr>
        <w:spacing w:after="0" w:line="227"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US$149.4 million in cash and cash equivalents, US$83.1 million in cryptocurrencies and US$1.0 billion in borrowing.</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US$723.0 million prepayments and other assets, up from US$310.2 million. Change primarily driven by advanced payments to suppliers for SEALMINERs mass volume production.</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US$252.0 million inventories, up from US$64.9 million. Increase mainly including wafers, chips, WIP and finished SEALMINERs inventory.</w:t>
      </w:r>
    </w:p>
    <w:p>
      <w:pPr>
        <w:spacing w:after="0" w:line="252"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US$620.7 million in mining rigs, up from US$67.3 million. Change mainly raised from mass production and the deployment of SEALMINERs to the Company’s datacenters for self-mining activities.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US$501.1 million derivative liabilities mainly due to the convertible senior notes issued in November 2024, June 2025 and November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information regarding the Company’s fourth quarter 2024 financial and operations results can be found on the SEC’s website https://sec.gov and the Company’s Investor Relations website https://ir.bitdeer.com.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and AI infrastructure. Bitdeer is committed to providing comprehensive computing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amongst other countries. To learn more, please visit https://ir.bitdeer.com/ or follow Bitdeer on X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 looking statement, whether due to new information, future events, or otherwise. Readers should not rely upon the information on this page as current or accurate after its publication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002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STATEMENTS OF FINANCIAL POSITION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 in thousands)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476,270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Cryptocurrencies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77,537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Cryptocurrencies - receivables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135,558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698,291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291,929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64,888</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1,386,647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949,447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37,981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Mining rigs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620,667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69,273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441,797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properties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35,818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11,087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1,417,925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608,407</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2,804,572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1,557,854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40,617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501,085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763,939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39,029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478,792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208,127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1,520,662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1,100,119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246,831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72,673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416,062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1"/>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1,936,724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1,281,256</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867,848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276,598</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Treasury equity</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(325,597)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(160,926)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(583,407)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(649,004)</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1,776,852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1,086,528</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867,848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Amount less than US$1,000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38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BITDEER GROUP UNAUDITED CONSOLIDATED STATEMENTS OF OPERATIONS AND COMPREHENSIVE INCOME /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Three months ended Dec 31,</w:t>
            </w:r>
          </w:p>
        </w:tc>
        <w:tc>
          <w:tcPr>
            <w:tcW w:w="2540" w:type="dxa"/>
            <w:vAlign w:val="bottom"/>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Years ended Dec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29"/>
                <w:szCs w:val="29"/>
                <w:b w:val="1"/>
                <w:bCs w:val="1"/>
                <w:color w:val="auto"/>
                <w:vertAlign w:val="superscript"/>
              </w:rPr>
              <w:t>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224,835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69,018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620,253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349,782</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(214,265)</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(63,919)</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(559,261)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(283,382)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10,570</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(6,667)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(28,780)</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(17,668)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(35,197)</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(22,898)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(153,876)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(43,809)</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(3,670)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(21,352)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net gain /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208,933</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(479,778)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365,038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(507,479)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109,353</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(520,867)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159,720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(36,438)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(11,811)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(88,890)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72,915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(532,678)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70,830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(601,594)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for the periods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(531,917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(599,151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 (Loss) for the periods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70,542</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(531,917)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65,597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(599,151)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periods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 that may be reclassified to profit or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 (loss) for the periods, net of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comprehensive income / (loss) for the periods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70,807</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(532,151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66,028</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(599,369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 (Loss)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(0.73)</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(thousands)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225,305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165,427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204,679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137,426</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268,150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165,427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234,319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137,426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8" w:lineRule="exact"/>
        <w:rPr>
          <w:sz w:val="20"/>
          <w:szCs w:val="20"/>
          <w:color w:val="auto"/>
        </w:rPr>
      </w:pPr>
    </w:p>
    <w:p>
      <w:pPr>
        <w:ind w:left="340" w:right="20" w:hanging="332"/>
        <w:spacing w:after="0" w:line="195" w:lineRule="auto"/>
        <w:tabs>
          <w:tab w:leader="none" w:pos="34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nil and approximately US$17.2 million generated from hosting service provided to a related party for the three months and year ended December 31, 2024.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002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BITDEER GROUP UNAUDITED CONDENSED CONSOLIDATED STATEMENTS OF CASH FLOWS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272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Three months ended Dec 31,</w:t>
            </w:r>
          </w:p>
        </w:tc>
        <w:tc>
          <w:tcPr>
            <w:tcW w:w="2540" w:type="dxa"/>
            <w:vAlign w:val="bottom"/>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Years ended Dec 31,</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(565,473)</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(321,629)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(1,677,080)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(613,167)</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Interest paid on leases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(1,045)</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(902)</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(3,473)</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borrowings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(35,127)</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(64,325)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1,653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7,797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7,115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(700)</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(1,964)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(1,886)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844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(599,537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(325,058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(1,738,678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(622,073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property, plant and equipment, investment properties and intangible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(34,598)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(42,617)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(232,242)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(119,487)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mining rigs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(16,132)</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(5,766)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(35,441)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financial assets at fair value through profit or loss, net of refund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received</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cryptocurrencies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(18,159)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cryptocurrencies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150,634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38,794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352,006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248,447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the site and gas-fired power project in Alberta, Canada</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(21,881)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business acquisitions, net of cash acquired</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generated from /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97,880</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(9,960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38,857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112,700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(2,211)</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(6,540)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(7,995)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43,472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(17,009)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168,000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668,000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borrowings to a related party</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(57,042)</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(95,417)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 for exercise of share rewards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4,412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3,517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5,170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and warrants, net of transaction costs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141,530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321,918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401,347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485,108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(35,000)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(65,010)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senior notes, net of transaction costs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388,480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387,917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750,958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554,214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to convertible senior notes in connection with note extinguishment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(114,071)</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(14,932)</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(147,854)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capped call instrument</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(35,400)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(35,400)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zero-strike call option</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(160,000)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(129,607)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(160,000)</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454,453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522,775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(47,204)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187,757</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(330,819)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334,894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196,252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291,314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476,270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144,729</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movements in exchange rates on cash and cash equivalents held</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3,901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149,352</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476,270</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149,352</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476,270</w:t>
            </w:r>
          </w:p>
        </w:tc>
        <w:tc>
          <w:tcPr>
            <w:tcW w:w="100" w:type="dxa"/>
            <w:vAlign w:val="bottom"/>
            <w:tcBorders>
              <w:top w:val="single" w:sz="8" w:color="CCEEFF"/>
            </w:tcBorders>
          </w:tcPr>
          <w:p>
            <w:pPr>
              <w:spacing w:after="0"/>
              <w:rPr>
                <w:sz w:val="18"/>
                <w:szCs w:val="18"/>
                <w:color w:val="auto"/>
              </w:rPr>
            </w:pPr>
          </w:p>
        </w:tc>
      </w:tr>
      <w:tr>
        <w:trPr>
          <w:trHeight w:val="655"/>
        </w:trPr>
        <w:tc>
          <w:tcPr>
            <w:tcW w:w="59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Use of Non-IFRS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the Company’s business, the Company considers and uses non-IFRS measures, adjusted EBITDA and adjusted loss, as supplemental measures to review and assess its operating performance. The Company defines adjusted EBITDA as earnings before interest, taxes, depreciation and amortization, further adjusted to exclude share-based payment expenses under IFRS 2, changes in fair value of derivative liabilities, loss on extinguishment of convertible senior notes, changes in fair value of cryptocurrency-settled receivables and payables, changes in fair value of cryptocurrency receivables, impairment of assets, other expenses – one off donation, changes in fair value of derivative assets, changes in fair value of financial assets at fair value through profit or loss, and changes in fair value of holdback shares for acquisition of FreeChain, and defines adjusted profit/(loss) as profit/(loss) adjusted to exclude share-based payment expenses under IFRS 2, changes in fair value of derivative liabilities, loss on extinguishment of convertible senior notes, changes in fair value of cryptocurrency-settled receivables and payables, changes in fair value of cryptocurrency receivables, impairment of assets, other expenses – one off donation, changes in fair value of derivative assets, changes in fair value of financial assets at fair value through profit or loss, and changes in fair value of holdback shares for acquisition of FreeChain.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presents these non-IFRS financial measures because they are used by its management to evaluate its operating performance and formulate business plans. The Company also believes that the use of these non-IFRS measures facilitate investors’ assessment of its operating performance. These measures are not necessarily comparable to similarly titled measures used by other companies. As a result, investors should not consider these measures in isolation from, or as a substitute analysis for, the Company’s loss for the periods, as determined in accordance with IFRS. The Company compensates for these limitations by reconciling these non-IFRS financial measures to the nearest IFRS performance measure, all of which should be considered when evaluating its performance. The Company encourages investors to review its financial information in its entirety and not rely on a single financial measure.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loss for the relevant period to adjusted EBITDA and adjusted loss, for the three and twelve months ended December 31, 2025 and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GROUP NON-IFRS ADJUSTED EBITDA AND ADJUSTED LOSS RECONCILIATION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6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 Dec 31,</w:t>
            </w:r>
          </w:p>
        </w:tc>
        <w:tc>
          <w:tcPr>
            <w:tcW w:w="2580" w:type="dxa"/>
            <w:vAlign w:val="bottom"/>
            <w:gridSpan w:val="4"/>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Years ended Dec 31,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for the periods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70,542</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(531,917)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(599,151)</w:t>
            </w:r>
          </w:p>
        </w:tc>
        <w:tc>
          <w:tcPr>
            <w:tcW w:w="0" w:type="dxa"/>
            <w:vAlign w:val="bottom"/>
          </w:tcPr>
          <w:p>
            <w:pPr>
              <w:spacing w:after="0"/>
              <w:rPr>
                <w:sz w:val="1"/>
                <w:szCs w:val="1"/>
                <w:color w:val="auto"/>
              </w:rPr>
            </w:pPr>
          </w:p>
        </w:tc>
      </w:tr>
      <w:tr>
        <w:trPr>
          <w:trHeight w:val="241"/>
        </w:trPr>
        <w:tc>
          <w:tcPr>
            <w:tcW w:w="598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75,059</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25,116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168,119</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81,096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 expenses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2,373</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net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36,380</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91,725</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10,050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8,602</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8,658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38,493</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33,968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(276,552)</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469,501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(444,861)</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498,167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senior notes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44,209</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8,172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60,403</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cryptocurrency-settled receivables and payables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(1,724)</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5,733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cryptocurrency receivables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48,950</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26,710</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Impairment of assets</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14,699</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14,699</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 one off donation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derivative assets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financial assets at fair value through profit or loss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3,868</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holdback shares for acquisition of FreeChain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31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of Adjusted EBITDA</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31,199</w:t>
            </w:r>
          </w:p>
        </w:tc>
        <w:tc>
          <w:tcPr>
            <w:tcW w:w="1360" w:type="dxa"/>
            <w:vAlign w:val="bottom"/>
            <w:gridSpan w:val="2"/>
          </w:tcPr>
          <w:p>
            <w:pPr>
              <w:jc w:val="right"/>
              <w:ind w:right="30"/>
              <w:spacing w:after="0" w:line="270" w:lineRule="exact"/>
              <w:rPr>
                <w:sz w:val="20"/>
                <w:szCs w:val="20"/>
                <w:color w:val="auto"/>
              </w:rPr>
            </w:pPr>
            <w:r>
              <w:rPr>
                <w:rFonts w:ascii="Times New Roman" w:cs="Times New Roman" w:eastAsia="Times New Roman" w:hAnsi="Times New Roman"/>
                <w:sz w:val="18"/>
                <w:szCs w:val="18"/>
                <w:b w:val="1"/>
                <w:bCs w:val="1"/>
                <w:color w:val="auto"/>
              </w:rPr>
              <w:t>(4,329)</w:t>
            </w:r>
            <w:r>
              <w:rPr>
                <w:rFonts w:ascii="Times New Roman" w:cs="Times New Roman" w:eastAsia="Times New Roman" w:hAnsi="Times New Roman"/>
                <w:sz w:val="29"/>
                <w:szCs w:val="29"/>
                <w:b w:val="1"/>
                <w:bCs w:val="1"/>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35,204</w:t>
            </w:r>
          </w:p>
        </w:tc>
        <w:tc>
          <w:tcPr>
            <w:tcW w:w="126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b w:val="1"/>
                <w:bCs w:val="1"/>
                <w:color w:val="auto"/>
              </w:rPr>
              <w:t>37,437</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for the periods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70,542</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(531,917)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(599,151)</w:t>
            </w:r>
          </w:p>
        </w:tc>
        <w:tc>
          <w:tcPr>
            <w:tcW w:w="0" w:type="dxa"/>
            <w:vAlign w:val="bottom"/>
          </w:tcPr>
          <w:p>
            <w:pPr>
              <w:spacing w:after="0"/>
              <w:rPr>
                <w:sz w:val="1"/>
                <w:szCs w:val="1"/>
                <w:color w:val="auto"/>
              </w:rPr>
            </w:pPr>
          </w:p>
        </w:tc>
      </w:tr>
      <w:tr>
        <w:trPr>
          <w:trHeight w:val="241"/>
        </w:trPr>
        <w:tc>
          <w:tcPr>
            <w:tcW w:w="598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Add</w:t>
            </w:r>
            <w:r>
              <w:rPr>
                <w:rFonts w:ascii="MS PGothic" w:cs="MS PGothic" w:eastAsia="MS PGothic" w:hAnsi="MS PGothic"/>
                <w:sz w:val="18"/>
                <w:szCs w:val="18"/>
                <w:i w:val="1"/>
                <w:iCs w:val="1"/>
                <w:color w:val="auto"/>
              </w:rPr>
              <w: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8,602</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38,493</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33,968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liabilities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(276,552)</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469,501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(444,861)</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498,167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senior notes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44,209</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8,172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60,403</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8,172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cryptocurrency-settled receivables and payables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(1,724)</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5,733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cryptocurrency receivables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48,950</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26,710</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Impairment of assets </w:t>
            </w:r>
            <w:r>
              <w:rPr>
                <w:rFonts w:ascii="Times New Roman" w:cs="Times New Roman" w:eastAsia="Times New Roman" w:hAnsi="Times New Roman"/>
                <w:sz w:val="29"/>
                <w:szCs w:val="29"/>
                <w:color w:val="auto"/>
                <w:vertAlign w:val="superscript"/>
              </w:rPr>
              <w:t>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14,699</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14,699</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 one off donation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 assets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assets at fair value through profit or loss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3,868</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holdback shares for acquisition of FreeChain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2,970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30"/>
              <w:spacing w:after="0" w:line="284" w:lineRule="exact"/>
              <w:rPr>
                <w:sz w:val="20"/>
                <w:szCs w:val="20"/>
                <w:color w:val="auto"/>
              </w:rPr>
            </w:pPr>
            <w:r>
              <w:rPr>
                <w:rFonts w:ascii="Times New Roman" w:cs="Times New Roman" w:eastAsia="Times New Roman" w:hAnsi="Times New Roman"/>
                <w:sz w:val="18"/>
                <w:szCs w:val="18"/>
                <w:b w:val="1"/>
                <w:bCs w:val="1"/>
                <w:color w:val="auto"/>
                <w:w w:val="76"/>
              </w:rPr>
              <w:t>)</w:t>
            </w:r>
            <w:r>
              <w:rPr>
                <w:rFonts w:ascii="Times New Roman" w:cs="Times New Roman" w:eastAsia="Times New Roman" w:hAnsi="Times New Roman"/>
                <w:sz w:val="29"/>
                <w:szCs w:val="29"/>
                <w:b w:val="1"/>
                <w:bCs w:val="1"/>
                <w:color w:val="auto"/>
                <w:w w:val="76"/>
                <w:vertAlign w:val="superscript"/>
              </w:rPr>
              <w:t>2</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b w:val="1"/>
                <w:bCs w:val="1"/>
                <w:color w:val="auto"/>
                <w:w w:val="71"/>
              </w:rPr>
              <w:t>)</w:t>
            </w:r>
            <w:r>
              <w:rPr>
                <w:rFonts w:ascii="Times New Roman" w:cs="Times New Roman" w:eastAsia="Times New Roman" w:hAnsi="Times New Roman"/>
                <w:sz w:val="26"/>
                <w:szCs w:val="26"/>
                <w:b w:val="1"/>
                <w:bCs w:val="1"/>
                <w:color w:val="auto"/>
                <w:w w:val="71"/>
                <w:vertAlign w:val="superscript"/>
              </w:rPr>
              <w:t>2</w:t>
            </w:r>
          </w:p>
        </w:tc>
        <w:tc>
          <w:tcPr>
            <w:tcW w:w="0" w:type="dxa"/>
            <w:vAlign w:val="bottom"/>
          </w:tcPr>
          <w:p>
            <w:pPr>
              <w:spacing w:after="0" w:line="20" w:lineRule="exact"/>
              <w:rPr>
                <w:sz w:val="1"/>
                <w:szCs w:val="1"/>
                <w:color w:val="auto"/>
              </w:rPr>
            </w:pPr>
          </w:p>
        </w:tc>
      </w:tr>
      <w:tr>
        <w:trPr>
          <w:trHeight w:val="26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of Adjusted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(82,613)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(37,413</w:t>
            </w:r>
          </w:p>
        </w:tc>
        <w:tc>
          <w:tcPr>
            <w:tcW w:w="260" w:type="dxa"/>
            <w:vAlign w:val="bottom"/>
            <w:vMerge w:val="continue"/>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(229,873)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(51,266</w:t>
            </w:r>
          </w:p>
        </w:tc>
        <w:tc>
          <w:tcPr>
            <w:tcW w:w="1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-4335145</wp:posOffset>
            </wp:positionV>
            <wp:extent cx="58420" cy="88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58420" cy="88265"/>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-1746250</wp:posOffset>
            </wp:positionV>
            <wp:extent cx="58420" cy="88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58420" cy="8826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Ragozzino Jr.,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35" w:lineRule="exact"/>
        <w:rPr>
          <w:sz w:val="20"/>
          <w:szCs w:val="20"/>
          <w:color w:val="auto"/>
        </w:rPr>
      </w:pPr>
    </w:p>
    <w:p>
      <w:pPr>
        <w:jc w:val="both"/>
        <w:ind w:left="340" w:hanging="332"/>
        <w:spacing w:after="0" w:line="219" w:lineRule="auto"/>
        <w:tabs>
          <w:tab w:leader="none" w:pos="34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Impairment of assets for the year ended December 31, 2025 was US$7.2 million and nil, respectively. In the year ended December 31, 2025, we recorded an impairment of US$4.7 million related to the fire accident in Massillon Ohio site, US$8.7 million related to old model of whatsminers, and US$1.3 million related to our other assets as they didn’t happen occasionally and do not represent normal operating expenses (or income) necessary to operate our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4"/>
      <w:numFmt w:val="bullet"/>
      <w:start w:val="1"/>
    </w:lvl>
  </w:abstractNum>
  <w:abstractNum w:abstractNumId="5">
    <w:nsid w:val="3352255A"/>
    <w:multiLevelType w:val="hybridMultilevel"/>
    <w:lvl w:ilvl="0">
      <w:lvlJc w:val="left"/>
      <w:lvlText w:val="5"/>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6"/>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7"/>
      <w:numFmt w:val="bullet"/>
      <w:start w:val="1"/>
    </w:lvl>
  </w:abstractNum>
  <w:abstractNum w:abstractNumId="19">
    <w:nsid w:val="62BBD95A"/>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jpe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17" Type="http://schemas.openxmlformats.org/officeDocument/2006/relationships/hyperlink" Target="http://www.sec.gov/Archives/edgar/data/1899123/000114036124021346/ny20023745x7_posam.htm" TargetMode="External"/><Relationship Id="rId18" Type="http://schemas.openxmlformats.org/officeDocument/2006/relationships/hyperlink" Target="http://www.sec.gov/Archives/edgar/data/1899123/000114036124013887/ny20023745x1_f3.htm" TargetMode="External"/><Relationship Id="rId19" Type="http://schemas.openxmlformats.org/officeDocument/2006/relationships/hyperlink" Target="http://www.sec.gov/Archives/edgar/data/1899123/000114036124013888/ny20023745x3_f3.htm" TargetMode="External"/><Relationship Id="rId20" Type="http://schemas.openxmlformats.org/officeDocument/2006/relationships/hyperlink" Target="http://www.sec.gov/Archives/edgar/data/1899123/000114036124029276/ny20030771x1_f3.htm" TargetMode="External"/><Relationship Id="rId21" Type="http://schemas.openxmlformats.org/officeDocument/2006/relationships/hyperlink" Target="http://www.sec.gov/Archives/edgar/data/1899123/000114036124049031/ny20039746x1_f3.htm" TargetMode="External"/><Relationship Id="rId22" Type="http://schemas.openxmlformats.org/officeDocument/2006/relationships/hyperlink" Target="http://www.sec.gov/Archives/edgar/data/1899123/000121390025080525/ea0254524-f3_bitdeer.htm" TargetMode="External"/><Relationship Id="rId23" Type="http://schemas.openxmlformats.org/officeDocument/2006/relationships/hyperlink" Target="http://www.sec.gov/Archives/edgar/data/1899123/000114036123031108/brhc20054618_s8.htm" TargetMode="External"/><Relationship Id="rId24" Type="http://schemas.openxmlformats.org/officeDocument/2006/relationships/hyperlink" Target="http://www.sec.gov/Archives/edgar/data/1899123/000114036123051570/ef200137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2026-02-12T08:21:25Z</dcterms:created>
  <dcterms:modified xsi:type="dcterms:W3CDTF">2026-02-12T08:21:25Z</dcterms:modified>
</cp:coreProperties>
</file>