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36271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889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Will H. Cai</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+852 3758 1210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wcai@cooley.com</w:t>
      </w:r>
    </w:p>
    <w:p>
      <w:pPr>
        <w:spacing w:after="0" w:line="211" w:lineRule="exact"/>
        <w:rPr>
          <w:sz w:val="24"/>
          <w:szCs w:val="24"/>
          <w:color w:val="auto"/>
        </w:rPr>
      </w:pPr>
    </w:p>
    <w:p>
      <w:pPr>
        <w:ind w:left="9820"/>
        <w:spacing w:after="0"/>
        <w:rPr>
          <w:sz w:val="20"/>
          <w:szCs w:val="20"/>
          <w:color w:val="auto"/>
        </w:rPr>
      </w:pPr>
      <w:r>
        <w:rPr>
          <w:rFonts w:ascii="Arial" w:cs="Arial" w:eastAsia="Arial" w:hAnsi="Arial"/>
          <w:sz w:val="16"/>
          <w:szCs w:val="16"/>
          <w:color w:val="auto"/>
        </w:rPr>
        <w:t>December 15, 2021</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Draft Registration Statement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Bitdeer Technologies Group</w:t>
            </w:r>
          </w:p>
        </w:tc>
        <w:tc>
          <w:tcPr>
            <w:tcW w:w="328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Confidential Submission of the Draft Registration Statement on Form F-4</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4"/>
          <w:szCs w:val="24"/>
          <w:color w:val="auto"/>
        </w:rPr>
      </w:pPr>
    </w:p>
    <w:p>
      <w:pPr>
        <w:jc w:val="both"/>
        <w:ind w:firstLine="648"/>
        <w:spacing w:after="0" w:line="289" w:lineRule="auto"/>
        <w:rPr>
          <w:sz w:val="20"/>
          <w:szCs w:val="20"/>
          <w:color w:val="auto"/>
        </w:rPr>
      </w:pPr>
      <w:r>
        <w:rPr>
          <w:rFonts w:ascii="Arial" w:cs="Arial" w:eastAsia="Arial" w:hAnsi="Arial"/>
          <w:sz w:val="16"/>
          <w:szCs w:val="16"/>
          <w:color w:val="auto"/>
        </w:rPr>
        <w:t>On behalf of our client, Bitdeer Technologies Group, a foreign private issuer organized under the laws of the Cayman Islands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hereby submitting a draft registration statement on Form F-4 (the “</w:t>
      </w:r>
      <w:r>
        <w:rPr>
          <w:rFonts w:ascii="Arial" w:cs="Arial" w:eastAsia="Arial" w:hAnsi="Arial"/>
          <w:sz w:val="16"/>
          <w:szCs w:val="16"/>
          <w:b w:val="1"/>
          <w:bCs w:val="1"/>
          <w:i w:val="1"/>
          <w:iCs w:val="1"/>
          <w:color w:val="auto"/>
        </w:rPr>
        <w:t>Draft Registration Statement</w:t>
      </w:r>
      <w:r>
        <w:rPr>
          <w:rFonts w:ascii="Arial" w:cs="Arial" w:eastAsia="Arial" w:hAnsi="Arial"/>
          <w:sz w:val="16"/>
          <w:szCs w:val="16"/>
          <w:color w:val="auto"/>
        </w:rPr>
        <w:t>”) via EDGAR to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for confidential nonpublic review pursuant to Section 6(e) of the Securities Act of 1933, as amended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Registration Statement submitted herewith relates to the issuance of the Company’s Class A Ordinary Shares, par value US$0.0000001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to be represented by American depositary shares (“</w:t>
      </w:r>
      <w:r>
        <w:rPr>
          <w:rFonts w:ascii="Arial" w:cs="Arial" w:eastAsia="Arial" w:hAnsi="Arial"/>
          <w:sz w:val="16"/>
          <w:szCs w:val="16"/>
          <w:b w:val="1"/>
          <w:bCs w:val="1"/>
          <w:i w:val="1"/>
          <w:iCs w:val="1"/>
          <w:color w:val="auto"/>
        </w:rPr>
        <w:t>ADSs</w:t>
      </w:r>
      <w:r>
        <w:rPr>
          <w:rFonts w:ascii="Arial" w:cs="Arial" w:eastAsia="Arial" w:hAnsi="Arial"/>
          <w:sz w:val="16"/>
          <w:szCs w:val="16"/>
          <w:color w:val="auto"/>
        </w:rPr>
        <w:t>”) in connection with a proposed business combination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by and among the Company, Bitdeer Technologies Holding Company, Blue Safari Group Acquisition Corp. (a special purpose acquisition company, “</w:t>
      </w:r>
      <w:r>
        <w:rPr>
          <w:rFonts w:ascii="Arial" w:cs="Arial" w:eastAsia="Arial" w:hAnsi="Arial"/>
          <w:sz w:val="16"/>
          <w:szCs w:val="16"/>
          <w:b w:val="1"/>
          <w:bCs w:val="1"/>
          <w:i w:val="1"/>
          <w:iCs w:val="1"/>
          <w:color w:val="auto"/>
        </w:rPr>
        <w:t>BSGA</w:t>
      </w:r>
      <w:r>
        <w:rPr>
          <w:rFonts w:ascii="Arial" w:cs="Arial" w:eastAsia="Arial" w:hAnsi="Arial"/>
          <w:sz w:val="16"/>
          <w:szCs w:val="16"/>
          <w:color w:val="auto"/>
        </w:rPr>
        <w:t>”), and other parties thereto. This document also constitutes a draft notice of meeting and a proxy statement under Section 14(a) of the Securities and Exchange Act of 1934, as amended, with respect to the extraordinary general meeting of BSGA shareholders at which BSGA shareholders will be asked to consider and vote upon proposals to approve the Business Combination and other related matters.</w:t>
      </w:r>
    </w:p>
    <w:p>
      <w:pPr>
        <w:spacing w:after="0" w:line="166"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confirms that it is an “emerging growth company” as defined in Section 2(a)(19) of the Securities Act. A registration statement on Form F-6 relating to the ADSs will be filed with the Commission in due course.</w:t>
      </w:r>
    </w:p>
    <w:p>
      <w:pPr>
        <w:spacing w:after="0" w:line="170" w:lineRule="exact"/>
        <w:rPr>
          <w:sz w:val="24"/>
          <w:szCs w:val="24"/>
          <w:color w:val="auto"/>
        </w:rPr>
      </w:pPr>
    </w:p>
    <w:p>
      <w:pPr>
        <w:ind w:left="5080"/>
        <w:spacing w:after="0"/>
        <w:tabs>
          <w:tab w:leader="none" w:pos="5560" w:val="left"/>
          <w:tab w:leader="none" w:pos="6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Cooley LLP 55 Hudson Yards, New York, New York 10001-2157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36271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883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Will H. Cai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+852 3758 1210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wcai@cooley.com</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If you have any questions regarding the Draft Registration Statement, please contact the undersigned by phone at +852-3758-1210 or via e-mail at </w:t>
      </w:r>
      <w:r>
        <w:rPr>
          <w:rFonts w:ascii="Arial" w:cs="Arial" w:eastAsia="Arial" w:hAnsi="Arial"/>
          <w:sz w:val="18"/>
          <w:szCs w:val="18"/>
          <w:u w:val="single" w:color="auto"/>
          <w:color w:val="auto"/>
        </w:rPr>
        <w:t>wcai@cooley.com</w:t>
      </w:r>
      <w:r>
        <w:rPr>
          <w:rFonts w:ascii="Arial" w:cs="Arial" w:eastAsia="Arial" w:hAnsi="Arial"/>
          <w:sz w:val="18"/>
          <w:szCs w:val="18"/>
          <w:color w:val="auto"/>
        </w:rPr>
        <w:t xml:space="preserve"> or Nicholas Dumont by phone at 212 479 6446 or via email at </w:t>
      </w:r>
      <w:r>
        <w:rPr>
          <w:rFonts w:ascii="Arial" w:cs="Arial" w:eastAsia="Arial" w:hAnsi="Arial"/>
          <w:sz w:val="18"/>
          <w:szCs w:val="18"/>
          <w:u w:val="single" w:color="auto"/>
          <w:color w:val="auto"/>
        </w:rPr>
        <w:t>ndumont@cooley.com</w:t>
      </w:r>
      <w:r>
        <w:rPr>
          <w:rFonts w:ascii="Arial" w:cs="Arial" w:eastAsia="Arial" w:hAnsi="Arial"/>
          <w:sz w:val="18"/>
          <w:szCs w:val="18"/>
          <w:color w:val="auto"/>
        </w:rPr>
        <w:t>.</w:t>
      </w: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 H.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 H. Cai</w:t>
      </w:r>
    </w:p>
    <w:p>
      <w:pPr>
        <w:spacing w:after="0" w:line="224" w:lineRule="exact"/>
        <w:rPr>
          <w:sz w:val="20"/>
          <w:szCs w:val="20"/>
          <w:color w:val="auto"/>
        </w:rPr>
      </w:pPr>
    </w:p>
    <w:p>
      <w:pPr>
        <w:ind w:left="660" w:right="4680" w:hanging="652"/>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Linghui Kong, Chief Executive Officer, Bitdeer Technologies Holding Company Naphat Sirimongkolkasem, Chief Financial Officer, Blue Safari Acquisition Corp. Nicholas H.R. Dumont, Esq., Partner, Cooley LLP</w:t>
      </w:r>
    </w:p>
    <w:p>
      <w:pPr>
        <w:spacing w:after="0" w:line="2" w:lineRule="exact"/>
        <w:rPr>
          <w:rFonts w:ascii="Arial" w:cs="Arial" w:eastAsia="Arial" w:hAnsi="Arial"/>
          <w:sz w:val="18"/>
          <w:szCs w:val="18"/>
          <w:color w:val="auto"/>
        </w:rPr>
      </w:pPr>
    </w:p>
    <w:p>
      <w:pPr>
        <w:ind w:left="660" w:right="7480"/>
        <w:spacing w:after="0" w:line="281" w:lineRule="auto"/>
        <w:rPr>
          <w:rFonts w:ascii="Arial" w:cs="Arial" w:eastAsia="Arial" w:hAnsi="Arial"/>
          <w:sz w:val="18"/>
          <w:szCs w:val="18"/>
          <w:color w:val="auto"/>
        </w:rPr>
      </w:pPr>
      <w:r>
        <w:rPr>
          <w:rFonts w:ascii="Arial" w:cs="Arial" w:eastAsia="Arial" w:hAnsi="Arial"/>
          <w:sz w:val="16"/>
          <w:szCs w:val="16"/>
          <w:color w:val="auto"/>
        </w:rPr>
        <w:t>Danielle Bian, Partner, MaloneBailey, LLP David Grossman, Partner, Marcum LLP</w:t>
      </w:r>
    </w:p>
    <w:p>
      <w:pPr>
        <w:spacing w:after="0" w:line="1" w:lineRule="exact"/>
        <w:rPr>
          <w:rFonts w:ascii="Arial" w:cs="Arial" w:eastAsia="Arial" w:hAnsi="Arial"/>
          <w:sz w:val="18"/>
          <w:szCs w:val="18"/>
          <w:color w:val="auto"/>
        </w:rPr>
      </w:pPr>
    </w:p>
    <w:p>
      <w:pPr>
        <w:ind w:left="660" w:right="6320"/>
        <w:spacing w:after="0" w:line="323" w:lineRule="auto"/>
        <w:rPr>
          <w:rFonts w:ascii="Arial" w:cs="Arial" w:eastAsia="Arial" w:hAnsi="Arial"/>
          <w:sz w:val="18"/>
          <w:szCs w:val="18"/>
          <w:color w:val="auto"/>
        </w:rPr>
      </w:pPr>
      <w:r>
        <w:rPr>
          <w:rFonts w:ascii="Arial" w:cs="Arial" w:eastAsia="Arial" w:hAnsi="Arial"/>
          <w:sz w:val="16"/>
          <w:szCs w:val="16"/>
          <w:color w:val="auto"/>
        </w:rPr>
        <w:t>Derek Dostal, Esq., Partner, Davis Polk &amp; Wardwell LLP Howard Zhang, Esq., Partner, Davis Polk &amp; Wardwell LLP</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New York 10001-2157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2023-05-22T23:10:48Z</dcterms:created>
  <dcterms:modified xsi:type="dcterms:W3CDTF">2023-05-22T23:10:48Z</dcterms:modified>
</cp:coreProperties>
</file>