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Bitdeer Announces November 2025 Production and Operations Update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300" w:type="dxa"/>
            <w:vAlign w:val="bottom"/>
            <w:tcBorders>
              <w:top w:val="single" w:sz="8" w:color="0000EE"/>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rPr>
              <w:t>1</w:t>
            </w:r>
          </w:p>
        </w:tc>
        <w:tc>
          <w:tcPr>
            <w:tcW w:w="38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15,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November 2025 Production and Operations Update</w:t>
      </w:r>
    </w:p>
    <w:p>
      <w:pPr>
        <w:spacing w:after="0" w:line="229" w:lineRule="exact"/>
        <w:rPr>
          <w:sz w:val="20"/>
          <w:szCs w:val="20"/>
          <w:color w:val="auto"/>
        </w:rPr>
      </w:pPr>
    </w:p>
    <w:p>
      <w:pPr>
        <w:ind w:left="2500" w:hanging="114"/>
        <w:spacing w:after="0"/>
        <w:tabs>
          <w:tab w:leader="none" w:pos="2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self-mining hashrate to 45.7 EH/s on continued deployment of SEALMINERs</w:t>
      </w:r>
    </w:p>
    <w:p>
      <w:pPr>
        <w:spacing w:after="0" w:line="27" w:lineRule="exact"/>
        <w:rPr>
          <w:rFonts w:ascii="Times New Roman" w:cs="Times New Roman" w:eastAsia="Times New Roman" w:hAnsi="Times New Roman"/>
          <w:sz w:val="18"/>
          <w:szCs w:val="18"/>
          <w:color w:val="auto"/>
        </w:rPr>
      </w:pPr>
    </w:p>
    <w:p>
      <w:pPr>
        <w:ind w:left="3340" w:hanging="114"/>
        <w:spacing w:after="0"/>
        <w:tabs>
          <w:tab w:leader="none" w:pos="33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production increased 251% year over year to 526 Bitcoin</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December 15, 2025 (GLOBE NEWSWIRE)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Bitcoin mining and AI cloud, today announced its unaudited mining and operations updates for November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Update</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Self-mining:</w:t>
      </w:r>
    </w:p>
    <w:p>
      <w:pPr>
        <w:spacing w:after="0" w:line="256" w:lineRule="exact"/>
        <w:rPr>
          <w:rFonts w:ascii="Times New Roman" w:cs="Times New Roman" w:eastAsia="Times New Roman" w:hAnsi="Times New Roman"/>
          <w:sz w:val="18"/>
          <w:szCs w:val="18"/>
          <w:color w:val="auto"/>
        </w:rPr>
      </w:pPr>
    </w:p>
    <w:p>
      <w:pPr>
        <w:ind w:left="340" w:right="33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Mined 526 Bitcoins, an increase of approximately 251% year over year and 3% from October 2025. o Self-mining hashrate reached 45.7 EH/s.</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Bitdeer will continue deploying SEALMINER mining rigs for self-mining while concurrently retiring third-party, older-generation rigs.</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Manufacturing: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November</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October</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Mining Rig Model (EH/s)</w:t>
            </w:r>
          </w:p>
        </w:tc>
        <w:tc>
          <w:tcPr>
            <w:tcW w:w="47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Stage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SEALMINER A3</w:t>
            </w:r>
          </w:p>
        </w:tc>
        <w:tc>
          <w:tcPr>
            <w:tcW w:w="140" w:type="dxa"/>
            <w:vAlign w:val="bottom"/>
            <w:vMerge w:val="continue"/>
            <w:shd w:val="clear" w:color="auto" w:fill="CCEEFF"/>
          </w:tcPr>
          <w:p>
            <w:pPr>
              <w:spacing w:after="0"/>
              <w:rPr>
                <w:sz w:val="21"/>
                <w:szCs w:val="21"/>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final assembly</w:t>
            </w:r>
          </w:p>
        </w:tc>
        <w:tc>
          <w:tcPr>
            <w:tcW w:w="12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transit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A3</w:t>
            </w:r>
            <w:r>
              <w:rPr>
                <w:rFonts w:ascii="Times New Roman" w:cs="Times New Roman" w:eastAsia="Times New Roman" w:hAnsi="Times New Roman"/>
                <w:sz w:val="18"/>
                <w:szCs w:val="18"/>
                <w:color w:val="auto"/>
              </w:rPr>
              <w:t xml:space="preserve"> Deployed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SEALMINER A2</w:t>
            </w:r>
          </w:p>
        </w:tc>
        <w:tc>
          <w:tcPr>
            <w:tcW w:w="140" w:type="dxa"/>
            <w:vAlign w:val="bottom"/>
          </w:tcPr>
          <w:p>
            <w:pPr>
              <w:spacing w:after="0"/>
              <w:rPr>
                <w:sz w:val="21"/>
                <w:szCs w:val="21"/>
                <w:color w:val="auto"/>
              </w:rPr>
            </w:pP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final assembly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Ready for shipping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transit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A2 external sales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Cumulative A2 Deployed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28.9</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SEALMINER A1</w:t>
            </w:r>
          </w:p>
        </w:tc>
        <w:tc>
          <w:tcPr>
            <w:tcW w:w="14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A1</w:t>
            </w:r>
            <w:r>
              <w:rPr>
                <w:rFonts w:ascii="Times New Roman" w:cs="Times New Roman" w:eastAsia="Times New Roman" w:hAnsi="Times New Roman"/>
                <w:sz w:val="18"/>
                <w:szCs w:val="18"/>
                <w:color w:val="auto"/>
              </w:rPr>
              <w:t xml:space="preserve"> Deployed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70"/>
        </w:trPr>
        <w:tc>
          <w:tcPr>
            <w:tcW w:w="3940" w:type="dxa"/>
            <w:vAlign w:val="bottom"/>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Party Miners</w:t>
            </w:r>
          </w:p>
        </w:tc>
        <w:tc>
          <w:tcPr>
            <w:tcW w:w="140" w:type="dxa"/>
            <w:vAlign w:val="bottom"/>
          </w:tcPr>
          <w:p>
            <w:pPr>
              <w:spacing w:after="0"/>
              <w:rPr>
                <w:sz w:val="23"/>
                <w:szCs w:val="23"/>
                <w:color w:val="auto"/>
              </w:rPr>
            </w:pP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Cumulative Deployed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w:t>
            </w:r>
          </w:p>
        </w:tc>
        <w:tc>
          <w:tcPr>
            <w:tcW w:w="0" w:type="dxa"/>
            <w:vAlign w:val="bottom"/>
          </w:tcPr>
          <w:p>
            <w:pPr>
              <w:spacing w:after="0"/>
              <w:rPr>
                <w:sz w:val="1"/>
                <w:szCs w:val="1"/>
                <w:color w:val="auto"/>
              </w:rPr>
            </w:pPr>
          </w:p>
        </w:tc>
      </w:tr>
      <w:tr>
        <w:trPr>
          <w:trHeight w:val="27"/>
        </w:trPr>
        <w:tc>
          <w:tcPr>
            <w:tcW w:w="3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Proprietary Hash Rate</w:t>
            </w:r>
          </w:p>
        </w:tc>
        <w:tc>
          <w:tcPr>
            <w:tcW w:w="140" w:type="dxa"/>
            <w:vAlign w:val="bottom"/>
            <w:shd w:val="clear" w:color="auto" w:fill="CCEEFF"/>
          </w:tcPr>
          <w:p>
            <w:pPr>
              <w:spacing w:after="0"/>
              <w:rPr>
                <w:sz w:val="2"/>
                <w:szCs w:val="2"/>
                <w:color w:val="auto"/>
              </w:rPr>
            </w:pPr>
          </w:p>
        </w:tc>
        <w:tc>
          <w:tcPr>
            <w:tcW w:w="46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Deployed</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3940" w:type="dxa"/>
            <w:vAlign w:val="bottom"/>
            <w:vMerge w:val="continue"/>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0" w:type="dxa"/>
            <w:vAlign w:val="bottom"/>
            <w:gridSpan w:val="2"/>
            <w:vMerge w:val="continue"/>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41.3</w:t>
            </w:r>
          </w:p>
        </w:tc>
        <w:tc>
          <w:tcPr>
            <w:tcW w:w="0" w:type="dxa"/>
            <w:vAlign w:val="bottom"/>
          </w:tcPr>
          <w:p>
            <w:pPr>
              <w:spacing w:after="0"/>
              <w:rPr>
                <w:sz w:val="1"/>
                <w:szCs w:val="1"/>
                <w:color w:val="auto"/>
              </w:rPr>
            </w:pPr>
          </w:p>
        </w:tc>
      </w:tr>
      <w:tr>
        <w:trPr>
          <w:trHeight w:val="21"/>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R&amp;D</w:t>
      </w:r>
    </w:p>
    <w:p>
      <w:pPr>
        <w:spacing w:after="0" w:line="2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two different chip designs of SEAL04 to ensure success, named SEAL04-1 and SEAL04-2 respectively.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SEAL04-1 chip’s latest verification demonstrated approximately 6-7 J/TH power efficiency at the chip level under low-voltage, ultra-power-saving mode. Targeting mass production in Q1 2026. This chip achieved improvements in overall yield and power efficiency compared to SEAL03.</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SEAL04-2 chip development continues.</w:t>
      </w:r>
    </w:p>
    <w:p>
      <w:pPr>
        <w:spacing w:after="0" w:line="2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 Manufacturing: </w:t>
      </w:r>
      <w:r>
        <w:rPr>
          <w:rFonts w:ascii="Times New Roman" w:cs="Times New Roman" w:eastAsia="Times New Roman" w:hAnsi="Times New Roman"/>
          <w:sz w:val="18"/>
          <w:szCs w:val="18"/>
          <w:color w:val="auto"/>
        </w:rPr>
        <w:t>Preparations for Bitdeer’s U.S. factory remain in progress.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HPC/AI:</w:t>
      </w:r>
    </w:p>
    <w:p>
      <w:pPr>
        <w:spacing w:after="0" w:line="256" w:lineRule="exact"/>
        <w:rPr>
          <w:rFonts w:ascii="Times New Roman" w:cs="Times New Roman" w:eastAsia="Times New Roman" w:hAnsi="Times New Roman"/>
          <w:sz w:val="18"/>
          <w:szCs w:val="18"/>
          <w:color w:val="auto"/>
        </w:rPr>
      </w:pPr>
    </w:p>
    <w:p>
      <w:pPr>
        <w:ind w:left="66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As of November 2025, 720 GPUs have been deployed for cloud services, with a utilization rate of approximately 94%, including 609 GPUs under external subscription and the rest of the cards used for internal R&amp;D.</w:t>
      </w:r>
    </w:p>
    <w:p>
      <w:pPr>
        <w:spacing w:after="0" w:line="188"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 (ARR) reached approximately $10 million as of the end of November, reflecting strong growth over $8 million recorded in October. The company expects another meaningful increase in December. This momentum demonstrates robust market demand and our growing capability to deliver scalable AI cloud services.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 managed Redis In-Memory Database service featuring multi-deployment architecture and enterprise-grade security, further expanding Bitdeer’s AI cloud PaaS capabilities. Guided by NVIDIA’s reference architecture, Bitdeer continues to build a comprehensive suite of capabilities spanning from infrastructure (IaaS) through cloud software platforms (PaaS), while also remaining open to colocation opportunities.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 2 MW AI data center lease in Malaysia to host 8 GB200 systems, with the facility expected to be ready for launch by year-end 2025 or shortly thereafter. Customer demand for this capacity has already been identified..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GPU order: 16 newly ordered B300 systems, and 2 additional GB300 systems, with full deployment targeted for completion by February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951" w:gutter="0" w:footer="0" w:header="0"/>
        </w:sectPr>
      </w:pPr>
    </w:p>
    <w:bookmarkStart w:id="4" w:name="page5"/>
    <w:bookmarkEnd w:id="4"/>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multiple potential customers for urgently needed AI cloud service next year in ASEAN.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evaluating U.S. data center leasing opportunities to deploy GPUs and bring AI cloud services online for U.S. customers as early as Q1 2026.</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design work for the 13 MW AI data center in Wenatchee, Washington is underway, with completion targeted for early Q4 2026.</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conversion of 35 MW of power capacity in Knoxville, Tennessee into an AI data center, with completion targeted for early Q4 2026.</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other preparation work for the Clarington AI data center continues.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Tydal AI data center conversion planning and design continue to advance. Orders for critical long-lead equipment, including substations, have recently been placed, supporting the targeted project timeline for completion around the end of 2026. Speed to delivery is a critical factor for customer success. Our preemptive investment into the long-lead equipment significantly enhances the value and competitiveness of the Tydal AI data center.</w:t>
      </w:r>
    </w:p>
    <w:p>
      <w:pPr>
        <w:spacing w:after="0" w:line="20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colocation arrangements for various sites under evaluation. Multiple potential customers have expressed strong interest and active discussions are currently underway.</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Infrastructure:</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Massillon, Ohio: </w:t>
      </w:r>
      <w:r>
        <w:rPr>
          <w:rFonts w:ascii="Times New Roman" w:cs="Times New Roman" w:eastAsia="Times New Roman" w:hAnsi="Times New Roman"/>
          <w:sz w:val="18"/>
          <w:szCs w:val="18"/>
          <w:color w:val="auto"/>
        </w:rPr>
        <w:t>21 MW is currently online and mining rigs are being deployed. Due to a recent fire, the energization of approximately 26 MW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two affected buildings has been postponed, with a revised timeline to be determined following further site assessment. The remaining 174 MW is expected to be energized in phases during Q2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“Mass production of our SEALMINERs continue to rapidly scale our self-mining hashrate, driving Bitcoin production to more than triple year over year,” said Matt Kong, Chief Business Officer of Bitdeer. “By year-end 2025, we expect to achieve the 50 EH/s milestone, with continued steady growth planned through 2026. On the AI front, we are scaling our GPU infrastructure and broadening our cloud capabilities, positioning Bitdeer to meet growing global demand for high-performance computing and helping our customers to achieve success with our wide spectrum of capabilities.”</w:t>
      </w:r>
    </w:p>
    <w:p>
      <w:pPr>
        <w:sectPr>
          <w:pgSz w:w="11900" w:h="16838" w:orient="portrait"/>
          <w:cols w:equalWidth="0" w:num="1">
            <w:col w:w="11240"/>
          </w:cols>
          <w:pgMar w:left="320" w:top="931" w:right="339" w:bottom="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Operations Summary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Metrics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hash rate under management</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17"/>
          <w:szCs w:val="17"/>
          <w:b w:val="1"/>
          <w:bCs w:val="1"/>
          <w:color w:val="auto"/>
        </w:rPr>
        <w:t xml:space="preserve"> (EH/s)</w:t>
      </w:r>
    </w:p>
    <w:p>
      <w:pPr>
        <w:ind w:left="280" w:hanging="110"/>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hash rate</w:t>
      </w:r>
    </w:p>
    <w:p>
      <w:pPr>
        <w:spacing w:after="0" w:line="1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Self-mining</w:t>
      </w:r>
    </w:p>
    <w:p>
      <w:pPr>
        <w:spacing w:after="0" w:line="3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Hash Rate</w:t>
      </w:r>
    </w:p>
    <w:p>
      <w:pPr>
        <w:spacing w:after="0" w:line="3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but not yet energized</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rigs under management</w:t>
      </w:r>
    </w:p>
    <w:p>
      <w:pPr>
        <w:spacing w:after="0" w:line="10" w:lineRule="exact"/>
        <w:rPr>
          <w:sz w:val="20"/>
          <w:szCs w:val="20"/>
          <w:color w:val="auto"/>
        </w:rPr>
      </w:pP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Self-owned</w:t>
      </w:r>
      <w:r>
        <w:rPr>
          <w:rFonts w:ascii="Times New Roman" w:cs="Times New Roman" w:eastAsia="Times New Roman" w:hAnsi="Times New Roman"/>
          <w:sz w:val="29"/>
          <w:szCs w:val="29"/>
          <w:color w:val="auto"/>
          <w:vertAlign w:val="superscript"/>
        </w:rPr>
        <w:t>2</w:t>
      </w: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Bitcoins mined (self-mining only)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held</w:t>
      </w:r>
      <w:r>
        <w:rPr>
          <w:rFonts w:ascii="Times New Roman" w:cs="Times New Roman" w:eastAsia="Times New Roman" w:hAnsi="Times New Roman"/>
          <w:sz w:val="29"/>
          <w:szCs w:val="29"/>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October</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November</w:t>
            </w:r>
          </w:p>
        </w:tc>
      </w:tr>
      <w:tr>
        <w:trPr>
          <w:trHeight w:val="245"/>
        </w:trPr>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84"/>
        </w:trPr>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60.3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r>
      <w:tr>
        <w:trPr>
          <w:trHeight w:val="243"/>
        </w:trPr>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264,000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254,000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178,000</w:t>
            </w:r>
          </w:p>
        </w:tc>
      </w:tr>
      <w:tr>
        <w:trPr>
          <w:trHeight w:val="283"/>
        </w:trPr>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182,000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r>
      <w:tr>
        <w:trPr>
          <w:trHeight w:val="234"/>
        </w:trPr>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82,000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92,000</w:t>
            </w:r>
          </w:p>
        </w:tc>
      </w:tr>
      <w:tr>
        <w:trPr>
          <w:trHeight w:val="238"/>
        </w:trPr>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c>
          <w:tcPr>
            <w:tcW w:w="1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r>
      <w:tr>
        <w:trPr>
          <w:trHeight w:val="27"/>
        </w:trPr>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r>
      <w:tr>
        <w:trPr>
          <w:trHeight w:val="256"/>
        </w:trPr>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2,179</w:t>
            </w:r>
          </w:p>
        </w:tc>
        <w:tc>
          <w:tcPr>
            <w:tcW w:w="12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2,233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r>
      <w:tr>
        <w:trPr>
          <w:trHeight w:val="27"/>
        </w:trPr>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-1447800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-1139190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-830580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-496570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-187960</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-1799590</wp:posOffset>
            </wp:positionV>
            <wp:extent cx="713232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6480" w:space="720"/>
            <w:col w:w="4040"/>
          </w:cols>
          <w:pgMar w:left="320" w:top="931" w:right="339" w:bottom="0" w:gutter="0" w:footer="0" w:header="0"/>
          <w:type w:val="continuous"/>
        </w:sect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Total hash rate under management </w:t>
      </w:r>
      <w:r>
        <w:rPr>
          <w:rFonts w:ascii="Times New Roman" w:cs="Times New Roman" w:eastAsia="Times New Roman" w:hAnsi="Times New Roman"/>
          <w:sz w:val="18"/>
          <w:szCs w:val="18"/>
          <w:color w:val="auto"/>
        </w:rPr>
        <w:t>as of November 30, 2025 across Bitdeer’s primary business lines: Self-mining, Cloud Hash Rate, and Hosting.</w:t>
      </w:r>
    </w:p>
    <w:p>
      <w:pPr>
        <w:spacing w:after="0" w:line="193" w:lineRule="exact"/>
        <w:rPr>
          <w:rFonts w:ascii="Times New Roman" w:cs="Times New Roman" w:eastAsia="Times New Roman" w:hAnsi="Times New Roman"/>
          <w:sz w:val="30"/>
          <w:szCs w:val="30"/>
          <w:color w:val="auto"/>
          <w:vertAlign w:val="superscript"/>
        </w:rPr>
      </w:pPr>
    </w:p>
    <w:p>
      <w:pPr>
        <w:ind w:left="660" w:hanging="328"/>
        <w:spacing w:after="0" w:line="28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w:t>
      </w:r>
      <w:r>
        <w:rPr>
          <w:rFonts w:ascii="Times New Roman" w:cs="Times New Roman" w:eastAsia="Times New Roman" w:hAnsi="Times New Roman"/>
          <w:sz w:val="18"/>
          <w:szCs w:val="18"/>
          <w:color w:val="auto"/>
        </w:rPr>
        <w:t>refers to cryptocurrency mining for Bitdeer’s own account, which allows it to directly capture the high appreciation potential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w:t>
      </w:r>
    </w:p>
    <w:p>
      <w:pPr>
        <w:spacing w:after="0" w:line="18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w:t>
      </w:r>
      <w:r>
        <w:rPr>
          <w:rFonts w:ascii="Times New Roman" w:cs="Times New Roman" w:eastAsia="Times New Roman" w:hAnsi="Times New Roman"/>
          <w:sz w:val="18"/>
          <w:szCs w:val="18"/>
          <w:color w:val="auto"/>
        </w:rPr>
        <w:t>offers hash rate subscription plans and shares mining income with customers under certain arrangements. The Cloud Hash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above reflects the contracted hash rate with customers at month-end.</w:t>
      </w:r>
    </w:p>
    <w:p>
      <w:pPr>
        <w:spacing w:after="0" w:line="18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Hosting </w:t>
      </w:r>
      <w:r>
        <w:rPr>
          <w:rFonts w:ascii="Times New Roman" w:cs="Times New Roman" w:eastAsia="Times New Roman" w:hAnsi="Times New Roman"/>
          <w:sz w:val="18"/>
          <w:szCs w:val="18"/>
          <w:color w:val="auto"/>
        </w:rPr>
        <w:t>encompasses a one-stop mining machine hosting solution including deployment, maintenance, and management services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w:t>
      </w:r>
    </w:p>
    <w:p>
      <w:pPr>
        <w:spacing w:after="0" w:line="7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Self-owned mining machines </w:t>
      </w:r>
      <w:r>
        <w:rPr>
          <w:rFonts w:ascii="Times New Roman" w:cs="Times New Roman" w:eastAsia="Times New Roman" w:hAnsi="Times New Roman"/>
          <w:sz w:val="18"/>
          <w:szCs w:val="18"/>
          <w:color w:val="auto"/>
        </w:rPr>
        <w:t>are for Bitdeer’s self-mining business and Cloud Hash Rate business.</w:t>
      </w:r>
    </w:p>
    <w:p>
      <w:pPr>
        <w:spacing w:after="0" w:line="194" w:lineRule="exact"/>
        <w:rPr>
          <w:sz w:val="20"/>
          <w:szCs w:val="20"/>
          <w:color w:val="auto"/>
        </w:rPr>
      </w:pPr>
    </w:p>
    <w:p>
      <w:pPr>
        <w:ind w:left="5580" w:right="1980" w:hanging="5572"/>
        <w:spacing w:after="0" w:line="627" w:lineRule="auto"/>
        <w:tabs>
          <w:tab w:leader="none" w:pos="333"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Bitcoins held </w:t>
      </w:r>
      <w:r>
        <w:rPr>
          <w:rFonts w:ascii="Times New Roman" w:cs="Times New Roman" w:eastAsia="Times New Roman" w:hAnsi="Times New Roman"/>
          <w:sz w:val="18"/>
          <w:szCs w:val="18"/>
          <w:color w:val="auto"/>
        </w:rPr>
        <w:t>do not include the Bitcoins from deposits of the customers, include the Bitcoins that are pledged as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Infrastructure Construction Update</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45"/>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Timing</w:t>
            </w:r>
            <w:r>
              <w:rPr>
                <w:rFonts w:ascii="Times New Roman" w:cs="Times New Roman" w:eastAsia="Times New Roman" w:hAnsi="Times New Roman"/>
                <w:sz w:val="29"/>
                <w:szCs w:val="29"/>
                <w:b w:val="1"/>
                <w:bCs w:val="1"/>
                <w:color w:val="auto"/>
                <w:vertAlign w:val="superscript"/>
              </w:rPr>
              <w:t>4</w:t>
            </w:r>
          </w:p>
        </w:tc>
        <w:tc>
          <w:tcPr>
            <w:tcW w:w="0" w:type="dxa"/>
            <w:vAlign w:val="bottom"/>
          </w:tcPr>
          <w:p>
            <w:pPr>
              <w:spacing w:after="0"/>
              <w:rPr>
                <w:sz w:val="1"/>
                <w:szCs w:val="1"/>
                <w:color w:val="auto"/>
              </w:rPr>
            </w:pPr>
          </w:p>
        </w:tc>
      </w:tr>
      <w:tr>
        <w:trPr>
          <w:trHeight w:val="245"/>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Site / Location</w:t>
            </w:r>
          </w:p>
        </w:tc>
        <w:tc>
          <w:tcPr>
            <w:tcW w:w="120" w:type="dxa"/>
            <w:vAlign w:val="bottom"/>
          </w:tcPr>
          <w:p>
            <w:pPr>
              <w:spacing w:after="0"/>
              <w:rPr>
                <w:sz w:val="21"/>
                <w:szCs w:val="21"/>
                <w:color w:val="auto"/>
              </w:rPr>
            </w:pPr>
          </w:p>
        </w:tc>
        <w:tc>
          <w:tcPr>
            <w:tcW w:w="12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b w:val="1"/>
                <w:bCs w:val="1"/>
                <w:color w:val="auto"/>
              </w:rPr>
              <w:t>(MW)</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Electrical capacity</w:t>
            </w: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Rockdale, Texas</w:t>
            </w:r>
          </w:p>
        </w:tc>
        <w:tc>
          <w:tcPr>
            <w:tcW w:w="1340" w:type="dxa"/>
            <w:vAlign w:val="bottom"/>
            <w:gridSpan w:val="3"/>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563</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Knoxville, Tennessee</w:t>
            </w:r>
          </w:p>
        </w:tc>
        <w:tc>
          <w:tcPr>
            <w:tcW w:w="1340" w:type="dxa"/>
            <w:vAlign w:val="bottom"/>
            <w:gridSpan w:val="3"/>
          </w:tcPr>
          <w:p>
            <w:pPr>
              <w:jc w:val="right"/>
              <w:ind w:right="45"/>
              <w:spacing w:after="0"/>
              <w:rPr>
                <w:sz w:val="20"/>
                <w:szCs w:val="20"/>
                <w:color w:val="auto"/>
              </w:rPr>
            </w:pPr>
            <w:r>
              <w:rPr>
                <w:rFonts w:ascii="Times New Roman" w:cs="Times New Roman" w:eastAsia="Times New Roman" w:hAnsi="Times New Roman"/>
                <w:sz w:val="18"/>
                <w:szCs w:val="18"/>
                <w:color w:val="auto"/>
              </w:rPr>
              <w:t>86</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Wenatchee, Washington</w:t>
            </w:r>
          </w:p>
        </w:tc>
        <w:tc>
          <w:tcPr>
            <w:tcW w:w="1340" w:type="dxa"/>
            <w:vAlign w:val="bottom"/>
            <w:gridSpan w:val="3"/>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Molde, Norway</w:t>
            </w:r>
          </w:p>
        </w:tc>
        <w:tc>
          <w:tcPr>
            <w:tcW w:w="1340" w:type="dxa"/>
            <w:vAlign w:val="bottom"/>
            <w:gridSpan w:val="3"/>
          </w:tcPr>
          <w:p>
            <w:pPr>
              <w:jc w:val="right"/>
              <w:ind w:right="45"/>
              <w:spacing w:after="0"/>
              <w:rPr>
                <w:sz w:val="20"/>
                <w:szCs w:val="20"/>
                <w:color w:val="auto"/>
              </w:rPr>
            </w:pPr>
            <w:r>
              <w:rPr>
                <w:rFonts w:ascii="Times New Roman" w:cs="Times New Roman" w:eastAsia="Times New Roman" w:hAnsi="Times New Roman"/>
                <w:sz w:val="18"/>
                <w:szCs w:val="18"/>
                <w:color w:val="auto"/>
              </w:rPr>
              <w:t>84</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Tydal, Norway</w:t>
            </w:r>
          </w:p>
        </w:tc>
        <w:tc>
          <w:tcPr>
            <w:tcW w:w="1340" w:type="dxa"/>
            <w:vAlign w:val="bottom"/>
            <w:gridSpan w:val="3"/>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225</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Gedu, Bhutan</w:t>
            </w:r>
          </w:p>
        </w:tc>
        <w:tc>
          <w:tcPr>
            <w:tcW w:w="1340" w:type="dxa"/>
            <w:vAlign w:val="bottom"/>
            <w:gridSpan w:val="3"/>
          </w:tcPr>
          <w:p>
            <w:pPr>
              <w:jc w:val="right"/>
              <w:ind w:right="45"/>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Jigmeling, Bhutan</w:t>
            </w:r>
          </w:p>
        </w:tc>
        <w:tc>
          <w:tcPr>
            <w:tcW w:w="1340" w:type="dxa"/>
            <w:vAlign w:val="bottom"/>
            <w:gridSpan w:val="3"/>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500</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Oromia Region, Ethiopia</w:t>
            </w:r>
          </w:p>
        </w:tc>
        <w:tc>
          <w:tcPr>
            <w:tcW w:w="1340" w:type="dxa"/>
            <w:vAlign w:val="bottom"/>
            <w:gridSpan w:val="3"/>
          </w:tcPr>
          <w:p>
            <w:pPr>
              <w:jc w:val="right"/>
              <w:ind w:right="45"/>
              <w:spacing w:after="0"/>
              <w:rPr>
                <w:sz w:val="20"/>
                <w:szCs w:val="20"/>
                <w:color w:val="auto"/>
              </w:rPr>
            </w:pPr>
            <w:r>
              <w:rPr>
                <w:rFonts w:ascii="Times New Roman" w:cs="Times New Roman" w:eastAsia="Times New Roman" w:hAnsi="Times New Roman"/>
                <w:sz w:val="18"/>
                <w:szCs w:val="18"/>
                <w:color w:val="auto"/>
              </w:rPr>
              <w:t>40</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5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Massillon, Ohio</w:t>
            </w:r>
          </w:p>
        </w:tc>
        <w:tc>
          <w:tcPr>
            <w:tcW w:w="1340" w:type="dxa"/>
            <w:vAlign w:val="bottom"/>
            <w:gridSpan w:val="3"/>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21</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30"/>
        </w:trPr>
        <w:tc>
          <w:tcPr>
            <w:tcW w:w="6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electrical capacity</w:t>
            </w: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1,632</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5</w:t>
            </w:r>
          </w:p>
        </w:tc>
        <w:tc>
          <w:tcPr>
            <w:tcW w:w="1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Pipeline capacity</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Massillon, Ohio</w:t>
            </w:r>
          </w:p>
        </w:tc>
        <w:tc>
          <w:tcPr>
            <w:tcW w:w="1340" w:type="dxa"/>
            <w:vAlign w:val="bottom"/>
            <w:gridSpan w:val="3"/>
          </w:tcPr>
          <w:p>
            <w:pPr>
              <w:jc w:val="right"/>
              <w:ind w:right="45"/>
              <w:spacing w:after="0"/>
              <w:rPr>
                <w:sz w:val="20"/>
                <w:szCs w:val="20"/>
                <w:color w:val="auto"/>
              </w:rPr>
            </w:pPr>
            <w:r>
              <w:rPr>
                <w:rFonts w:ascii="Times New Roman" w:cs="Times New Roman" w:eastAsia="Times New Roman" w:hAnsi="Times New Roman"/>
                <w:sz w:val="18"/>
                <w:szCs w:val="18"/>
                <w:color w:val="auto"/>
              </w:rPr>
              <w:t>174//26</w:t>
            </w:r>
          </w:p>
        </w:tc>
        <w:tc>
          <w:tcPr>
            <w:tcW w:w="1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In progress</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Q2 2026/TBD</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Clarington, Ohio</w:t>
            </w:r>
          </w:p>
        </w:tc>
        <w:tc>
          <w:tcPr>
            <w:tcW w:w="1340" w:type="dxa"/>
            <w:vAlign w:val="bottom"/>
            <w:gridSpan w:val="3"/>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570</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In progress</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Q2 2027</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Niles, Ohio</w:t>
            </w:r>
          </w:p>
        </w:tc>
        <w:tc>
          <w:tcPr>
            <w:tcW w:w="1340" w:type="dxa"/>
            <w:vAlign w:val="bottom"/>
            <w:gridSpan w:val="3"/>
          </w:tcPr>
          <w:p>
            <w:pPr>
              <w:jc w:val="right"/>
              <w:ind w:right="45"/>
              <w:spacing w:after="0"/>
              <w:rPr>
                <w:sz w:val="20"/>
                <w:szCs w:val="20"/>
                <w:color w:val="auto"/>
              </w:rPr>
            </w:pPr>
            <w:r>
              <w:rPr>
                <w:rFonts w:ascii="Times New Roman" w:cs="Times New Roman" w:eastAsia="Times New Roman" w:hAnsi="Times New Roman"/>
                <w:sz w:val="18"/>
                <w:szCs w:val="18"/>
                <w:color w:val="auto"/>
              </w:rPr>
              <w:t>300</w:t>
            </w:r>
          </w:p>
        </w:tc>
        <w:tc>
          <w:tcPr>
            <w:tcW w:w="1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In progress</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Q1 2029</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-Rockdale, Texas</w:t>
            </w:r>
          </w:p>
        </w:tc>
        <w:tc>
          <w:tcPr>
            <w:tcW w:w="1340" w:type="dxa"/>
            <w:vAlign w:val="bottom"/>
            <w:gridSpan w:val="3"/>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179</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In planning</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Estimate 2026</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-Alberta, Canada</w:t>
            </w:r>
          </w:p>
        </w:tc>
        <w:tc>
          <w:tcPr>
            <w:tcW w:w="1340" w:type="dxa"/>
            <w:vAlign w:val="bottom"/>
            <w:gridSpan w:val="3"/>
          </w:tcPr>
          <w:p>
            <w:pPr>
              <w:jc w:val="right"/>
              <w:ind w:right="45"/>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In planning</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Q4 2026</w:t>
            </w:r>
          </w:p>
        </w:tc>
        <w:tc>
          <w:tcPr>
            <w:tcW w:w="0" w:type="dxa"/>
            <w:vAlign w:val="bottom"/>
          </w:tcPr>
          <w:p>
            <w:pPr>
              <w:spacing w:after="0"/>
              <w:rPr>
                <w:sz w:val="1"/>
                <w:szCs w:val="1"/>
                <w:color w:val="auto"/>
              </w:rPr>
            </w:pPr>
          </w:p>
        </w:tc>
      </w:tr>
      <w:tr>
        <w:trPr>
          <w:trHeight w:val="24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-Oromia Region, Ethiopia</w:t>
            </w:r>
          </w:p>
        </w:tc>
        <w:tc>
          <w:tcPr>
            <w:tcW w:w="1340" w:type="dxa"/>
            <w:vAlign w:val="bottom"/>
            <w:gridSpan w:val="3"/>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10</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In progress</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Q4 2025</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pipeline capacity</w:t>
            </w:r>
          </w:p>
        </w:tc>
        <w:tc>
          <w:tcPr>
            <w:tcW w:w="12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1,360</w:t>
            </w:r>
          </w:p>
        </w:tc>
        <w:tc>
          <w:tcPr>
            <w:tcW w:w="120" w:type="dxa"/>
            <w:vAlign w:val="bottom"/>
            <w:tcBorders>
              <w:top w:val="single" w:sz="8" w:color="CCEEFF"/>
              <w:bottom w:val="single" w:sz="8" w:color="CCEEFF"/>
            </w:tcBorders>
          </w:tcPr>
          <w:p>
            <w:pPr>
              <w:spacing w:after="0"/>
              <w:rPr>
                <w:sz w:val="18"/>
                <w:szCs w:val="18"/>
                <w:color w:val="auto"/>
              </w:rPr>
            </w:pPr>
          </w:p>
        </w:tc>
        <w:tc>
          <w:tcPr>
            <w:tcW w:w="15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global electrical capacity</w:t>
            </w:r>
          </w:p>
        </w:tc>
        <w:tc>
          <w:tcPr>
            <w:tcW w:w="1340" w:type="dxa"/>
            <w:vAlign w:val="bottom"/>
            <w:gridSpan w:val="3"/>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2,992</w:t>
            </w: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Indicative timing for completion of power and data center infrastructure. All timing references are to calendar quarters and years.</w:t>
      </w:r>
    </w:p>
    <w:p>
      <w:pPr>
        <w:spacing w:after="0" w:line="8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Figures represent total available electrical capacity.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Tydal, Norway </w:t>
      </w:r>
      <w:r>
        <w:rPr>
          <w:rFonts w:ascii="Times New Roman" w:cs="Times New Roman" w:eastAsia="Times New Roman" w:hAnsi="Times New Roman"/>
          <w:sz w:val="18"/>
          <w:szCs w:val="18"/>
          <w:color w:val="auto"/>
        </w:rPr>
        <w:t>– Construction of the 175 MW hydro-cooling site has been completed, and the expansion has been fully energized.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Jigmeling, Bhutan </w:t>
      </w:r>
      <w:r>
        <w:rPr>
          <w:rFonts w:ascii="Times New Roman" w:cs="Times New Roman" w:eastAsia="Times New Roman" w:hAnsi="Times New Roman"/>
          <w:sz w:val="18"/>
          <w:szCs w:val="18"/>
          <w:color w:val="auto"/>
        </w:rPr>
        <w:t>– Construction of the 500 MW site has been completed, with energization proceeding in phases according to SEALMINER deliveries.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Massillon, Ohio </w:t>
      </w:r>
      <w:r>
        <w:rPr>
          <w:rFonts w:ascii="Times New Roman" w:cs="Times New Roman" w:eastAsia="Times New Roman" w:hAnsi="Times New Roman"/>
          <w:sz w:val="18"/>
          <w:szCs w:val="18"/>
          <w:color w:val="auto"/>
        </w:rPr>
        <w:t>– Construction of the 221 MW site is underway and full energization is expected in Q2 2026. 21 MW is currently online. Due to a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fire, the energization of approximately 26 MW across two affected buildings has been postponed, with a revised timeline to be determined following further site assessment. The remaining 174 MW is expected to be energized in phases during Q2 2026.</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Clarington, Ohio </w:t>
      </w:r>
      <w:r>
        <w:rPr>
          <w:rFonts w:ascii="Times New Roman" w:cs="Times New Roman" w:eastAsia="Times New Roman" w:hAnsi="Times New Roman"/>
          <w:sz w:val="18"/>
          <w:szCs w:val="18"/>
          <w:color w:val="auto"/>
        </w:rPr>
        <w:t>– 570 MW under contract with local utility, expected to be available by end of Q3 2026. Power and data center infrastructure completion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targeted for Q2 2027.</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Fox Creek, Alberta </w:t>
      </w:r>
      <w:r>
        <w:rPr>
          <w:rFonts w:ascii="Times New Roman" w:cs="Times New Roman" w:eastAsia="Times New Roman" w:hAnsi="Times New Roman"/>
          <w:sz w:val="18"/>
          <w:szCs w:val="18"/>
          <w:color w:val="auto"/>
        </w:rPr>
        <w:t>– 101 MW site acquired, fully licensed and permitted for the construction of an on-site natural gas power plant. The project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be energized by the end of Q4 2026.</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Oromia Region, Ethiopia </w:t>
      </w:r>
      <w:r>
        <w:rPr>
          <w:rFonts w:ascii="Times New Roman" w:cs="Times New Roman" w:eastAsia="Times New Roman" w:hAnsi="Times New Roman"/>
          <w:sz w:val="18"/>
          <w:szCs w:val="18"/>
          <w:color w:val="auto"/>
        </w:rPr>
        <w:t>– 50 MW Bitcoin mining project. Construction has been completed; 40 MW is now online, and the remaining 10 MW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be energized in December 2025. Energization will continue in phases aligned with SEALMINER deliveries.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Niles, Ohio </w:t>
      </w:r>
      <w:r>
        <w:rPr>
          <w:rFonts w:ascii="Times New Roman" w:cs="Times New Roman" w:eastAsia="Times New Roman" w:hAnsi="Times New Roman"/>
          <w:sz w:val="18"/>
          <w:szCs w:val="18"/>
          <w:color w:val="auto"/>
        </w:rPr>
        <w:t>– 300 MW grid-interconnected development site, with target energization date of Q1 2029 as scheduled by FirstEnergy. The project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41.8 acres of owned land and an interconnection agreement with FirstEnergy.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December 16, 2025: </w:t>
      </w:r>
      <w:r>
        <w:rPr>
          <w:rFonts w:ascii="Times New Roman" w:cs="Times New Roman" w:eastAsia="Times New Roman" w:hAnsi="Times New Roman"/>
          <w:sz w:val="18"/>
          <w:szCs w:val="18"/>
          <w:color w:val="auto"/>
        </w:rPr>
        <w:t>Virtual Northland Growth Conference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January 13 – 16, 2026: </w:t>
      </w:r>
      <w:r>
        <w:rPr>
          <w:rFonts w:ascii="Times New Roman" w:cs="Times New Roman" w:eastAsia="Times New Roman" w:hAnsi="Times New Roman"/>
          <w:sz w:val="18"/>
          <w:szCs w:val="18"/>
          <w:color w:val="auto"/>
        </w:rPr>
        <w:t>28th Annual Needham Growth Conference in New York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March 2 – 5, 2026: </w:t>
      </w:r>
      <w:r>
        <w:rPr>
          <w:rFonts w:ascii="Times New Roman" w:cs="Times New Roman" w:eastAsia="Times New Roman" w:hAnsi="Times New Roman"/>
          <w:sz w:val="18"/>
          <w:szCs w:val="18"/>
          <w:color w:val="auto"/>
        </w:rPr>
        <w:t>Morgan Stanley Technology, Media &amp; Telecom Conference in San Francisco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March 10 – 11, 2026: </w:t>
      </w:r>
      <w:r>
        <w:rPr>
          <w:rFonts w:ascii="Times New Roman" w:cs="Times New Roman" w:eastAsia="Times New Roman" w:hAnsi="Times New Roman"/>
          <w:sz w:val="18"/>
          <w:szCs w:val="18"/>
          <w:color w:val="auto"/>
        </w:rPr>
        <w:t>2026 Cantor Global Technology &amp; Industrial Growth Conference in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Bitdeer is a world-leading technology company for Bitcoin mining and AI cloud. Bitdeer is committed to providing comprehensive Bitcoin mining solutions for its customers.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in the United States, Norway, and Bhutan. To learn more, visit </w:t>
      </w:r>
      <w:r>
        <w:rPr>
          <w:rFonts w:ascii="Times New Roman" w:cs="Times New Roman" w:eastAsia="Times New Roman" w:hAnsi="Times New Roman"/>
          <w:sz w:val="18"/>
          <w:szCs w:val="18"/>
          <w:u w:val="single" w:color="auto"/>
          <w:color w:val="auto"/>
        </w:rPr>
        <w:t>https://ir.bitdeer.com</w:t>
      </w:r>
      <w:r>
        <w:rPr>
          <w:rFonts w:ascii="Times New Roman" w:cs="Times New Roman" w:eastAsia="Times New Roman" w:hAnsi="Times New Roman"/>
          <w:sz w:val="18"/>
          <w:szCs w:val="18"/>
          <w:color w:val="auto"/>
        </w:rPr>
        <w:t xml:space="preserve">/ or follow Bitdeer on X @ </w:t>
      </w:r>
      <w:r>
        <w:rPr>
          <w:rFonts w:ascii="Times New Roman" w:cs="Times New Roman" w:eastAsia="Times New Roman" w:hAnsi="Times New Roman"/>
          <w:sz w:val="18"/>
          <w:szCs w:val="18"/>
          <w:u w:val="single" w:color="auto"/>
          <w:color w:val="auto"/>
        </w:rPr>
        <w:t>BitdeerOfficia</w:t>
      </w:r>
      <w:r>
        <w:rPr>
          <w:rFonts w:ascii="Times New Roman" w:cs="Times New Roman" w:eastAsia="Times New Roman" w:hAnsi="Times New Roman"/>
          <w:sz w:val="18"/>
          <w:szCs w:val="18"/>
          <w:color w:val="auto"/>
        </w:rPr>
        <w:t xml:space="preserve">l and </w:t>
      </w:r>
      <w:r>
        <w:rPr>
          <w:rFonts w:ascii="Times New Roman" w:cs="Times New Roman" w:eastAsia="Times New Roman" w:hAnsi="Times New Roman"/>
          <w:sz w:val="18"/>
          <w:szCs w:val="18"/>
          <w:u w:val="single" w:color="auto"/>
          <w:color w:val="auto"/>
        </w:rPr>
        <w:t>LinkedIn @ Bitdeer Group</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Ragozzino,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bitdeer.ir@icrinc.com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Elev8 New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Starman,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bitdeer@elev8newmedia.com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bitdeer@blocksbridge.com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bullet"/>
      <w:start w:val="1"/>
    </w:lvl>
    <w:lvl w:ilvl="1">
      <w:lvlJc w:val="left"/>
      <w:lvlText w:val="●"/>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4"/>
      <w:numFmt w:val="bullet"/>
      <w:start w:val="1"/>
    </w:lvl>
  </w:abstractNum>
  <w:abstractNum w:abstractNumId="10">
    <w:nsid w:val="1190CDE7"/>
    <w:multiLevelType w:val="hybridMultilevel"/>
    <w:lvl w:ilvl="0">
      <w:lvlJc w:val="left"/>
      <w:lvlText w:val="5"/>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2025-12-15T08:30:49Z</dcterms:created>
  <dcterms:modified xsi:type="dcterms:W3CDTF">2025-12-15T08:30:49Z</dcterms:modified>
</cp:coreProperties>
</file>