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43"/>
          <w:szCs w:val="43"/>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line="207" w:lineRule="exact"/>
        <w:tabs>
          <w:tab w:leader="none" w:pos="98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16" w:right="679"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 Bitdeer Announces New 4nm Bitcoin Mining Chip SEAL01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1F1F1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F1F1F"/>
        </w:rPr>
        <w:t>Bitdeer Announces New 4nm Bitcoin Mining Chip SEAL01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Offering power efficiency of 18.1 J/TH</w:t>
      </w:r>
      <w:r>
        <w:rPr>
          <w:rFonts w:ascii="Times New Roman" w:cs="Times New Roman" w:eastAsia="Times New Roman" w:hAnsi="Times New Roman"/>
          <w:sz w:val="18"/>
          <w:szCs w:val="18"/>
          <w:i w:val="1"/>
          <w:iCs w:val="1"/>
          <w:color w:val="1F1F1F"/>
        </w:rPr>
        <w:t>, “SEAL01” tested as exceptionally efficient; chips to be integrated into Bitdeer’s upcoming “SEALMINER A1”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1F1F1F"/>
        </w:rPr>
        <w:t>mining machines</w:t>
      </w:r>
    </w:p>
    <w:p>
      <w:pPr>
        <w:spacing w:after="0" w:line="20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t>SINGAPORE, March 4, 2024 (GLOBE NEWSWIRE) --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blockchain and high-performance computing, today announced the successful testing of its first Bitcoin mining chip, the SEAL01. Powerfully efficient, SEAL01 is designed for integration into Bitdeer’s new SEALMINER A1 mining machines.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SEAL01 chip is created using an advanced 4-nanometer process technology in partnership with a world-leading semiconductor foundry. Initial tests indicate an exceptional power efficiency of 18.1 J/TH.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Jihan Wu, Founder, Chairman, and Chief Executive Officer of Bitdeer, commented, “With the successful testing of our new mining chip, I am very excited to formally announce the introduction of both the SEAL01 chip and the SEALMINER A1 as core to our new mining machines business. These products showcase our technology excellence and position us well for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future of Bitcoin mining demands highly efficient technology, lower operating costs and a reduced environmental footprint for miners. The SEAL01 empowers miners to navigate the evolving Bitcoin mining landscape with a superior solution that provides efficiency and stability while adhering to the principles of sustainable mining.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Bitdeer’s global research and development team with specialization in chip design, firmware and system hardware have been tasked with breaking new ground in performance and efficiency to unlock emerging opportunities that continue to strategically position the Company following the upcoming Bitcoin halving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Bitdeer is a world-leading technology company for blockchain and high-performance computing. Bitdeer is committed to providing comprehensive computing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w:t>
      </w:r>
      <w:r>
        <w:rPr>
          <w:rFonts w:ascii="Times New Roman" w:cs="Times New Roman" w:eastAsia="Times New Roman" w:hAnsi="Times New Roman"/>
          <w:sz w:val="18"/>
          <w:szCs w:val="18"/>
          <w:color w:val="363636"/>
        </w:rPr>
        <w:t>Investors and others should note that Bitdeer may post information about the Company on its website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https://ir.bitdeer.com/</w:t>
      </w:r>
      <w:r>
        <w:rPr>
          <w:rFonts w:ascii="Times New Roman" w:cs="Times New Roman" w:eastAsia="Times New Roman" w:hAnsi="Times New Roman"/>
          <w:sz w:val="18"/>
          <w:szCs w:val="18"/>
          <w:color w:val="363636"/>
        </w:rPr>
        <w:t>or on its accounts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63636"/>
        </w:rPr>
        <w:t xml:space="preserve">Twitter, Facebook, LinkedIn or other social media platforms. It is possible that the postings could include information deemed to be material information. Therefore, the Company encourages investors, the media and others interested in the Company to review the information it posts on its website at </w:t>
      </w:r>
      <w:r>
        <w:rPr>
          <w:rFonts w:ascii="Times New Roman" w:cs="Times New Roman" w:eastAsia="Times New Roman" w:hAnsi="Times New Roman"/>
          <w:sz w:val="18"/>
          <w:szCs w:val="18"/>
          <w:u w:val="single" w:color="auto"/>
          <w:color w:val="000000"/>
        </w:rPr>
        <w:t>https://ir.bitdeer.com/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63636"/>
        </w:rPr>
        <w:t>and on its social media accounts. Follow Bitdeer on Twitter at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BitdeerOfficial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63636"/>
        </w:rPr>
        <w:t>and LinkedIn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Bitdeer Group</w:t>
      </w:r>
      <w:r>
        <w:rPr>
          <w:rFonts w:ascii="Times New Roman" w:cs="Times New Roman" w:eastAsia="Times New Roman" w:hAnsi="Times New Roman"/>
          <w:sz w:val="18"/>
          <w:szCs w:val="18"/>
          <w:color w:val="363636"/>
        </w:rPr>
        <w:t>. Information that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63636"/>
        </w:rPr>
        <w:t>Bitdeer may post about the Company on its website and/or on its accounts on Twitter, Facebook, LinkedIn or other social media platforms may contain forward-looking statements within the meaning of the Private Securities Litigation Reform Act of 1995 that involve risks and uncertainties. You should not place undue reliance on forward-looking statements contained on the Company’s website and/or on the Company’s accounts on Twitter, Facebook, LinkedIn or other social media platforms, and the Company undertakes no obligation to publicly update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63636"/>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363636"/>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20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363636"/>
        </w:rPr>
        <w:t>Media Inquiries</w:t>
      </w:r>
      <w:r>
        <w:rPr>
          <w:rFonts w:ascii="MS PGothic" w:cs="MS PGothic" w:eastAsia="MS PGothic" w:hAnsi="MS PGothic"/>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-88900</wp:posOffset>
            </wp:positionV>
            <wp:extent cx="43180" cy="88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pr@bitdeer.com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Bitdeer.ir@icrinc.com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537-5825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Burgess, SVP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Bitdeer.pr@icrinc.com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537-4056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2024-03-05T05:44:28Z</dcterms:created>
  <dcterms:modified xsi:type="dcterms:W3CDTF">2024-03-05T05:44:28Z</dcterms:modified>
</cp:coreProperties>
</file>