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6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61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Jianchun Liu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23"/>
        <w:spacing w:after="0"/>
        <w:rPr>
          <w:sz w:val="20"/>
          <w:szCs w:val="20"/>
          <w:color w:val="auto"/>
        </w:rPr>
      </w:pPr>
      <w:r>
        <w:rPr>
          <w:rFonts w:ascii="Times New Roman" w:cs="Times New Roman" w:eastAsia="Times New Roman" w:hAnsi="Times New Roman"/>
          <w:sz w:val="20"/>
          <w:szCs w:val="20"/>
          <w:color w:val="0000FF"/>
        </w:rPr>
        <w:t>CFO, Business Operations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08/01/2031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300,300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01/01/2032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12,012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6.96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252,252 of the total shares subject to the option have become vested and exercisable as of the date hereof, and 48,048 of the shares subject to the option shall become vested on January 1, 2027, subject to the Reporting Person's continued service with the Issuer on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shares subject to the option have become vested and exercisable.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 total shares subject to the option have become vested and exercisable on April 1, 2025, and remaining shares subject to the option shall become vested annually in equal installments of 20% on April 1st of each of the four subsequent years, subject to the Reporting Person's continued service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Jianchun Liu</w:t>
            </w:r>
          </w:p>
        </w:tc>
        <w:tc>
          <w:tcPr>
            <w:tcW w:w="9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1815"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2026-03-31T06:44:21Z</dcterms:created>
  <dcterms:modified xsi:type="dcterms:W3CDTF">2026-03-31T06:44:21Z</dcterms:modified>
</cp:coreProperties>
</file>