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333-280041</w:t>
        </w:r>
      </w:hyperlink>
      <w:r>
        <w:rPr>
          <w:rFonts w:ascii="Times New Roman" w:cs="Times New Roman" w:eastAsia="Times New Roman" w:hAnsi="Times New Roman"/>
          <w:sz w:val="18"/>
          <w:szCs w:val="18"/>
          <w:color w:val="auto"/>
        </w:rPr>
        <w:t xml:space="preserve">, No. </w:t>
      </w:r>
      <w:hyperlink r:id="rId22">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3">
        <w:r>
          <w:rPr>
            <w:rFonts w:ascii="Times New Roman" w:cs="Times New Roman" w:eastAsia="Times New Roman" w:hAnsi="Times New Roman"/>
            <w:sz w:val="18"/>
            <w:szCs w:val="18"/>
            <w:u w:val="single" w:color="auto"/>
            <w:color w:val="0000EE"/>
          </w:rPr>
          <w:t>333-289855</w:t>
        </w:r>
      </w:hyperlink>
      <w:r>
        <w:rPr>
          <w:rFonts w:ascii="Times New Roman" w:cs="Times New Roman" w:eastAsia="Times New Roman" w:hAnsi="Times New Roman"/>
          <w:sz w:val="18"/>
          <w:szCs w:val="18"/>
          <w:color w:val="auto"/>
        </w:rPr>
        <w:t xml:space="preserve">) and Form S-8 (No. </w:t>
      </w:r>
      <w:hyperlink r:id="rId24">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5">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Bitdeer Reports Unaudited Financial Results for the First Quarter of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Reports Unaudited Financial Results for the First Quarter of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SINGAPORE, May 14, 2026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AI and Bitcoin mining infrastructure, today released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Financial</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Highlight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compared to Q1’25 unless otherwise noted</w:t>
      </w:r>
    </w:p>
    <w:p>
      <w:pPr>
        <w:spacing w:after="0" w:line="22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US$188.9 million vs. US$70.1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US$228.0 million vs. US$74.1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loss </w:t>
      </w:r>
      <w:r>
        <w:rPr>
          <w:rFonts w:ascii="Times New Roman" w:cs="Times New Roman" w:eastAsia="Times New Roman" w:hAnsi="Times New Roman"/>
          <w:sz w:val="18"/>
          <w:szCs w:val="18"/>
          <w:color w:val="auto"/>
        </w:rPr>
        <w:t>was US$39.0 million vs. US$4.0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US$159.5 million vs. net profit of US$105.3 million.</w:t>
      </w:r>
    </w:p>
    <w:p>
      <w:pPr>
        <w:spacing w:after="0" w:line="2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positive US$14.4 million vs. negative US$45.6 million.</w:t>
      </w:r>
    </w:p>
    <w:p>
      <w:pPr>
        <w:spacing w:after="0" w:line="9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were US$297.7 million as of March 31,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assets and digital assets - receivable balance: </w:t>
      </w:r>
      <w:r>
        <w:rPr>
          <w:rFonts w:ascii="Times New Roman" w:cs="Times New Roman" w:eastAsia="Times New Roman" w:hAnsi="Times New Roman"/>
          <w:sz w:val="18"/>
          <w:szCs w:val="18"/>
          <w:color w:val="auto"/>
        </w:rPr>
        <w:t>US$245.0 million as of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quarter of 2026 demonstrated the breadth of Bitdeer’s execution capability,” said Matt Kong, Chief Business Officer of Bitdeer Technologies Group. “We launched the SEALMINER A4, our most efficient mining rig to date, advancing our vertically integrated hardware platform and reinforcing the competitive foundation of our mining business. We activated development of our Tydal facility in Norway, which is expected to become Norway’s largest operational AI data center upon completion. And we continue to grow our AI Cloud business, recently exceeding $69 million in annualized run-rate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Kong continued, “Underpinning all of this is a global power portfolio of approximately 3.0 gigawatts that we believe is one of the most strategically valuable infrastructure assets in our sector. We are in advanced stages of negotiations with a credit-worthy colocation tenant for Tydal and are confident in our ability to execute a signed agreement. I believe 2026 will be a defining year for Bitdeer as an AI infrastructure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340" w:hanging="332"/>
        <w:spacing w:after="0" w:line="210"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January 1, 2026, the Company transitioned from IFRS Accounting Standards as issued by the International Accounting Standards Board (“IASB”) to generally accepted accounting principles in the United States of America (‘U.S. GAAP’). The consolidated financial statements for prior periods have been recast to conform to U.S. GAAP.</w:t>
      </w:r>
    </w:p>
    <w:p>
      <w:pPr>
        <w:spacing w:after="0" w:line="2" w:lineRule="exact"/>
        <w:rPr>
          <w:sz w:val="20"/>
          <w:szCs w:val="20"/>
          <w:color w:val="auto"/>
        </w:rPr>
      </w:pPr>
    </w:p>
    <w:p>
      <w:pPr>
        <w:jc w:val="both"/>
        <w:ind w:left="340" w:hanging="332"/>
        <w:spacing w:after="0" w:line="214"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defined as earnings before interest, taxes, depreciation and amortization, further adjusted to exclude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share of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liabilities, and other net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Summary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Hash Rate Metrics: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Self-Mining (Operated in self-owned datacenters)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Co-Mining (Operated in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datacenters)</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Proprietary Hash Rate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Hosting</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77"/>
        </w:trPr>
        <w:tc>
          <w:tcPr>
            <w:tcW w:w="86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 Hash Rate under Mgmt.</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(EH/s)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78.1</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Mining Rig Metrics: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Self-Mining</w:t>
            </w:r>
            <w:r>
              <w:rPr>
                <w:rFonts w:ascii="Times New Roman" w:cs="Times New Roman" w:eastAsia="Times New Roman" w:hAnsi="Times New Roman"/>
                <w:sz w:val="29"/>
                <w:szCs w:val="29"/>
                <w:color w:val="auto"/>
                <w:vertAlign w:val="superscript"/>
              </w:rPr>
              <w:t>6</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207,000</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Co-Mining</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Hosted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37,000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78,000</w:t>
            </w: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Mining Rigs under Mgmt.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262,000</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175,000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Mined</w:t>
            </w:r>
            <w:r>
              <w:rPr>
                <w:rFonts w:ascii="Times New Roman" w:cs="Times New Roman" w:eastAsia="Times New Roman" w:hAnsi="Times New Roman"/>
                <w:sz w:val="29"/>
                <w:szCs w:val="29"/>
                <w:color w:val="auto"/>
                <w:vertAlign w:val="superscript"/>
              </w:rPr>
              <w:t>8</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Held</w:t>
            </w:r>
            <w:r>
              <w:rPr>
                <w:rFonts w:ascii="Times New Roman" w:cs="Times New Roman" w:eastAsia="Times New Roman" w:hAnsi="Times New Roman"/>
                <w:sz w:val="29"/>
                <w:szCs w:val="29"/>
                <w:color w:val="auto"/>
                <w:vertAlign w:val="superscript"/>
              </w:rPr>
              <w:t>9</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Power Usage (MWh)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881,000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cost of electricity ($/MWh)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miner efficiency (J/TH)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line="19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Other Proprietary Hash Rate </w:t>
      </w:r>
      <w:r>
        <w:rPr>
          <w:rFonts w:ascii="Times New Roman" w:cs="Times New Roman" w:eastAsia="Times New Roman" w:hAnsi="Times New Roman"/>
          <w:sz w:val="18"/>
          <w:szCs w:val="18"/>
          <w:color w:val="auto"/>
        </w:rPr>
        <w:t>includes the hashrate from Bitdeer’s cloud hashrate business, mining rigs delivered in the crypto mining datacenters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deployed and the mining rigs temporarily offline due to limited economic benefit.</w:t>
      </w:r>
    </w:p>
    <w:p>
      <w:pPr>
        <w:ind w:left="340" w:hanging="332"/>
        <w:spacing w:after="0" w:line="181"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b w:val="1"/>
          <w:bCs w:val="1"/>
          <w:color w:val="auto"/>
        </w:rPr>
        <w:t xml:space="preserve">Hosting </w:t>
      </w:r>
      <w:r>
        <w:rPr>
          <w:rFonts w:ascii="Times New Roman" w:cs="Times New Roman" w:eastAsia="Times New Roman" w:hAnsi="Times New Roman"/>
          <w:sz w:val="15"/>
          <w:szCs w:val="15"/>
          <w:color w:val="auto"/>
        </w:rPr>
        <w:t>encompasses a one-stop mining machine hosting solution including deployment, maintenance, and management services for efficient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cryptocurrency mining.</w:t>
      </w:r>
    </w:p>
    <w:p>
      <w:pPr>
        <w:ind w:left="340" w:hanging="332"/>
        <w:spacing w:after="0" w:line="186"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b w:val="1"/>
          <w:bCs w:val="1"/>
          <w:color w:val="auto"/>
        </w:rPr>
        <w:t xml:space="preserve">Total hash rate under management </w:t>
      </w:r>
      <w:r>
        <w:rPr>
          <w:rFonts w:ascii="Times New Roman" w:cs="Times New Roman" w:eastAsia="Times New Roman" w:hAnsi="Times New Roman"/>
          <w:sz w:val="15"/>
          <w:szCs w:val="15"/>
          <w:color w:val="auto"/>
        </w:rPr>
        <w:t>across Bitdeer’s primary business lines: Self-mining, Co-mining, Cloud Hash Rate, and Hosting.</w:t>
      </w:r>
    </w:p>
    <w:p>
      <w:pPr>
        <w:spacing w:after="0" w:line="2" w:lineRule="exact"/>
        <w:rPr>
          <w:sz w:val="20"/>
          <w:szCs w:val="20"/>
          <w:color w:val="auto"/>
        </w:rPr>
      </w:pPr>
    </w:p>
    <w:p>
      <w:pPr>
        <w:ind w:left="340" w:hanging="332"/>
        <w:spacing w:after="0" w:line="18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Self-Mining (Operated in self-owned datacenters) </w:t>
      </w:r>
      <w:r>
        <w:rPr>
          <w:rFonts w:ascii="Times New Roman" w:cs="Times New Roman" w:eastAsia="Times New Roman" w:hAnsi="Times New Roman"/>
          <w:sz w:val="18"/>
          <w:szCs w:val="18"/>
          <w:color w:val="auto"/>
        </w:rPr>
        <w:t>refers to cryptocurrency mining for Bitdeer’s own account, whereby its mining rigs are 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self-owned datacenters.</w:t>
      </w:r>
    </w:p>
    <w:p>
      <w:pPr>
        <w:ind w:left="340" w:hanging="332"/>
        <w:spacing w:after="0" w:line="180"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Co-mining (Operated in 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datacenters) </w:t>
      </w:r>
      <w:r>
        <w:rPr>
          <w:rFonts w:ascii="Times New Roman" w:cs="Times New Roman" w:eastAsia="Times New Roman" w:hAnsi="Times New Roman"/>
          <w:sz w:val="18"/>
          <w:szCs w:val="18"/>
          <w:color w:val="auto"/>
        </w:rPr>
        <w:t>refers to cryptocurrency mining for Bitdeer’s own account, whereby its mining rigs are operated in</w:t>
      </w:r>
    </w:p>
    <w:p>
      <w:pPr>
        <w:ind w:left="340"/>
        <w:spacing w:after="0"/>
        <w:rPr>
          <w:sz w:val="20"/>
          <w:szCs w:val="20"/>
          <w:color w:val="auto"/>
        </w:rPr>
      </w:pPr>
      <w:r>
        <w:rPr>
          <w:rFonts w:ascii="Times New Roman" w:cs="Times New Roman" w:eastAsia="Times New Roman" w:hAnsi="Times New Roman"/>
          <w:sz w:val="18"/>
          <w:szCs w:val="18"/>
          <w:color w:val="auto"/>
        </w:rPr>
        <w:t>third-party datacenters.</w:t>
      </w:r>
    </w:p>
    <w:p>
      <w:pPr>
        <w:ind w:left="340" w:hanging="332"/>
        <w:spacing w:after="0" w:line="186"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b w:val="1"/>
          <w:bCs w:val="1"/>
          <w:color w:val="auto"/>
        </w:rPr>
        <w:t xml:space="preserve">Bitcoins mined </w:t>
      </w:r>
      <w:r>
        <w:rPr>
          <w:rFonts w:ascii="Times New Roman" w:cs="Times New Roman" w:eastAsia="Times New Roman" w:hAnsi="Times New Roman"/>
          <w:sz w:val="15"/>
          <w:szCs w:val="15"/>
          <w:color w:val="auto"/>
        </w:rPr>
        <w:t>Includes BTC from self-mining operations and BTC from co-mining operations.</w:t>
      </w:r>
    </w:p>
    <w:p>
      <w:pPr>
        <w:spacing w:after="0" w:line="2" w:lineRule="exact"/>
        <w:rPr>
          <w:sz w:val="20"/>
          <w:szCs w:val="20"/>
          <w:color w:val="auto"/>
        </w:rPr>
      </w:pPr>
    </w:p>
    <w:p>
      <w:pPr>
        <w:ind w:left="5580" w:right="1860" w:hanging="5572"/>
        <w:spacing w:after="0" w:line="600" w:lineRule="auto"/>
        <w:tabs>
          <w:tab w:leader="none" w:pos="333"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does not include Bitcoins from customer deposits but does include Bitcoins that are pledged as collateral by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Power Infrastructure Summary (As of 4/30/2026)</w:t>
            </w: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(MW)</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Energization</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Planned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Site</w:t>
            </w:r>
          </w:p>
        </w:tc>
        <w:tc>
          <w:tcPr>
            <w:tcW w:w="2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00" w:type="dxa"/>
            <w:vAlign w:val="bottom"/>
            <w:tcBorders>
              <w:bottom w:val="single" w:sz="8" w:color="auto"/>
            </w:tcBorders>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auto"/>
                <w:w w:val="92"/>
              </w:rPr>
              <w:t>Timing</w:t>
            </w:r>
            <w:r>
              <w:rPr>
                <w:rFonts w:ascii="Times New Roman" w:cs="Times New Roman" w:eastAsia="Times New Roman" w:hAnsi="Times New Roman"/>
                <w:sz w:val="29"/>
                <w:szCs w:val="29"/>
                <w:b w:val="1"/>
                <w:bCs w:val="1"/>
                <w:color w:val="auto"/>
                <w:w w:val="92"/>
                <w:vertAlign w:val="superscript"/>
              </w:rPr>
              <w:t>10</w:t>
            </w:r>
          </w:p>
        </w:tc>
        <w:tc>
          <w:tcPr>
            <w:tcW w:w="2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Usage</w:t>
            </w:r>
          </w:p>
        </w:tc>
        <w:tc>
          <w:tcPr>
            <w:tcW w:w="4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Construction Update</w:t>
            </w:r>
          </w:p>
        </w:tc>
        <w:tc>
          <w:tcPr>
            <w:tcW w:w="0" w:type="dxa"/>
            <w:vAlign w:val="bottom"/>
          </w:tcPr>
          <w:p>
            <w:pPr>
              <w:spacing w:after="0"/>
              <w:rPr>
                <w:sz w:val="1"/>
                <w:szCs w:val="1"/>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Capacity:</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Rockdale, TX</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563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 / AI</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active evaluation of AI transition</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Knoxville, TN – phase 1</w:t>
            </w: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37</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Phase 1  AI  data  center  conversion  design  work</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Knoxville, TN – phase 2</w:t>
            </w:r>
          </w:p>
        </w:tc>
        <w:tc>
          <w:tcPr>
            <w:tcW w:w="13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49</w:t>
            </w:r>
          </w:p>
        </w:tc>
        <w:tc>
          <w:tcPr>
            <w:tcW w:w="12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Q1 ’27</w:t>
            </w: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initiated, targeting to complete by Q4 ’26.</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Wenatchee, WA</w:t>
            </w: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13</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AI data center design documents and building permit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submitted for approval. Core equipment 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being delivered in succession; we plan to begin with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GB300 cluster. Dismantling of the crypto mining</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datacenter started in March 2026. Completion targeted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Q4 ’26.</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Molde, Norway</w:t>
            </w: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84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and in early</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converting to</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1</w:t>
            </w: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50</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Planning and design continue to advance. Orders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critical  long-lead  equipment  have  been  placed.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Engaged Data Center Installations AS as Bitdeer’s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design  and  construction  partner  for  Tydal  AI</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datacenter conversion</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2</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175</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Gedu, Bhutan</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Jigmeling, Bhutan</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Oromia Region, Ethiopia</w:t>
            </w: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the 50 MW site has been completed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energized, with ongoing energization in phases</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driven by SEALMINER deliveries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Massillon, OH</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11</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Subtotal:</w:t>
            </w:r>
          </w:p>
        </w:tc>
        <w:tc>
          <w:tcPr>
            <w:tcW w:w="13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1,744</w:t>
            </w:r>
          </w:p>
        </w:tc>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All timing references are to calendar quarters and years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Capacity under lease arrangement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Capacity:</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Massilon, OH</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 / 26</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Q3 ’26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Due to delivery delays for key electrical components,</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74 MW is expected to be energized in phases during</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Q3 ’26. Reconstruction of the two fire-damaged</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buildings  (26MW)  is  currently  underway  and</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expected to be rebuilt and energized by the end of Q3</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’26. We anticipate that the total reconstruction cost</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will be almost fully recovered through the supplier’s</w:t>
            </w:r>
          </w:p>
        </w:tc>
      </w:tr>
      <w:tr>
        <w:trPr>
          <w:trHeight w:val="234"/>
        </w:trPr>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insurance coverage.</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Clarington, OH</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To be</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570 MW of power under contract with a local utility.</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updated</w:t>
            </w: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Timing of power availability and construction may be</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affected by ongoing legal proceedings filed by a</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neighboring  company,  American  Heavy  Plate</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Solutions, LLC., which is under extensive influence</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from MHR, a New York based PE firm founded by</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Mark H. Rachesky. Design and other preparation</w:t>
            </w:r>
          </w:p>
        </w:tc>
      </w:tr>
      <w:tr>
        <w:trPr>
          <w:trHeight w:val="234"/>
        </w:trPr>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continues.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Niles, OH</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Q4 ’28</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300 MW grid-interconnected development site, with</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target energization in Q4 ’28. The project includes</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41.8 acres of owned land and a transmission line</w:t>
            </w:r>
          </w:p>
        </w:tc>
      </w:tr>
      <w:tr>
        <w:trPr>
          <w:trHeight w:val="234"/>
        </w:trPr>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extension agreement with a local utility company</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Rockdale, 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 / AI Cloud</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Planning</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Fox Creek, Alberta, Canada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Q2 ’27</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101 MW site acquired, fully licensed and permitted</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 the construction of an on-site natural gas power</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Assessing</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potential  to</w:t>
            </w:r>
          </w:p>
        </w:tc>
      </w:tr>
      <w:tr>
        <w:trPr>
          <w:trHeight w:val="216"/>
        </w:trPr>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accommodate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future</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AIDC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requirements.</w:t>
            </w:r>
          </w:p>
        </w:tc>
      </w:tr>
      <w:tr>
        <w:trPr>
          <w:trHeight w:val="234"/>
        </w:trPr>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Groundbreaking planned for June 2026.</w:t>
            </w:r>
          </w:p>
        </w:tc>
        <w:tc>
          <w:tcPr>
            <w:tcW w:w="1020" w:type="dxa"/>
            <w:vAlign w:val="bottom"/>
          </w:tcPr>
          <w:p>
            <w:pPr>
              <w:spacing w:after="0"/>
              <w:rPr>
                <w:sz w:val="20"/>
                <w:szCs w:val="20"/>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Cyberjaya, Malaysia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9.5</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Q4 ’26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AI Cloud</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Progress</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Subtotal: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1,259.5</w:t>
            </w: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3,003.5</w:t>
            </w: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55"/>
        </w:trPr>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MD&amp;A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2026, the Company transitioned from IFRS Accounting Standards as issued by the International Accounting Standards Board (“IASB”) to generally accepted accounting principles in the United States of America (‘U.S. GAAP’). The consolidated financial statements for prior periods have been recast to conform to U.S.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variances are current quarter compared to the same quarter last year. All figures in this section are rounded</w:t>
      </w:r>
      <w:r>
        <w:rPr>
          <w:rFonts w:ascii="Times New Roman" w:cs="Times New Roman" w:eastAsia="Times New Roman" w:hAnsi="Times New Roman"/>
          <w:sz w:val="29"/>
          <w:szCs w:val="29"/>
          <w:i w:val="1"/>
          <w:iCs w:val="1"/>
          <w:color w:val="auto"/>
          <w:vertAlign w:val="superscript"/>
        </w:rPr>
        <w:t>12</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High-Level P&amp;L and Disaggregated Revenue Details: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 in millions</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gridSpan w:val="1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50"/>
        </w:trPr>
        <w:tc>
          <w:tcPr>
            <w:tcW w:w="3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31-Mar-26</w:t>
            </w:r>
          </w:p>
        </w:tc>
        <w:tc>
          <w:tcPr>
            <w:tcW w:w="12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31-Dec-25</w:t>
            </w: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31-Mar-25</w:t>
            </w:r>
          </w:p>
        </w:tc>
        <w:tc>
          <w:tcPr>
            <w:tcW w:w="100" w:type="dxa"/>
            <w:vAlign w:val="bottom"/>
          </w:tcPr>
          <w:p>
            <w:pPr>
              <w:spacing w:after="0"/>
              <w:rPr>
                <w:sz w:val="21"/>
                <w:szCs w:val="21"/>
                <w:color w:val="auto"/>
              </w:rPr>
            </w:pP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(228.0)</w:t>
            </w:r>
          </w:p>
        </w:tc>
        <w:tc>
          <w:tcPr>
            <w:tcW w:w="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(214.9)</w:t>
            </w: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income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(159.5)</w:t>
            </w:r>
          </w:p>
        </w:tc>
        <w:tc>
          <w:tcPr>
            <w:tcW w:w="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297.7</w:t>
            </w:r>
          </w:p>
        </w:tc>
        <w:tc>
          <w:tcPr>
            <w:tcW w:w="4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177.9</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233.7</w:t>
            </w:r>
          </w:p>
        </w:tc>
      </w:tr>
      <w:tr>
        <w:trPr>
          <w:trHeight w:val="4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 in millions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 of</w:t>
            </w: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Cloud</w:t>
            </w:r>
          </w:p>
        </w:tc>
        <w:tc>
          <w:tcPr>
            <w:tcW w:w="20" w:type="dxa"/>
            <w:vAlign w:val="bottom"/>
          </w:tcPr>
          <w:p>
            <w:pPr>
              <w:spacing w:after="0"/>
              <w:rPr>
                <w:sz w:val="18"/>
                <w:szCs w:val="18"/>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Membership</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Co-mining</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hash rate</w:t>
            </w:r>
          </w:p>
        </w:tc>
        <w:tc>
          <w:tcPr>
            <w:tcW w:w="20" w:type="dxa"/>
            <w:vAlign w:val="bottom"/>
          </w:tcPr>
          <w:p>
            <w:pPr>
              <w:spacing w:after="0"/>
              <w:rPr>
                <w:sz w:val="21"/>
                <w:szCs w:val="21"/>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Accessories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(95.5)</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(76.3)</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Cost of products sold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income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may not add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 in millions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 of</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Membership</w:t>
            </w:r>
          </w:p>
        </w:tc>
        <w:tc>
          <w:tcPr>
            <w:tcW w:w="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hash rate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8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Accessories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Cost of products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income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Management’s Discussion and Analysis (compared to Q1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US$188.9 million vs. US$70.1 million.</w:t>
      </w:r>
    </w:p>
    <w:p>
      <w:pPr>
        <w:spacing w:after="0" w:line="25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revenue </w:t>
      </w:r>
      <w:r>
        <w:rPr>
          <w:rFonts w:ascii="Times New Roman" w:cs="Times New Roman" w:eastAsia="Times New Roman" w:hAnsi="Times New Roman"/>
          <w:sz w:val="18"/>
          <w:szCs w:val="18"/>
          <w:color w:val="auto"/>
        </w:rPr>
        <w:t>was US$146.9 million vs. US$37.2 million, primarily due to the increase in the average self-mining hashrate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551.5% to 63.2 EH/s from 9.7 EH/s last year.</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Co-mining revenue </w:t>
      </w:r>
      <w:r>
        <w:rPr>
          <w:rFonts w:ascii="Times New Roman" w:cs="Times New Roman" w:eastAsia="Times New Roman" w:hAnsi="Times New Roman"/>
          <w:sz w:val="18"/>
          <w:szCs w:val="18"/>
          <w:color w:val="auto"/>
        </w:rPr>
        <w:t>was US$9.0 million, primarily contributed by 3.7 EH/s average mining hashrate for the first quarter of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revenue </w:t>
      </w:r>
      <w:r>
        <w:rPr>
          <w:rFonts w:ascii="Times New Roman" w:cs="Times New Roman" w:eastAsia="Times New Roman" w:hAnsi="Times New Roman"/>
          <w:sz w:val="18"/>
          <w:szCs w:val="18"/>
          <w:color w:val="auto"/>
        </w:rPr>
        <w:t>was US$3.7 million vs. US$0.1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Hosting revenue </w:t>
      </w:r>
      <w:r>
        <w:rPr>
          <w:rFonts w:ascii="Times New Roman" w:cs="Times New Roman" w:eastAsia="Times New Roman" w:hAnsi="Times New Roman"/>
          <w:sz w:val="18"/>
          <w:szCs w:val="18"/>
          <w:color w:val="auto"/>
        </w:rPr>
        <w:t>was US$5.5 million vs. US$9.6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Membership Hosting revenue </w:t>
      </w:r>
      <w:r>
        <w:rPr>
          <w:rFonts w:ascii="Times New Roman" w:cs="Times New Roman" w:eastAsia="Times New Roman" w:hAnsi="Times New Roman"/>
          <w:sz w:val="18"/>
          <w:szCs w:val="18"/>
          <w:color w:val="auto"/>
        </w:rPr>
        <w:t>was US$13.7 million vs. US$16.3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sales revenue </w:t>
      </w:r>
      <w:r>
        <w:rPr>
          <w:rFonts w:ascii="Times New Roman" w:cs="Times New Roman" w:eastAsia="Times New Roman" w:hAnsi="Times New Roman"/>
          <w:sz w:val="18"/>
          <w:szCs w:val="18"/>
          <w:color w:val="auto"/>
        </w:rPr>
        <w:t>was US$3.7 million vs. US$4.1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Cloud revenue </w:t>
      </w:r>
      <w:r>
        <w:rPr>
          <w:rFonts w:ascii="Times New Roman" w:cs="Times New Roman" w:eastAsia="Times New Roman" w:hAnsi="Times New Roman"/>
          <w:sz w:val="18"/>
          <w:szCs w:val="18"/>
          <w:color w:val="auto"/>
        </w:rPr>
        <w:t>was US$3.7 million vs. US$1.4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US$228.0 million vs US$74.1 million. The increase was primarily driven by higher electricity and depreciation costs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number of new mining rigs came online and a slightly higher per unit power cost. Additionally, the staff cost and AI cloud service fee increased along with the business expansion.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Gross loss and Margin</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loss </w:t>
      </w:r>
      <w:r>
        <w:rPr>
          <w:rFonts w:ascii="Times New Roman" w:cs="Times New Roman" w:eastAsia="Times New Roman" w:hAnsi="Times New Roman"/>
          <w:sz w:val="18"/>
          <w:szCs w:val="18"/>
          <w:color w:val="auto"/>
        </w:rPr>
        <w:t>was US$39.0 million vs. US$4.0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-20.7% vs. -5.7%.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operating expenses below was US$47.7 million vs. US$75.7 million.</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US$2.9 million vs. US$1.4 million. The increase was primarily due to the increased advertising expenses for our AI business.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US$24.6 million vs. US$15.3 million. The increase was primarily due to an increase in staff costs for general and administrative personnel and consulting fees for general corporate management and compliance activities.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US$20.2 million vs. US$59.0 million, primarily due to a reduction in one-off incremental development expenses.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change in fair value of digital assets held for operations were US$24.0 million vs. US$21.3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were US$4.8 million vs. US$2.5 million. This was largely attributable to the change in fair value of digital assets-settled receivables and payables.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29"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expenses were US$29.5 million vs. US$5.3 million, primarily due to increased borrowing through the convertible senior notes and borrowing from a related party.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Q1 2026, we recorded US$9.0 million gain on change in fair value of digital assets loan and US$16.2 million loss on change in fair value of digital assets - receivable. This is a fair value change of our loan in digital assets and the associated collateral digital assets in connection with our loan from a related party mainly due to the fluctuations of Bitcoin price.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Q1 2025, we recorded US$205.0 million gain on fair value changes of derivative liabilities for the convertible notes issued in August 2024 and Tether warrants, both of which were retired in 2025.</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Q1 2026, we recorded US$17.8 million other net loss primarily due to the US$6.4 million of loss on derivative assets, US$5.4 million loss on extinguishment of debt in connection with the convertible senior notes issued in November 2024, and US$5.0 million donation.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US$159.5 million vs. net income of US$105.3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Loss (Non-GAAP)</w:t>
      </w:r>
      <w:r>
        <w:rPr>
          <w:rFonts w:ascii="Times New Roman" w:cs="Times New Roman" w:eastAsia="Times New Roman" w:hAnsi="Times New Roman"/>
          <w:sz w:val="29"/>
          <w:szCs w:val="29"/>
          <w:b w:val="1"/>
          <w:bCs w:val="1"/>
          <w:i w:val="1"/>
          <w:iCs w:val="1"/>
          <w:color w:val="auto"/>
          <w:vertAlign w:val="superscript"/>
        </w:rPr>
        <w:t>13</w:t>
      </w:r>
    </w:p>
    <w:p>
      <w:pPr>
        <w:spacing w:after="0" w:line="139"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loss was US$106.6 million vs. US$66.4 million. The change was primarily due to the higher energy and depreciation costs, and higher interest expense, partially offset by the year-over-year higher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r>
        <w:rPr>
          <w:rFonts w:ascii="Times New Roman" w:cs="Times New Roman" w:eastAsia="Times New Roman" w:hAnsi="Times New Roman"/>
          <w:sz w:val="29"/>
          <w:szCs w:val="29"/>
          <w:b w:val="1"/>
          <w:bCs w:val="1"/>
          <w:i w:val="1"/>
          <w:iCs w:val="1"/>
          <w:color w:val="auto"/>
          <w:vertAlign w:val="superscript"/>
        </w:rPr>
        <w:t>2</w:t>
      </w:r>
    </w:p>
    <w:p>
      <w:pPr>
        <w:spacing w:after="0" w:line="126"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US$14.4 million vs. negative US$45.6 million. The year-over-year growth was primarily driven by significantly higher self-mining hashrate as a result of the Company’s mass production and deployment of SEALMINERs, along with lower operating expenses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US$346.9 million, primarily driven by SEALMINERs supply chain and manufacturing costs, electricity costs from the mining business, general corporate overhead and interest.</w:t>
      </w:r>
    </w:p>
    <w:p>
      <w:pPr>
        <w:spacing w:after="0" w:line="18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investing activities was US$113.3 million, which included US$93.7 million of capital expenditures for datacenter infrastructure construction, GPU equipment procurement and tariffs and freight for mining rigs delivered to the datacenters, and US$206.8 million of proceeds from the disposal of digital assets.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financing activities was US$352.6 million, primarily driven by the proceeds of a total US$568.3 million from our convertible senior note issuance in February, borrowings and ATM program, partially offset by US$85.0 million of repayments of borrowings, US$93.0 million of repayments made in connection with the extinguishment of convertible senior notes, and US$33.7 million of purchase of capped call instrument.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March 31, 2026 (compared to December 31, 2025)</w:t>
      </w:r>
    </w:p>
    <w:p>
      <w:pPr>
        <w:spacing w:after="0" w:line="227"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US$297.7 million in cash, cash equivalents and restricted cash, US$245.0 million in digital assets and digital assets receivables, and US$1.9 billion in borrowing.</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US$386.7 million prepayments and other assets, decrease from US$723.0 million. Change primarily driven by delivery of raw materials procurement for SEALMINERs mass volume production.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US$613.0 million inventories, up from US$252.0 million. Increase mainly including wafers, chips, WIP and finished SEALMINERs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9" w:lineRule="exact"/>
        <w:rPr>
          <w:sz w:val="20"/>
          <w:szCs w:val="20"/>
          <w:color w:val="auto"/>
        </w:rPr>
      </w:pPr>
    </w:p>
    <w:p>
      <w:pPr>
        <w:jc w:val="both"/>
        <w:ind w:left="340" w:right="20" w:hanging="332"/>
        <w:spacing w:after="0" w:line="211"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“Adjusted profit/(loss)” </w:t>
      </w:r>
      <w:r>
        <w:rPr>
          <w:rFonts w:ascii="Times New Roman" w:cs="Times New Roman" w:eastAsia="Times New Roman" w:hAnsi="Times New Roman"/>
          <w:sz w:val="18"/>
          <w:szCs w:val="18"/>
          <w:color w:val="auto"/>
        </w:rPr>
        <w:t>is defined as profit/(loss) adjusted to exclude stock-based compensation expense, share of losses from equity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change in fair value of digital assets held for operations, change in fair value of digital assets-settled receivable and payable, change in fair value of digital assets - receivable, change in fair value of digital assets loan, change in fair value of derivative liabilities, and other net losses.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US$1.2 billion in property, plant and equipment, up from US$1.1 billion. Change mainly raised from mass production and the deployment of SEALMINERs to the Company’s datacenters for mining activities and expansion of datacenters.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information regarding the Company’s first quarter 2026 financial and operations results can be found on the SEC’s website https://sec.gov and the Company’s Investor Relations website https://ir.bitdeer.com.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amongst other countries. To learn more, please visit https://ir.bitdeer.com/ or follow Bitdeer on X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BITDEER GROUP UNAUDITED CONSOLIDATED BALANCE SHEET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5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260,761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149,352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22,366</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35,115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85,488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135,558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31,374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9,654</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341,110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698,291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613,042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251,999</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1,538,087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1,389,058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35"/>
        </w:trPr>
        <w:tc>
          <w:tcPr>
            <w:tcW w:w="8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45,563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39,081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104,725</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1,235,445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1,086,275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93,432</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35,818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8,682</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1,563,004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1,398,853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3,101,091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2,787,911</w:t>
            </w:r>
          </w:p>
        </w:tc>
        <w:tc>
          <w:tcPr>
            <w:tcW w:w="80" w:type="dxa"/>
            <w:vAlign w:val="bottom"/>
          </w:tcPr>
          <w:p>
            <w:pPr>
              <w:spacing w:after="0"/>
              <w:rPr>
                <w:sz w:val="24"/>
                <w:szCs w:val="24"/>
                <w:color w:val="auto"/>
              </w:rPr>
            </w:pPr>
          </w:p>
        </w:tc>
      </w:tr>
      <w:tr>
        <w:trPr>
          <w:trHeight w:val="135"/>
        </w:trPr>
        <w:tc>
          <w:tcPr>
            <w:tcW w:w="85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133,580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119,818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54,964</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13,355</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57,639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26,000</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 from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11,888</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569,769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35"/>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63,255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1,180,654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947,183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195,583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98,468</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1,538,926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1,370,123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2,370,976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1,939,892</w:t>
            </w:r>
          </w:p>
        </w:tc>
        <w:tc>
          <w:tcPr>
            <w:tcW w:w="80" w:type="dxa"/>
            <w:vAlign w:val="bottom"/>
            <w:shd w:val="clear" w:color="auto" w:fill="CCEEFF"/>
          </w:tcPr>
          <w:p>
            <w:pPr>
              <w:spacing w:after="0"/>
              <w:rPr>
                <w:sz w:val="21"/>
                <w:szCs w:val="2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35"/>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(35,990)</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(693,683)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(534,156)</w:t>
            </w: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1,423,162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1,418,111</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730,115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848,019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3,101,091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2,787,911</w:t>
            </w:r>
          </w:p>
        </w:tc>
        <w:tc>
          <w:tcPr>
            <w:tcW w:w="80" w:type="dxa"/>
            <w:vAlign w:val="bottom"/>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less than US$1,000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001"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53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3340" w:type="dxa"/>
            <w:vAlign w:val="bottom"/>
            <w:gridSpan w:val="2"/>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53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8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188,930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70,128</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(227,971)</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(74,098)</w:t>
            </w:r>
          </w:p>
        </w:tc>
      </w:tr>
      <w:tr>
        <w:trPr>
          <w:trHeight w:val="21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3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(39,041)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468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(24,592)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(15,278)</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8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(59,004)</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held for operations</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(24,028)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(21,309)</w:t>
            </w: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468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r>
      <w:tr>
        <w:trPr>
          <w:trHeight w:val="203"/>
        </w:trPr>
        <w:tc>
          <w:tcPr>
            <w:tcW w:w="53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(66,891)</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(94,496)</w:t>
            </w:r>
          </w:p>
        </w:tc>
        <w:tc>
          <w:tcPr>
            <w:tcW w:w="100" w:type="dxa"/>
            <w:vAlign w:val="bottom"/>
            <w:tcBorders>
              <w:top w:val="single" w:sz="8" w:color="CCEEFF"/>
            </w:tcBorders>
          </w:tcPr>
          <w:p>
            <w:pPr>
              <w:spacing w:after="0"/>
              <w:rPr>
                <w:sz w:val="17"/>
                <w:szCs w:val="17"/>
                <w:color w:val="auto"/>
              </w:rPr>
            </w:pPr>
          </w:p>
        </w:tc>
      </w:tr>
      <w:tr>
        <w:trPr>
          <w:trHeight w:val="216"/>
        </w:trPr>
        <w:tc>
          <w:tcPr>
            <w:tcW w:w="53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(105,932)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(98,466)</w:t>
            </w:r>
          </w:p>
        </w:tc>
      </w:tr>
      <w:tr>
        <w:trPr>
          <w:trHeight w:val="216"/>
        </w:trPr>
        <w:tc>
          <w:tcPr>
            <w:tcW w:w="53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 net</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(29,516)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(5,290)</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468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(2,696)</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 receivable</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(16,152)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loan</w:t>
            </w:r>
          </w:p>
        </w:tc>
        <w:tc>
          <w:tcPr>
            <w:tcW w:w="468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68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205,004</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468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w:t>
            </w:r>
          </w:p>
        </w:tc>
      </w:tr>
      <w:tr>
        <w:trPr>
          <w:trHeight w:val="23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 losses</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(17,772)</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3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(162,941)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68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3,414</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6,613</w:t>
            </w:r>
          </w:p>
        </w:tc>
      </w:tr>
      <w:tr>
        <w:trPr>
          <w:trHeight w:val="223"/>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340" w:type="dxa"/>
            <w:vAlign w:val="bottom"/>
            <w:gridSpan w:val="2"/>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78"/>
        </w:trPr>
        <w:tc>
          <w:tcPr>
            <w:tcW w:w="534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(158,945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105,481</w:t>
            </w:r>
          </w:p>
        </w:tc>
        <w:tc>
          <w:tcPr>
            <w:tcW w:w="100" w:type="dxa"/>
            <w:vAlign w:val="bottom"/>
            <w:tcBorders>
              <w:top w:val="single" w:sz="8" w:color="CCEEFF"/>
              <w:bottom w:val="single" w:sz="8" w:color="CCEEFF"/>
            </w:tcBorders>
          </w:tcPr>
          <w:p>
            <w:pPr>
              <w:spacing w:after="0"/>
              <w:rPr>
                <w:sz w:val="24"/>
                <w:szCs w:val="24"/>
                <w:color w:val="auto"/>
              </w:rPr>
            </w:pPr>
          </w:p>
        </w:tc>
      </w:tr>
      <w:tr>
        <w:trPr>
          <w:trHeight w:val="216"/>
        </w:trPr>
        <w:tc>
          <w:tcPr>
            <w:tcW w:w="53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(in US$)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8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(0.68)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(0.68)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(thousand shares)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8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233,393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190,199</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8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233,393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203,476</w:t>
            </w:r>
          </w:p>
        </w:tc>
      </w:tr>
      <w:tr>
        <w:trPr>
          <w:trHeight w:val="655"/>
        </w:trPr>
        <w:tc>
          <w:tcPr>
            <w:tcW w:w="5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5"/>
          </w:tcPr>
          <w:p>
            <w:pPr>
              <w:ind w:left="1580"/>
              <w:spacing w:after="0"/>
              <w:rPr>
                <w:sz w:val="20"/>
                <w:szCs w:val="20"/>
                <w:color w:val="auto"/>
              </w:rPr>
            </w:pPr>
            <w:r>
              <w:rPr>
                <w:rFonts w:ascii="Times New Roman" w:cs="Times New Roman" w:eastAsia="Times New Roman" w:hAnsi="Times New Roman"/>
                <w:sz w:val="18"/>
                <w:szCs w:val="18"/>
                <w:b w:val="1"/>
                <w:bCs w:val="1"/>
                <w:color w:val="auto"/>
              </w:rPr>
              <w:t>BITDEER GROUP UNAUDITED CONDENSED CONSOLIDATED STATEMENTS OF CASH FLOWS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(346,894)</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(285,274)</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 and intangible assets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(93,746)</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disposal of digital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206,843</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the site and gas-fired power project in Alberta, Canada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113,271</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(73,603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borrowings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borrowings to a related party</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stock-based rewards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transaction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27,761</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118,403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(21,010)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convertible senior notes, net of transaction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364,502</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made in connection with the extinguishment of convertible senior notes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(93,046)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capped call instrument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(33,713)</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96,804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118,951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(262,073)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177,877</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297,694</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233,654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the Company’s business, the Company considers and uses non-GAAP measures, adjusted EBITDA and adjusted loss, as supplemental measures to review and assess its operating performance. The Company defines adjusted EBITDA as earnings before interest, taxes, depreciation and amortization, further adjusted to exclude stock-based compensation expense, share of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liabilities, and other net losses, and defines adjusted income (loss) as income (loss) adjusted to exclude stock-based compensation expense, share of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liabilities, and other net losses.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its management to evaluate its operating performance and formulate business plans. The Company also believes that the use of these non-GAAP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loss for the periods, as determined in accordance with GAAP. The Company compensates for these limitations by reconciling these non-GAAP financial measures to the nearest GAAP performance measure, all of which should be considered when evaluating its performance. The Company encourages investors to review its financial information in its entirety and not rely on a single financial measure.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for the relevant period to adjusted EBITDA and adjusted loss, for the three months ended March 31, 2026 and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UNAUDITED NON-GAAP ADJUSTED EBITDA AND ADJUSTED INCOME (LOSS)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(159,527)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105,315</w:t>
            </w:r>
          </w:p>
        </w:tc>
        <w:tc>
          <w:tcPr>
            <w:tcW w:w="0" w:type="dxa"/>
            <w:vAlign w:val="bottom"/>
          </w:tcPr>
          <w:p>
            <w:pPr>
              <w:spacing w:after="0"/>
              <w:rPr>
                <w:sz w:val="1"/>
                <w:szCs w:val="1"/>
                <w:color w:val="auto"/>
              </w:rPr>
            </w:pPr>
          </w:p>
        </w:tc>
      </w:tr>
      <w:tr>
        <w:trPr>
          <w:trHeight w:val="241"/>
        </w:trPr>
        <w:tc>
          <w:tcPr>
            <w:tcW w:w="86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94,867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22,104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(3,414)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7,129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held for operations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24,028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assets-settled receivables and payables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(5,059)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16,152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loan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(205,004)</w:t>
            </w:r>
          </w:p>
        </w:tc>
        <w:tc>
          <w:tcPr>
            <w:tcW w:w="0" w:type="dxa"/>
            <w:vAlign w:val="bottom"/>
          </w:tcPr>
          <w:p>
            <w:pPr>
              <w:spacing w:after="0"/>
              <w:rPr>
                <w:sz w:val="1"/>
                <w:szCs w:val="1"/>
                <w:color w:val="auto"/>
              </w:rPr>
            </w:pPr>
          </w:p>
        </w:tc>
      </w:tr>
      <w:tr>
        <w:trPr>
          <w:trHeight w:val="270"/>
        </w:trPr>
        <w:tc>
          <w:tcPr>
            <w:tcW w:w="86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net losses</w:t>
            </w:r>
            <w:r>
              <w:rPr>
                <w:rFonts w:ascii="Times New Roman" w:cs="Times New Roman" w:eastAsia="Times New Roman" w:hAnsi="Times New Roman"/>
                <w:sz w:val="29"/>
                <w:szCs w:val="29"/>
                <w:color w:val="auto"/>
                <w:vertAlign w:val="superscript"/>
              </w:rPr>
              <w:t>14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17,772</w:t>
            </w: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of Adjusted EBITDA</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14,388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(45,597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(159,527)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105,315</w:t>
            </w:r>
          </w:p>
        </w:tc>
        <w:tc>
          <w:tcPr>
            <w:tcW w:w="0" w:type="dxa"/>
            <w:vAlign w:val="bottom"/>
          </w:tcPr>
          <w:p>
            <w:pPr>
              <w:spacing w:after="0"/>
              <w:rPr>
                <w:sz w:val="1"/>
                <w:szCs w:val="1"/>
                <w:color w:val="auto"/>
              </w:rPr>
            </w:pPr>
          </w:p>
        </w:tc>
      </w:tr>
      <w:tr>
        <w:trPr>
          <w:trHeight w:val="241"/>
        </w:trPr>
        <w:tc>
          <w:tcPr>
            <w:tcW w:w="86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held for operations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assets-settled receivables and payables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(5,059)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 receivable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digital assets loan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(8,963)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(205,004)</w:t>
            </w:r>
          </w:p>
        </w:tc>
        <w:tc>
          <w:tcPr>
            <w:tcW w:w="0" w:type="dxa"/>
            <w:vAlign w:val="bottom"/>
          </w:tcPr>
          <w:p>
            <w:pPr>
              <w:spacing w:after="0"/>
              <w:rPr>
                <w:sz w:val="1"/>
                <w:szCs w:val="1"/>
                <w:color w:val="auto"/>
              </w:rPr>
            </w:pPr>
          </w:p>
        </w:tc>
      </w:tr>
      <w:tr>
        <w:trPr>
          <w:trHeight w:val="277"/>
        </w:trPr>
        <w:tc>
          <w:tcPr>
            <w:tcW w:w="86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net losses</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17,772</w:t>
            </w:r>
          </w:p>
        </w:tc>
        <w:tc>
          <w:tcPr>
            <w:tcW w:w="320" w:type="dxa"/>
            <w:vAlign w:val="bottom"/>
          </w:tcPr>
          <w:p>
            <w:pPr>
              <w:spacing w:after="0"/>
              <w:rPr>
                <w:sz w:val="24"/>
                <w:szCs w:val="24"/>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of Adjusted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-3786505</wp:posOffset>
            </wp:positionV>
            <wp:extent cx="58420" cy="88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8420" cy="8826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-1463675</wp:posOffset>
            </wp:positionV>
            <wp:extent cx="58420" cy="88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8420" cy="88265"/>
                    </a:xfrm>
                    <a:prstGeom prst="rect">
                      <a:avLst/>
                    </a:prstGeom>
                    <a:noFill/>
                  </pic:spPr>
                </pic:pic>
              </a:graphicData>
            </a:graphic>
          </wp:anchor>
        </w:drawing>
      </w:r>
    </w:p>
    <w:p>
      <w:pPr>
        <w:spacing w:after="0" w:line="245" w:lineRule="exact"/>
        <w:rPr>
          <w:sz w:val="20"/>
          <w:szCs w:val="20"/>
          <w:color w:val="auto"/>
        </w:rPr>
      </w:pPr>
    </w:p>
    <w:p>
      <w:pPr>
        <w:jc w:val="both"/>
        <w:ind w:left="340" w:hanging="332"/>
        <w:spacing w:after="0" w:line="195"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three months ended March 31, 2026, we recorded US$17.8 million other losses primarily due to the US$6.4 million of loss on derivative assets, US$5.4 million loss on extinguishment of debt in connection with the convertible senior notes issued in November 2024, and US$5.0 million donation.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0" w:lineRule="exact"/>
        <w:rPr>
          <w:sz w:val="20"/>
          <w:szCs w:val="20"/>
          <w:color w:val="auto"/>
        </w:rPr>
      </w:pPr>
    </w:p>
    <w:p>
      <w:pPr>
        <w:spacing w:after="0" w:line="24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5"/>
      <w:numFmt w:val="bullet"/>
      <w:start w:val="1"/>
    </w:lvl>
  </w:abstractNum>
  <w:abstractNum w:abstractNumId="6">
    <w:nsid w:val="6B68079A"/>
    <w:multiLevelType w:val="hybridMultilevel"/>
    <w:lvl w:ilvl="0">
      <w:lvlJc w:val="left"/>
      <w:lvlText w:val="6"/>
      <w:numFmt w:val="bullet"/>
      <w:start w:val="1"/>
    </w:lvl>
  </w:abstractNum>
  <w:abstractNum w:abstractNumId="7">
    <w:nsid w:val="4E6AFB66"/>
    <w:multiLevelType w:val="hybridMultilevel"/>
    <w:lvl w:ilvl="0">
      <w:lvlJc w:val="left"/>
      <w:lvlText w:val="7"/>
      <w:numFmt w:val="bullet"/>
      <w:start w:val="1"/>
    </w:lvl>
  </w:abstractNum>
  <w:abstractNum w:abstractNumId="8">
    <w:nsid w:val="25E45D32"/>
    <w:multiLevelType w:val="hybridMultilevel"/>
    <w:lvl w:ilvl="0">
      <w:lvlJc w:val="left"/>
      <w:lvlText w:val="8"/>
      <w:numFmt w:val="bullet"/>
      <w:start w:val="1"/>
    </w:lvl>
  </w:abstractNum>
  <w:abstractNum w:abstractNumId="9">
    <w:nsid w:val="519B500D"/>
    <w:multiLevelType w:val="hybridMultilevel"/>
    <w:lvl w:ilvl="0">
      <w:lvlJc w:val="left"/>
      <w:lvlText w:val="9"/>
      <w:numFmt w:val="bullet"/>
      <w:start w:val="1"/>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3"/>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18" Type="http://schemas.openxmlformats.org/officeDocument/2006/relationships/hyperlink" Target="https://www.sec.gov/Archives/edgar/data/1899123/000114036124016225/ny20023745x2_posam.htm" TargetMode="External"/><Relationship Id="rId19" Type="http://schemas.openxmlformats.org/officeDocument/2006/relationships/hyperlink" Target="https://www.sec.gov/ix?doc=/Archives/edgar/data/1899123/000114036124013887/ny20023745x1_f3.htm" TargetMode="External"/><Relationship Id="rId20" Type="http://schemas.openxmlformats.org/officeDocument/2006/relationships/hyperlink" Target="https://www.sec.gov/ix?doc=/Archives/edgar/data/1899123/000114036124013888/ny20023745x3_f3.htm" TargetMode="External"/><Relationship Id="rId21" Type="http://schemas.openxmlformats.org/officeDocument/2006/relationships/hyperlink" Target="https://www.sec.gov/Archives/edgar/data/1899123/000114036124029276/ny20030771x1_f3.htm" TargetMode="External"/><Relationship Id="rId22" Type="http://schemas.openxmlformats.org/officeDocument/2006/relationships/hyperlink" Target="https://www.sec.gov/Archives/edgar/data/1899123/000114036124049031/ny20039746x1_f3.htm" TargetMode="External"/><Relationship Id="rId23" Type="http://schemas.openxmlformats.org/officeDocument/2006/relationships/hyperlink" Target="https://www.sec.gov/Archives/edgar/data/1899123/000121390025080525/ea0254524-f3_bitdeer.htm" TargetMode="External"/><Relationship Id="rId24" Type="http://schemas.openxmlformats.org/officeDocument/2006/relationships/hyperlink" Target="https://www.sec.gov/Archives/edgar/data/1899123/000114036123031108/brhc20054618_s8.htm" TargetMode="External"/><Relationship Id="rId25" Type="http://schemas.openxmlformats.org/officeDocument/2006/relationships/hyperlink" Target="https://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2026-05-14T15:13:00Z</dcterms:created>
  <dcterms:modified xsi:type="dcterms:W3CDTF">2026-05-14T15:13:00Z</dcterms:modified>
</cp:coreProperties>
</file>