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spacing w:after="0" w:line="207" w:lineRule="exact"/>
        <w:tabs>
          <w:tab w:leader="none" w:pos="4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497840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 Bitdeer Announces January 2026 Production and Operations Update</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100" w:type="dxa"/>
            <w:vAlign w:val="bottom"/>
            <w:tcBorders>
              <w:top w:val="single" w:sz="8" w:color="0000EE"/>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1</w:t>
            </w:r>
          </w:p>
        </w:tc>
        <w:tc>
          <w:tcPr>
            <w:tcW w:w="4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10,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Announces January 2026 Production and Operations Update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Monthly Highlights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Increased self-mining hashrate to 63.2 EH/s on continued deployment of SEALMINERs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Bitcoin production increased 430% year over year to 668 Bitcoin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Launch of NVIDIA GB200 NVL72 infrastructure in Malaysia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First design of Litecoin chip taped out and initial testing surpassed expectations</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SINGAPORE, February 10, 2026 (GLOBE NEWSWIRE) </w:t>
      </w:r>
      <w:r>
        <w:rPr>
          <w:rFonts w:ascii="Times New Roman" w:cs="Times New Roman" w:eastAsia="Times New Roman" w:hAnsi="Times New Roman"/>
          <w:sz w:val="18"/>
          <w:szCs w:val="18"/>
          <w:color w:val="auto"/>
        </w:rPr>
        <w:t>--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world-leading technology company for Bitcoin mining and AI infrastructure, today announced its unaudited mining and operations updates for January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Update</w:t>
      </w:r>
    </w:p>
    <w:p>
      <w:pPr>
        <w:spacing w:after="0" w:line="225"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Self-mining:</w:t>
      </w:r>
    </w:p>
    <w:p>
      <w:pPr>
        <w:spacing w:after="0" w:line="2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Mined 668 Bitcoins, an increase of approximately 430% year over year.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Self-mining hashrate reached 63.2 EH/s.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Bitdeer will continue deploying SEALMINER mining rigs for self-mining to continue the Company’s growth in self-mining capacity while concurrently retiring third-party, older-generation rigs.</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SEALMINER Manufacturing: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January</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w:t>
            </w:r>
          </w:p>
        </w:tc>
      </w:t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Mining Rig Model (EH/s)</w:t>
            </w:r>
          </w:p>
        </w:tc>
        <w:tc>
          <w:tcPr>
            <w:tcW w:w="406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Stage</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SEALMINER A3</w:t>
            </w:r>
          </w:p>
        </w:tc>
        <w:tc>
          <w:tcPr>
            <w:tcW w:w="12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 final assembly</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transit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Cumulative </w:t>
            </w:r>
            <w:r>
              <w:rPr>
                <w:rFonts w:ascii="Times New Roman" w:cs="Times New Roman" w:eastAsia="Times New Roman" w:hAnsi="Times New Roman"/>
                <w:sz w:val="18"/>
                <w:szCs w:val="18"/>
                <w:b w:val="1"/>
                <w:bCs w:val="1"/>
                <w:color w:val="auto"/>
              </w:rPr>
              <w:t>A3</w:t>
            </w:r>
            <w:r>
              <w:rPr>
                <w:rFonts w:ascii="Times New Roman" w:cs="Times New Roman" w:eastAsia="Times New Roman" w:hAnsi="Times New Roman"/>
                <w:sz w:val="18"/>
                <w:szCs w:val="18"/>
                <w:color w:val="auto"/>
              </w:rPr>
              <w:t xml:space="preserve"> Deployed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SEALMINER A2</w:t>
            </w: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final assembly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Ready for shipping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transit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A2 external sales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Cumulative </w:t>
            </w:r>
            <w:r>
              <w:rPr>
                <w:rFonts w:ascii="Times New Roman" w:cs="Times New Roman" w:eastAsia="Times New Roman" w:hAnsi="Times New Roman"/>
                <w:sz w:val="18"/>
                <w:szCs w:val="18"/>
                <w:b w:val="1"/>
                <w:bCs w:val="1"/>
                <w:color w:val="auto"/>
              </w:rPr>
              <w:t>A2</w:t>
            </w:r>
            <w:r>
              <w:rPr>
                <w:rFonts w:ascii="Times New Roman" w:cs="Times New Roman" w:eastAsia="Times New Roman" w:hAnsi="Times New Roman"/>
                <w:sz w:val="18"/>
                <w:szCs w:val="18"/>
                <w:color w:val="auto"/>
              </w:rPr>
              <w:t xml:space="preserve"> Deployed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39.7</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SEALMINER A1</w:t>
            </w: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Cumulative </w:t>
            </w:r>
            <w:r>
              <w:rPr>
                <w:rFonts w:ascii="Times New Roman" w:cs="Times New Roman" w:eastAsia="Times New Roman" w:hAnsi="Times New Roman"/>
                <w:sz w:val="18"/>
                <w:szCs w:val="18"/>
                <w:b w:val="1"/>
                <w:bCs w:val="1"/>
                <w:color w:val="auto"/>
              </w:rPr>
              <w:t>A1</w:t>
            </w:r>
            <w:r>
              <w:rPr>
                <w:rFonts w:ascii="Times New Roman" w:cs="Times New Roman" w:eastAsia="Times New Roman" w:hAnsi="Times New Roman"/>
                <w:sz w:val="18"/>
                <w:szCs w:val="18"/>
                <w:color w:val="auto"/>
              </w:rPr>
              <w:t xml:space="preserve"> Deployed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77"/>
        </w:trPr>
        <w:tc>
          <w:tcPr>
            <w:tcW w:w="462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29"/>
                <w:szCs w:val="29"/>
                <w:b w:val="1"/>
                <w:bCs w:val="1"/>
                <w:color w:val="auto"/>
                <w:vertAlign w:val="superscript"/>
              </w:rPr>
              <w:t>rd</w:t>
            </w:r>
            <w:r>
              <w:rPr>
                <w:rFonts w:ascii="Times New Roman" w:cs="Times New Roman" w:eastAsia="Times New Roman" w:hAnsi="Times New Roman"/>
                <w:sz w:val="18"/>
                <w:szCs w:val="18"/>
                <w:b w:val="1"/>
                <w:bCs w:val="1"/>
                <w:color w:val="auto"/>
              </w:rPr>
              <w:t xml:space="preserve"> Party Miners</w:t>
            </w: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Cumulative Deployed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8.2</w:t>
            </w:r>
          </w:p>
        </w:tc>
      </w:tr>
      <w:tr>
        <w:trPr>
          <w:trHeight w:val="223"/>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Proprietary Hash Rate</w:t>
            </w:r>
          </w:p>
        </w:tc>
        <w:tc>
          <w:tcPr>
            <w:tcW w:w="4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Deployed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SEALMINER R&amp;D:</w:t>
      </w:r>
    </w:p>
    <w:p>
      <w:pPr>
        <w:spacing w:after="0" w:line="22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taped out the Litecoin ASIC chip, SEAL-DL1, designed for mining DOGE and Litecoin. Initial test results of SEAL-DL1 have exceeded expectations.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SEALMINER DL1 is expected to generate more mining output compared to the SEALMINER A2 series with the same power capacity based on the recent market parameters. We plan to launch the product in Q1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SEALMINER 04-1 is targeting mass production in Q1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SEAL04-2 chip’s development continues.</w:t>
      </w:r>
    </w:p>
    <w:p>
      <w:pPr>
        <w:spacing w:after="0" w:line="221"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 Manufacturing: </w:t>
      </w:r>
      <w:r>
        <w:rPr>
          <w:rFonts w:ascii="Times New Roman" w:cs="Times New Roman" w:eastAsia="Times New Roman" w:hAnsi="Times New Roman"/>
          <w:sz w:val="18"/>
          <w:szCs w:val="18"/>
          <w:color w:val="auto"/>
        </w:rPr>
        <w:t>Preparations for Bitdeer’s U.S. factory are progressing, with the lease signed and construction permit application submitted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local municipal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GPU Cloud as of 1/31/2026: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Under</w:t>
            </w:r>
          </w:p>
        </w:tc>
        <w:tc>
          <w:tcPr>
            <w:tcW w:w="224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External</w:t>
            </w:r>
          </w:p>
        </w:tc>
        <w:tc>
          <w:tcPr>
            <w:tcW w:w="2240" w:type="dxa"/>
            <w:vAlign w:val="bottom"/>
          </w:tcPr>
          <w:p>
            <w:pPr>
              <w:spacing w:after="0"/>
              <w:rPr>
                <w:sz w:val="18"/>
                <w:szCs w:val="18"/>
                <w:color w:val="auto"/>
              </w:rPr>
            </w:pPr>
          </w:p>
        </w:tc>
      </w:tr>
      <w:tr>
        <w:trPr>
          <w:trHeight w:val="245"/>
        </w:trPr>
        <w:tc>
          <w:tcPr>
            <w:tcW w:w="25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GPU Amount Deployed</w:t>
            </w:r>
          </w:p>
        </w:tc>
        <w:tc>
          <w:tcPr>
            <w:tcW w:w="348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GPU Types</w:t>
            </w:r>
          </w:p>
        </w:tc>
        <w:tc>
          <w:tcPr>
            <w:tcW w:w="1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8"/>
              </w:rPr>
              <w:t>Utilization Rate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Subscription</w:t>
            </w:r>
          </w:p>
        </w:tc>
        <w:tc>
          <w:tcPr>
            <w:tcW w:w="224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ARR</w:t>
            </w:r>
          </w:p>
        </w:tc>
      </w:tr>
      <w:tr>
        <w:trPr>
          <w:trHeight w:val="243"/>
        </w:trPr>
        <w:tc>
          <w:tcPr>
            <w:tcW w:w="238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1,792</w:t>
            </w:r>
          </w:p>
        </w:tc>
        <w:tc>
          <w:tcPr>
            <w:tcW w:w="200" w:type="dxa"/>
            <w:vAlign w:val="bottom"/>
            <w:tcBorders>
              <w:top w:val="single" w:sz="8" w:color="CCEEFF"/>
            </w:tcBorders>
            <w:shd w:val="clear" w:color="auto" w:fill="CCEEFF"/>
          </w:tcPr>
          <w:p>
            <w:pPr>
              <w:spacing w:after="0"/>
              <w:rPr>
                <w:sz w:val="21"/>
                <w:szCs w:val="21"/>
                <w:color w:val="auto"/>
              </w:rPr>
            </w:pPr>
          </w:p>
        </w:tc>
        <w:tc>
          <w:tcPr>
            <w:tcW w:w="336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H100, H200, B200, GB200</w:t>
            </w:r>
          </w:p>
        </w:tc>
        <w:tc>
          <w:tcPr>
            <w:tcW w:w="12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585</w:t>
            </w:r>
          </w:p>
        </w:tc>
        <w:tc>
          <w:tcPr>
            <w:tcW w:w="220" w:type="dxa"/>
            <w:vAlign w:val="bottom"/>
            <w:tcBorders>
              <w:top w:val="single" w:sz="8" w:color="CCEEFF"/>
            </w:tcBorders>
            <w:shd w:val="clear" w:color="auto" w:fill="CCEEFF"/>
          </w:tcPr>
          <w:p>
            <w:pPr>
              <w:spacing w:after="0"/>
              <w:rPr>
                <w:sz w:val="21"/>
                <w:szCs w:val="21"/>
                <w:color w:val="auto"/>
              </w:rPr>
            </w:pPr>
          </w:p>
        </w:tc>
        <w:tc>
          <w:tcPr>
            <w:tcW w:w="22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~$10 million</w:t>
            </w:r>
          </w:p>
        </w:tc>
      </w:tr>
    </w:tbl>
    <w:p>
      <w:pPr>
        <w:spacing w:after="0" w:line="198" w:lineRule="exact"/>
        <w:rPr>
          <w:sz w:val="20"/>
          <w:szCs w:val="20"/>
          <w:color w:val="auto"/>
        </w:rPr>
      </w:pPr>
    </w:p>
    <w:p>
      <w:pPr>
        <w:ind w:left="66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13, 2026, Bitdeer AI deployed its initial NVIDIA GB200 NVL72 infrastructure in Malaysia, marking the first phase of an accelerated capacity expansion designed to support enterprise-grade training workloads on the Blackwell architecture.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evaluating U.S. data center leasing opportunities to deploy GPUs and bring AI cloud services online for U.S. customers as early as Q1 2026.</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HPC colocation arrangements:</w:t>
      </w:r>
    </w:p>
    <w:p>
      <w:pPr>
        <w:spacing w:after="0" w:line="25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colocation arrangements for various sites are under evaluation. Multiple potential hyperscaler customers have expressed strong interest, and active discussions are currently underway.</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Infrastructure Summary: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Site / Location</w:t>
            </w:r>
          </w:p>
        </w:tc>
        <w:tc>
          <w:tcPr>
            <w:tcW w:w="1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Capacity (MW)</w:t>
            </w:r>
          </w:p>
        </w:tc>
        <w:tc>
          <w:tcPr>
            <w:tcW w:w="19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24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Datacenter Type</w:t>
            </w:r>
          </w:p>
        </w:tc>
        <w:tc>
          <w:tcPr>
            <w:tcW w:w="16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Timing</w:t>
            </w:r>
            <w:r>
              <w:rPr>
                <w:rFonts w:ascii="Times New Roman" w:cs="Times New Roman" w:eastAsia="Times New Roman" w:hAnsi="Times New Roman"/>
                <w:sz w:val="29"/>
                <w:szCs w:val="29"/>
                <w:b w:val="1"/>
                <w:bCs w:val="1"/>
                <w:color w:val="auto"/>
                <w:vertAlign w:val="superscript"/>
              </w:rPr>
              <w:t>1</w:t>
            </w:r>
          </w:p>
        </w:tc>
      </w:tr>
      <w:tr>
        <w:trPr>
          <w:trHeight w:val="216"/>
        </w:trPr>
        <w:tc>
          <w:tcPr>
            <w:tcW w:w="3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Electrical capacity</w:t>
            </w:r>
          </w:p>
        </w:tc>
        <w:tc>
          <w:tcPr>
            <w:tcW w:w="1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r>
      <w:tr>
        <w:trPr>
          <w:trHeight w:val="216"/>
        </w:trPr>
        <w:tc>
          <w:tcPr>
            <w:tcW w:w="3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Rockdale, Texas</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Online</w:t>
            </w:r>
          </w:p>
        </w:tc>
        <w:tc>
          <w:tcPr>
            <w:tcW w:w="2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Crypto / Evaluating AI</w:t>
            </w:r>
          </w:p>
        </w:tc>
        <w:tc>
          <w:tcPr>
            <w:tcW w:w="16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Completed</w:t>
            </w:r>
          </w:p>
        </w:tc>
      </w:tr>
      <w:tr>
        <w:trPr>
          <w:trHeight w:val="216"/>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Knoxville, Tennessee – phase 1</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Online</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Crypto converting to AI</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Q4 2026</w:t>
            </w:r>
          </w:p>
        </w:tc>
      </w:tr>
      <w:tr>
        <w:trPr>
          <w:trHeight w:val="216"/>
        </w:trPr>
        <w:tc>
          <w:tcPr>
            <w:tcW w:w="3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Knoxville, Tennessee – phase 2</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Online</w:t>
            </w:r>
          </w:p>
        </w:tc>
        <w:tc>
          <w:tcPr>
            <w:tcW w:w="2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Crypto</w:t>
            </w:r>
          </w:p>
        </w:tc>
        <w:tc>
          <w:tcPr>
            <w:tcW w:w="16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Completed</w:t>
            </w:r>
          </w:p>
        </w:tc>
      </w:tr>
      <w:tr>
        <w:trPr>
          <w:trHeight w:val="216"/>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Wenatchee, Washington</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Online</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Crypto converting to AI</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Q4 2026</w:t>
            </w:r>
          </w:p>
        </w:tc>
      </w:tr>
      <w:tr>
        <w:trPr>
          <w:trHeight w:val="216"/>
        </w:trPr>
        <w:tc>
          <w:tcPr>
            <w:tcW w:w="3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Molde, Norway</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Online</w:t>
            </w:r>
          </w:p>
        </w:tc>
        <w:tc>
          <w:tcPr>
            <w:tcW w:w="2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Crypto</w:t>
            </w:r>
          </w:p>
        </w:tc>
        <w:tc>
          <w:tcPr>
            <w:tcW w:w="16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Completed</w:t>
            </w:r>
          </w:p>
        </w:tc>
      </w:tr>
      <w:tr>
        <w:trPr>
          <w:trHeight w:val="216"/>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Tydal - 1, Norway</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Online</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Crypto converting to AI</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Q4 2026</w:t>
            </w:r>
          </w:p>
        </w:tc>
      </w:tr>
      <w:tr>
        <w:trPr>
          <w:trHeight w:val="216"/>
        </w:trPr>
        <w:tc>
          <w:tcPr>
            <w:tcW w:w="3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Tydal - 2, Norway</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Online</w:t>
            </w:r>
          </w:p>
        </w:tc>
        <w:tc>
          <w:tcPr>
            <w:tcW w:w="2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Crypto converting to AI</w:t>
            </w:r>
          </w:p>
        </w:tc>
        <w:tc>
          <w:tcPr>
            <w:tcW w:w="16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Q4 2026</w:t>
            </w:r>
          </w:p>
        </w:tc>
      </w:tr>
      <w:tr>
        <w:trPr>
          <w:trHeight w:val="216"/>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Gedu, Bhutan</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Online</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Crypto</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Completed</w:t>
            </w:r>
          </w:p>
        </w:tc>
      </w:tr>
      <w:tr>
        <w:trPr>
          <w:trHeight w:val="216"/>
        </w:trPr>
        <w:tc>
          <w:tcPr>
            <w:tcW w:w="3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Jigmeling, Bhutan</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Online</w:t>
            </w:r>
          </w:p>
        </w:tc>
        <w:tc>
          <w:tcPr>
            <w:tcW w:w="2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Crypto</w:t>
            </w:r>
          </w:p>
        </w:tc>
        <w:tc>
          <w:tcPr>
            <w:tcW w:w="16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Completed</w:t>
            </w:r>
          </w:p>
        </w:tc>
      </w:tr>
      <w:tr>
        <w:trPr>
          <w:trHeight w:val="216"/>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Oromia Region, Ethiopia</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Online</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Crypto</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Completed</w:t>
            </w:r>
          </w:p>
        </w:tc>
      </w:tr>
      <w:tr>
        <w:trPr>
          <w:trHeight w:val="236"/>
        </w:trPr>
        <w:tc>
          <w:tcPr>
            <w:tcW w:w="3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Massillon, Ohio</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Online</w:t>
            </w:r>
          </w:p>
        </w:tc>
        <w:tc>
          <w:tcPr>
            <w:tcW w:w="2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Crypto</w:t>
            </w:r>
          </w:p>
        </w:tc>
        <w:tc>
          <w:tcPr>
            <w:tcW w:w="16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Completed</w:t>
            </w:r>
          </w:p>
        </w:tc>
      </w:tr>
      <w:tr>
        <w:trPr>
          <w:trHeight w:val="210"/>
        </w:trPr>
        <w:tc>
          <w:tcPr>
            <w:tcW w:w="340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electrical capacity</w:t>
            </w: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1,6582</w:t>
            </w:r>
          </w:p>
        </w:tc>
        <w:tc>
          <w:tcPr>
            <w:tcW w:w="220" w:type="dxa"/>
            <w:vAlign w:val="bottom"/>
            <w:tcBorders>
              <w:top w:val="single" w:sz="8" w:color="CCEEFF"/>
              <w:bottom w:val="single" w:sz="8" w:color="CCEEFF"/>
            </w:tcBorders>
          </w:tcPr>
          <w:p>
            <w:pPr>
              <w:spacing w:after="0"/>
              <w:rPr>
                <w:sz w:val="18"/>
                <w:szCs w:val="18"/>
                <w:color w:val="auto"/>
              </w:rPr>
            </w:pPr>
          </w:p>
        </w:tc>
        <w:tc>
          <w:tcPr>
            <w:tcW w:w="18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3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680" w:type="dxa"/>
            <w:vAlign w:val="bottom"/>
            <w:tcBorders>
              <w:top w:val="single" w:sz="8" w:color="CCEEFF"/>
              <w:bottom w:val="single" w:sz="8" w:color="CCEEFF"/>
            </w:tcBorders>
          </w:tcPr>
          <w:p>
            <w:pPr>
              <w:spacing w:after="0"/>
              <w:rPr>
                <w:sz w:val="18"/>
                <w:szCs w:val="18"/>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Pipeline capacity</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Oromia Region, Ethiopia</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In progress</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Crypto</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Q1 2026</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Massillon, Ohio</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148/26</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 progress</w:t>
            </w:r>
          </w:p>
        </w:tc>
        <w:tc>
          <w:tcPr>
            <w:tcW w:w="2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Crypto</w:t>
            </w:r>
          </w:p>
        </w:tc>
        <w:tc>
          <w:tcPr>
            <w:tcW w:w="16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Q2 2026/TBD</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Clarington, Ohio</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In progress</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HPC/AI</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To be updated</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Niles, Ohio</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 progress</w:t>
            </w:r>
          </w:p>
        </w:tc>
        <w:tc>
          <w:tcPr>
            <w:tcW w:w="2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HPC/AI</w:t>
            </w:r>
          </w:p>
        </w:tc>
        <w:tc>
          <w:tcPr>
            <w:tcW w:w="16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Q4 2028</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Rockdale, Texas</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 planning</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Crypto</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Estimate 2026</w:t>
            </w:r>
          </w:p>
        </w:tc>
      </w:tr>
      <w:tr>
        <w:trPr>
          <w:trHeight w:val="23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Alberta, Canada</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planning</w:t>
            </w:r>
          </w:p>
        </w:tc>
        <w:tc>
          <w:tcPr>
            <w:tcW w:w="2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Crypto</w:t>
            </w:r>
          </w:p>
        </w:tc>
        <w:tc>
          <w:tcPr>
            <w:tcW w:w="16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Q2 2027</w:t>
            </w:r>
          </w:p>
        </w:tc>
      </w:tr>
      <w:tr>
        <w:trPr>
          <w:trHeight w:val="210"/>
        </w:trPr>
        <w:tc>
          <w:tcPr>
            <w:tcW w:w="340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pipeline capacity</w:t>
            </w: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1,344</w:t>
            </w:r>
          </w:p>
        </w:tc>
        <w:tc>
          <w:tcPr>
            <w:tcW w:w="220" w:type="dxa"/>
            <w:vAlign w:val="bottom"/>
            <w:tcBorders>
              <w:top w:val="single" w:sz="8" w:color="CCEEFF"/>
              <w:bottom w:val="single" w:sz="8" w:color="CCEEFF"/>
            </w:tcBorders>
          </w:tcPr>
          <w:p>
            <w:pPr>
              <w:spacing w:after="0"/>
              <w:rPr>
                <w:sz w:val="18"/>
                <w:szCs w:val="18"/>
                <w:color w:val="auto"/>
              </w:rPr>
            </w:pPr>
          </w:p>
        </w:tc>
        <w:tc>
          <w:tcPr>
            <w:tcW w:w="18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3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680" w:type="dxa"/>
            <w:vAlign w:val="bottom"/>
            <w:tcBorders>
              <w:top w:val="single" w:sz="8" w:color="CCEEFF"/>
              <w:bottom w:val="single" w:sz="8" w:color="CCEEFF"/>
            </w:tcBorders>
          </w:tcPr>
          <w:p>
            <w:pPr>
              <w:spacing w:after="0"/>
              <w:rPr>
                <w:sz w:val="18"/>
                <w:szCs w:val="18"/>
                <w:color w:val="auto"/>
              </w:rPr>
            </w:pPr>
          </w:p>
        </w:tc>
      </w:tr>
      <w:tr>
        <w:trPr>
          <w:trHeight w:val="223"/>
        </w:trPr>
        <w:tc>
          <w:tcPr>
            <w:tcW w:w="3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global electrical capacity</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3,002</w:t>
            </w:r>
          </w:p>
        </w:tc>
        <w:tc>
          <w:tcPr>
            <w:tcW w:w="22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r>
      <w:tr>
        <w:trPr>
          <w:trHeight w:val="21"/>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74"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Indicative timing for completion of power and data center infrastructure. All timing references are to calendar quarters and years.</w:t>
      </w:r>
    </w:p>
    <w:p>
      <w:pPr>
        <w:spacing w:after="0" w:line="114"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Figures represent total available electrical capacity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Production and Operations Summary:</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January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January</w:t>
            </w:r>
          </w:p>
        </w:tc>
        <w:tc>
          <w:tcPr>
            <w:tcW w:w="0" w:type="dxa"/>
            <w:vAlign w:val="bottom"/>
          </w:tcPr>
          <w:p>
            <w:pPr>
              <w:spacing w:after="0"/>
              <w:rPr>
                <w:sz w:val="1"/>
                <w:szCs w:val="1"/>
                <w:color w:val="auto"/>
              </w:rPr>
            </w:pPr>
          </w:p>
        </w:tc>
      </w:tr>
      <w:tr>
        <w:trPr>
          <w:trHeight w:val="245"/>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Metrics</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Total hash rate under management</w:t>
            </w:r>
            <w:r>
              <w:rPr>
                <w:rFonts w:ascii="Times New Roman" w:cs="Times New Roman" w:eastAsia="Times New Roman" w:hAnsi="Times New Roman"/>
                <w:sz w:val="29"/>
                <w:szCs w:val="29"/>
                <w:b w:val="1"/>
                <w:bCs w:val="1"/>
                <w:color w:val="auto"/>
                <w:vertAlign w:val="superscript"/>
              </w:rPr>
              <w:t>3</w:t>
            </w:r>
            <w:r>
              <w:rPr>
                <w:rFonts w:ascii="Times New Roman" w:cs="Times New Roman" w:eastAsia="Times New Roman" w:hAnsi="Times New Roman"/>
                <w:sz w:val="18"/>
                <w:szCs w:val="18"/>
                <w:b w:val="1"/>
                <w:bCs w:val="1"/>
                <w:color w:val="auto"/>
              </w:rPr>
              <w:t xml:space="preserve"> (EH/s)</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78.1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22.4</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Proprietary hash rate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Self-mining</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Cloud Hash Rate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Delivered but not yet energized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Hosting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Mining rigs under management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314,000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 Self-owned</w:t>
            </w:r>
            <w:r>
              <w:rPr>
                <w:rFonts w:ascii="Times New Roman" w:cs="Times New Roman" w:eastAsia="Times New Roman" w:hAnsi="Times New Roman"/>
                <w:sz w:val="26"/>
                <w:szCs w:val="26"/>
                <w:color w:val="auto"/>
                <w:vertAlign w:val="superscript"/>
              </w:rPr>
              <w:t>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232,000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87,000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Hosted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92,000</w:t>
            </w: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Bitcoins mined (self-mining only)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668</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126</w:t>
            </w:r>
          </w:p>
        </w:tc>
        <w:tc>
          <w:tcPr>
            <w:tcW w:w="0" w:type="dxa"/>
            <w:vAlign w:val="bottom"/>
          </w:tcPr>
          <w:p>
            <w:pPr>
              <w:spacing w:after="0"/>
              <w:rPr>
                <w:sz w:val="1"/>
                <w:szCs w:val="1"/>
                <w:color w:val="auto"/>
              </w:rPr>
            </w:pPr>
          </w:p>
        </w:tc>
      </w:tr>
      <w:tr>
        <w:trPr>
          <w:trHeight w:val="27"/>
        </w:trPr>
        <w:tc>
          <w:tcPr>
            <w:tcW w:w="7320" w:type="dxa"/>
            <w:vAlign w:val="bottom"/>
            <w:gridSpan w:val="2"/>
            <w:vMerge w:val="restart"/>
            <w:shd w:val="clear" w:color="auto" w:fill="CCEEFF"/>
          </w:tcPr>
          <w:p>
            <w:pPr>
              <w:spacing w:after="0" w:line="310" w:lineRule="exact"/>
              <w:rPr>
                <w:sz w:val="20"/>
                <w:szCs w:val="20"/>
                <w:color w:val="auto"/>
              </w:rPr>
            </w:pPr>
            <w:r>
              <w:rPr>
                <w:rFonts w:ascii="Times New Roman" w:cs="Times New Roman" w:eastAsia="Times New Roman" w:hAnsi="Times New Roman"/>
                <w:sz w:val="18"/>
                <w:szCs w:val="18"/>
                <w:b w:val="1"/>
                <w:bCs w:val="1"/>
                <w:color w:val="auto"/>
              </w:rPr>
              <w:t>Bitcoin held</w:t>
            </w:r>
            <w:r>
              <w:rPr>
                <w:rFonts w:ascii="Times New Roman" w:cs="Times New Roman" w:eastAsia="Times New Roman" w:hAnsi="Times New Roman"/>
                <w:sz w:val="29"/>
                <w:szCs w:val="29"/>
                <w:b w:val="1"/>
                <w:bCs w:val="1"/>
                <w:color w:val="auto"/>
                <w:vertAlign w:val="superscript"/>
              </w:rPr>
              <w:t>5</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7320" w:type="dxa"/>
            <w:vAlign w:val="bottom"/>
            <w:gridSpan w:val="2"/>
            <w:vMerge w:val="continue"/>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1,530</w:t>
            </w:r>
          </w:p>
        </w:tc>
        <w:tc>
          <w:tcPr>
            <w:tcW w:w="2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724</w:t>
            </w:r>
          </w:p>
        </w:tc>
        <w:tc>
          <w:tcPr>
            <w:tcW w:w="0" w:type="dxa"/>
            <w:vAlign w:val="bottom"/>
          </w:tcPr>
          <w:p>
            <w:pPr>
              <w:spacing w:after="0"/>
              <w:rPr>
                <w:sz w:val="1"/>
                <w:szCs w:val="1"/>
                <w:color w:val="auto"/>
              </w:rPr>
            </w:pPr>
          </w:p>
        </w:tc>
      </w:tr>
      <w:tr>
        <w:trPr>
          <w:trHeight w:val="21"/>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60" w:hanging="325"/>
        <w:spacing w:after="0"/>
        <w:tabs>
          <w:tab w:leader="none" w:pos="36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Total hash rate under management </w:t>
      </w:r>
      <w:r>
        <w:rPr>
          <w:rFonts w:ascii="Times New Roman" w:cs="Times New Roman" w:eastAsia="Times New Roman" w:hAnsi="Times New Roman"/>
          <w:sz w:val="18"/>
          <w:szCs w:val="18"/>
          <w:color w:val="auto"/>
        </w:rPr>
        <w:t>as of January 31, 2026 across Bitdeer’s primary business lines: Self-mining, Cloud Hash Rate, and Hosting.</w:t>
      </w:r>
    </w:p>
    <w:p>
      <w:pPr>
        <w:spacing w:after="0" w:line="193" w:lineRule="exact"/>
        <w:rPr>
          <w:rFonts w:ascii="Times New Roman" w:cs="Times New Roman" w:eastAsia="Times New Roman" w:hAnsi="Times New Roman"/>
          <w:sz w:val="30"/>
          <w:szCs w:val="30"/>
          <w:color w:val="auto"/>
          <w:vertAlign w:val="superscript"/>
        </w:rPr>
      </w:pPr>
    </w:p>
    <w:p>
      <w:pPr>
        <w:ind w:left="660" w:hanging="328"/>
        <w:spacing w:after="0" w:line="28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Self-mining </w:t>
      </w:r>
      <w:r>
        <w:rPr>
          <w:rFonts w:ascii="Times New Roman" w:cs="Times New Roman" w:eastAsia="Times New Roman" w:hAnsi="Times New Roman"/>
          <w:sz w:val="18"/>
          <w:szCs w:val="18"/>
          <w:color w:val="auto"/>
        </w:rPr>
        <w:t>refers to cryptocurrency mining for Bitdeer’s own account, which allows it to directly capture the high appreciation potential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cryptocurrency.</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Cloud Hash Rate </w:t>
      </w:r>
      <w:r>
        <w:rPr>
          <w:rFonts w:ascii="Times New Roman" w:cs="Times New Roman" w:eastAsia="Times New Roman" w:hAnsi="Times New Roman"/>
          <w:sz w:val="18"/>
          <w:szCs w:val="18"/>
          <w:color w:val="auto"/>
        </w:rPr>
        <w:t>offers hash rate subscription plans and shares mining income with customers under certain arrangements. The Cloud Hash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stated above reflects the contracted hash rate with customers at month-end.</w:t>
      </w:r>
    </w:p>
    <w:p>
      <w:pPr>
        <w:spacing w:after="0" w:line="154"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Hosting </w:t>
      </w:r>
      <w:r>
        <w:rPr>
          <w:rFonts w:ascii="Times New Roman" w:cs="Times New Roman" w:eastAsia="Times New Roman" w:hAnsi="Times New Roman"/>
          <w:sz w:val="18"/>
          <w:szCs w:val="18"/>
          <w:color w:val="auto"/>
        </w:rPr>
        <w:t>encompasses a one-stop mining machine hosting solution including deployment, maintenance, and management services for efficient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cryptocurrency mining.</w:t>
      </w:r>
    </w:p>
    <w:p>
      <w:pPr>
        <w:spacing w:after="0" w:line="7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Self-owned mining machines </w:t>
      </w:r>
      <w:r>
        <w:rPr>
          <w:rFonts w:ascii="Times New Roman" w:cs="Times New Roman" w:eastAsia="Times New Roman" w:hAnsi="Times New Roman"/>
          <w:sz w:val="18"/>
          <w:szCs w:val="18"/>
          <w:color w:val="auto"/>
        </w:rPr>
        <w:t>are for Bitdeer’s self-mining business and Cloud Hash Rate business.</w:t>
      </w:r>
    </w:p>
    <w:p>
      <w:pPr>
        <w:spacing w:after="0" w:line="87"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Bitcoins held </w:t>
      </w:r>
      <w:r>
        <w:rPr>
          <w:rFonts w:ascii="Times New Roman" w:cs="Times New Roman" w:eastAsia="Times New Roman" w:hAnsi="Times New Roman"/>
          <w:sz w:val="18"/>
          <w:szCs w:val="18"/>
          <w:color w:val="auto"/>
        </w:rPr>
        <w:t>do not include the Bitcoins from deposits of the customers, include the Bitcoins that are pledged as collateral.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“Bitdeer has increased its focus on HPC/AI co-location opportunities for several of its larger sites including, but not limited to, Tydal, Norway. This is a high priority for us and the goal is to sign long term leases for these locations as soon as possible.” said Matt Kong, Chief Business Officer of Bitdeer. “In parallel, our self-mining hashrate continues to grow and has exceeded 63 EH/s, a 14% increase over December 2025, and we will continue to deploy more Sealminers in 2026. Furthermore, we have successfully tested our first LTC/Doge miner, the DL1, and its performance exceeded expectations. We plan to officially release the SEALMINER-DL1 in the first quarter of 2026.”</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Infrastructure Construction Update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Tydal, Norway AI data center conversion </w:t>
      </w:r>
      <w:r>
        <w:rPr>
          <w:rFonts w:ascii="Times New Roman" w:cs="Times New Roman" w:eastAsia="Times New Roman" w:hAnsi="Times New Roman"/>
          <w:sz w:val="18"/>
          <w:szCs w:val="18"/>
          <w:color w:val="auto"/>
        </w:rPr>
        <w:t>– Planning and design continue to advance. Orders for critical long-lead equipment have been placed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the targeted project timeline for completion around the end of 2026. Decommissioning of Bitcoin mining rigs has begun to make room for the new AI data center.</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Wenatchee, Washington </w:t>
      </w:r>
      <w:r>
        <w:rPr>
          <w:rFonts w:ascii="Times New Roman" w:cs="Times New Roman" w:eastAsia="Times New Roman" w:hAnsi="Times New Roman"/>
          <w:sz w:val="18"/>
          <w:szCs w:val="18"/>
          <w:color w:val="auto"/>
        </w:rPr>
        <w:t>– AI data center design documents and building permit application were submitted for approval. Orders for long-lead-time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have been placed. Completion targeted for Q4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Knoxville, Tennessee </w:t>
      </w:r>
      <w:r>
        <w:rPr>
          <w:rFonts w:ascii="Times New Roman" w:cs="Times New Roman" w:eastAsia="Times New Roman" w:hAnsi="Times New Roman"/>
          <w:sz w:val="18"/>
          <w:szCs w:val="18"/>
          <w:color w:val="auto"/>
        </w:rPr>
        <w:t>– Phase 1 AI data center conversion design work initiated, targeting to complete by Q4 2026.</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Massillon, Ohio </w:t>
      </w:r>
      <w:r>
        <w:rPr>
          <w:rFonts w:ascii="Times New Roman" w:cs="Times New Roman" w:eastAsia="Times New Roman" w:hAnsi="Times New Roman"/>
          <w:sz w:val="18"/>
          <w:szCs w:val="18"/>
          <w:color w:val="auto"/>
        </w:rPr>
        <w:t>– 47 MW is currently online. Approximately 26 MW in two fire-damaged buildings is expected to be rebuilt and energized by the end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2026. The remaining 148 MW is expected to be energized in phases during Q1 and Q2 2026.</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Clarington, Ohio </w:t>
      </w:r>
      <w:r>
        <w:rPr>
          <w:rFonts w:ascii="Times New Roman" w:cs="Times New Roman" w:eastAsia="Times New Roman" w:hAnsi="Times New Roman"/>
          <w:sz w:val="18"/>
          <w:szCs w:val="18"/>
          <w:color w:val="auto"/>
        </w:rPr>
        <w:t>– 570 MW of power under contract with a local utility. The timing of power availability and construction may be affected by ongoing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proceedings filed by a neighboring company, American Heavy Plate Solutions, LLC. Design and other preparation work continue.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Fox Creek, Alberta </w:t>
      </w:r>
      <w:r>
        <w:rPr>
          <w:rFonts w:ascii="Times New Roman" w:cs="Times New Roman" w:eastAsia="Times New Roman" w:hAnsi="Times New Roman"/>
          <w:sz w:val="18"/>
          <w:szCs w:val="18"/>
          <w:color w:val="auto"/>
        </w:rPr>
        <w:t>– 101 MW site acquired, fully licensed and permitted for the construction of an on-site natural gas power plant. We are assessing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design schemes for the mining site to accommodate potential future AIDC requirements, as the energization date has been targeted for Q2 2027.</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Oromia Region, Ethiopia </w:t>
      </w:r>
      <w:r>
        <w:rPr>
          <w:rFonts w:ascii="Times New Roman" w:cs="Times New Roman" w:eastAsia="Times New Roman" w:hAnsi="Times New Roman"/>
          <w:sz w:val="18"/>
          <w:szCs w:val="18"/>
          <w:color w:val="auto"/>
        </w:rPr>
        <w:t>– Construction of the 60 MW site has been completed, with 20 MW not yet energized and 40 MW undergoing energization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phases driven by SEALMINER deliveries.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Niles, Ohio </w:t>
      </w:r>
      <w:r>
        <w:rPr>
          <w:rFonts w:ascii="Times New Roman" w:cs="Times New Roman" w:eastAsia="Times New Roman" w:hAnsi="Times New Roman"/>
          <w:sz w:val="18"/>
          <w:szCs w:val="18"/>
          <w:color w:val="auto"/>
        </w:rPr>
        <w:t>– 300 MW grid-interconnected development site, with target energization in Q4 2028. The project includes 41.8 acres of owned land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transmission line extension agreement with a local utility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Conferences and Events</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March 2 – 5, 2026: </w:t>
      </w:r>
      <w:r>
        <w:rPr>
          <w:rFonts w:ascii="Times New Roman" w:cs="Times New Roman" w:eastAsia="Times New Roman" w:hAnsi="Times New Roman"/>
          <w:sz w:val="18"/>
          <w:szCs w:val="18"/>
          <w:color w:val="auto"/>
        </w:rPr>
        <w:t>Morgan Stanley Technology, Media &amp; Telecom Conference in San Francisco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March 10 – 11, 2026: </w:t>
      </w:r>
      <w:r>
        <w:rPr>
          <w:rFonts w:ascii="Times New Roman" w:cs="Times New Roman" w:eastAsia="Times New Roman" w:hAnsi="Times New Roman"/>
          <w:sz w:val="18"/>
          <w:szCs w:val="18"/>
          <w:color w:val="auto"/>
        </w:rPr>
        <w:t>2026 Cantor Global Technology &amp; Industrial Growth Conference in New York</w:t>
      </w:r>
    </w:p>
    <w:p>
      <w:pPr>
        <w:spacing w:after="0" w:line="2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 xml:space="preserve">March 22 – 24, 2026: </w:t>
      </w:r>
      <w:r>
        <w:rPr>
          <w:rFonts w:ascii="Times New Roman" w:cs="Times New Roman" w:eastAsia="Times New Roman" w:hAnsi="Times New Roman"/>
          <w:sz w:val="18"/>
          <w:szCs w:val="18"/>
          <w:color w:val="auto"/>
        </w:rPr>
        <w:t>38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Roth Conference in Laguna Niguel, CA</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Bitdeer is a world-leading technology company for Bitcoin mining and AI infrastructure. Bitdeer is committed to providing comprehensive Bitcoin mining solutions for its customers. Bitdeer handles complex processes involved in computing such as equipment procurement, transport logistics, data center design and construction, equipment management, and daily operations. Bitdeer also offers advanced cloud capabilities to customers with high demand for artificial intelligence. Headquartered in Singapore, Bitdeer has deployed data centers in the United States, Norway, and Bhutan, amongst other countries. To learn more, visit https://ir.bitdeer.com/ or follow Bitdeer on X @ BitdeerOfficial and LinkedIn @ Bitdeer Group.</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the social media and other communication channels listed on its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Ragozzino, CFA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bitdeer.ir@icrinc.com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Elev8 New 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Starman, MBA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bitdeer@elev8newmedia.com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bitdeer@blocksbridge.com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lvl w:ilvl="1">
      <w:lvlJc w:val="left"/>
      <w:lvlText w:val="●"/>
      <w:numFmt w:val="bullet"/>
      <w:start w:val="1"/>
    </w:lvl>
  </w:abstractNum>
  <w:abstractNum w:abstractNumId="7">
    <w:nsid w:val="5BD062C2"/>
    <w:multiLevelType w:val="hybridMultilevel"/>
    <w:lvl w:ilvl="0">
      <w:lvlJc w:val="left"/>
      <w:lvlText w:val="4"/>
      <w:numFmt w:val="bullet"/>
      <w:start w:val="1"/>
    </w:lvl>
  </w:abstractNum>
  <w:abstractNum w:abstractNumId="8">
    <w:nsid w:val="12200854"/>
    <w:multiLevelType w:val="hybridMultilevel"/>
    <w:lvl w:ilvl="0">
      <w:lvlJc w:val="left"/>
      <w:lvlText w:val="5"/>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2026-02-10T07:38:16Z</dcterms:created>
  <dcterms:modified xsi:type="dcterms:W3CDTF">2026-02-10T07:38:16Z</dcterms:modified>
</cp:coreProperties>
</file>