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Legal Department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17th Floor, Aperia Tower 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08 Kallang Avenue, U0, 339509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65-8350-6351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Shinning Stone Invest Co., Ltd.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9,402,764.00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9,402,764.00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9,402,764.00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(1) Represents 9,402,764 Class A ordinary shares, par value US$0.0000001 per share, directly held by Shinning Stone Invest Co., Ltd. ("Shinning Stone"). Shinning Stone is a British Virgin Islands company wholly owned by Mr. Zhaofeng Zhao. Mr. Zhao is also the sole director of Shinning Stone. (2) The percentage of Class A ordinary shares</w:t>
      </w:r>
    </w:p>
    <w:p>
      <w:pPr>
        <w:spacing w:after="0" w:line="1" w:lineRule="exact"/>
        <w:rPr>
          <w:sz w:val="20"/>
          <w:szCs w:val="20"/>
          <w:color w:val="auto"/>
        </w:rPr>
      </w:pPr>
    </w:p>
    <w:p>
      <w:pPr>
        <w:sectPr>
          <w:pgSz w:w="11900" w:h="16838" w:orient="portrait"/>
          <w:cols w:equalWidth="0" w:num="2">
            <w:col w:w="820" w:space="100"/>
            <w:col w:w="10320"/>
          </w:cols>
          <w:pgMar w:left="320" w:top="126"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beneficially owned is based on a total of 191,152,162 Class A ordinary shares of the Issuer outstanding as of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December 31, 2025, as reported in the Issuer's prospectus supplement filed with the Securities and Exchange</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Commission on February 23, 2026 (Registration No. 333-283732) (the "Prospectus Supplement").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Zhaofeng Zhao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9,402,764.00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9,402,764.00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9,402,764.00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Represents 9,402,764 Class A ordinary shares, par value US$0.0000001 per share, directly held by Shinning Stone,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w w:val="98"/>
              </w:rPr>
              <w:t>a British Virgin Islands company wholly owned by Mr. Zhaofeng Zhao. Mr. Zhao is also the sole director of Shinning</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Stone. (2) The percentage of Class A ordinary shares beneficially owned is based on a total of 191,152,162 Class A</w:t>
            </w:r>
          </w:p>
        </w:tc>
      </w:tr>
    </w:tbl>
    <w:p>
      <w:pPr>
        <w:spacing w:after="0" w:line="184" w:lineRule="auto"/>
        <w:rPr>
          <w:sz w:val="20"/>
          <w:szCs w:val="20"/>
          <w:color w:val="auto"/>
        </w:rPr>
      </w:pPr>
      <w:r>
        <w:rPr>
          <w:rFonts w:ascii="Times New Roman" w:cs="Times New Roman" w:eastAsia="Times New Roman" w:hAnsi="Times New Roman"/>
          <w:sz w:val="26"/>
          <w:szCs w:val="26"/>
          <w:b w:val="1"/>
          <w:bCs w:val="1"/>
          <w:color w:val="auto"/>
          <w:vertAlign w:val="superscript"/>
        </w:rPr>
        <w:t>Reporting</w:t>
      </w:r>
      <w:r>
        <w:rPr>
          <w:rFonts w:ascii="Times New Roman" w:cs="Times New Roman" w:eastAsia="Times New Roman" w:hAnsi="Times New Roman"/>
          <w:sz w:val="16"/>
          <w:szCs w:val="16"/>
          <w:color w:val="auto"/>
        </w:rPr>
        <w:t xml:space="preserve"> ordinary shares of the Issuer outstanding as of December 31, 2025, as reported in the Prospectus Supplement.</w:t>
      </w:r>
    </w:p>
    <w:p>
      <w:pPr>
        <w:spacing w:after="0"/>
        <w:rPr>
          <w:sz w:val="20"/>
          <w:szCs w:val="20"/>
          <w:color w:val="auto"/>
        </w:rPr>
      </w:pPr>
      <w:r>
        <w:rPr>
          <w:rFonts w:ascii="Times New Roman" w:cs="Times New Roman" w:eastAsia="Times New Roman" w:hAnsi="Times New Roman"/>
          <w:sz w:val="19"/>
          <w:szCs w:val="19"/>
          <w:b w:val="1"/>
          <w:bCs w:val="1"/>
          <w:color w:val="auto"/>
        </w:rPr>
        <w:t>Person: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$0.0000001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Bitdeer Technologies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08 Kallang Avenue, Aperia tower 1, #09-03/04, Singapore, SINGAPORE , 339509.</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relates to Class A ordinary shares, par value US$0.0000001 per share, of</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Bitdeer Technologies Group, an exempted company incorporated in the Cayman Islands (the "Issuer"), and amends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initial statement on Schedule 13D filed by the Reporting Persons on May 31, 2023 (the "Initial Statement"), as amended by Amendment No. 1 thereto filed on March 27, 2024 (as amended, the "Schedule 13D"). Capitalized terms used but not defined herein shall have the meanings ascribed to them in the Schedule 13D. Except as specifically</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amended hereby, the Schedule 13D remains in full force and effect.</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400"/>
        <w:spacing w:after="0" w:line="256" w:lineRule="auto"/>
        <w:rPr>
          <w:sz w:val="20"/>
          <w:szCs w:val="20"/>
          <w:color w:val="auto"/>
        </w:rPr>
      </w:pPr>
      <w:r>
        <w:rPr>
          <w:rFonts w:ascii="Times New Roman" w:cs="Times New Roman" w:eastAsia="Times New Roman" w:hAnsi="Times New Roman"/>
          <w:sz w:val="22"/>
          <w:szCs w:val="22"/>
          <w:color w:val="auto"/>
        </w:rPr>
        <w:t>Not applicable. No funds were received or used by the Reporting Persons in connection with the transfer of shares reported herein.</w:t>
      </w: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180"/>
        <w:spacing w:after="0" w:line="239" w:lineRule="auto"/>
        <w:rPr>
          <w:sz w:val="20"/>
          <w:szCs w:val="20"/>
          <w:color w:val="auto"/>
        </w:rPr>
      </w:pPr>
      <w:r>
        <w:rPr>
          <w:rFonts w:ascii="Times New Roman" w:cs="Times New Roman" w:eastAsia="Times New Roman" w:hAnsi="Times New Roman"/>
          <w:sz w:val="22"/>
          <w:szCs w:val="22"/>
          <w:color w:val="auto"/>
        </w:rPr>
        <w:t>On April 17, 2026, Shinning Stone transferred 5,500,000 Class A ordinary shares to Amazing Radiant Limited in a private transaction for no consideration in connection with estate planning by Mr. Zhaofeng Zhao. Other than as described herein and in the Schedule 13D, the Reporting Persons do not have any plans or proposals that relate to, or would result in, any of the actions described in subparagraphs (a) through (j) of Item 4 of Schedule 13D.</w:t>
      </w:r>
    </w:p>
    <w:p>
      <w:pPr>
        <w:sectPr>
          <w:pgSz w:w="11900" w:h="16913" w:orient="portrait"/>
          <w:cols w:equalWidth="0" w:num="1">
            <w:col w:w="11240"/>
          </w:cols>
          <w:pgMar w:left="320" w:top="612" w:right="33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Reporting Person - Shinning Stone Invest Co., Ltd. Amount of shares beneficially owned: 9,402,764 Percent of class</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 ordinary shares(1): 4.92% Percent of ordinary shares(2): 3.99% Percent of aggregate Voting power(3): 1.48%</w:t>
      </w:r>
    </w:p>
    <w:p>
      <w:pPr>
        <w:ind w:left="920" w:right="140"/>
        <w:spacing w:after="0" w:line="241" w:lineRule="auto"/>
        <w:rPr>
          <w:sz w:val="20"/>
          <w:szCs w:val="20"/>
          <w:color w:val="auto"/>
        </w:rPr>
      </w:pPr>
      <w:r>
        <w:rPr>
          <w:rFonts w:ascii="Times New Roman" w:cs="Times New Roman" w:eastAsia="Times New Roman" w:hAnsi="Times New Roman"/>
          <w:sz w:val="21"/>
          <w:szCs w:val="21"/>
          <w:color w:val="auto"/>
        </w:rPr>
        <w:t>Reporting Person - Zhaofeng Zhao Amount of shares beneficially owned: 9,402,764 Percent of class A ordinary shares(1): 4.92% Percent of ordinary shares(2): 3.99% Percent of aggregate Voting power(3): 1.48% (1) The percentage of Class A ordinary shares beneficially owned is based on a total of 191,152,162 Class A ordinary shares of the Issuer outstanding as of December 31, 2025, as reported in the Prospectus Supplement. (2) The percentage of</w:t>
      </w:r>
    </w:p>
    <w:p>
      <w:pPr>
        <w:spacing w:after="0" w:line="2" w:lineRule="exact"/>
        <w:rPr>
          <w:sz w:val="20"/>
          <w:szCs w:val="20"/>
          <w:color w:val="auto"/>
        </w:rPr>
      </w:pPr>
    </w:p>
    <w:p>
      <w:pPr>
        <w:ind w:left="920" w:right="80" w:hanging="912"/>
        <w:spacing w:after="0" w:line="241" w:lineRule="auto"/>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ordinary shares beneficially owned is based on a total of 235,552,084 ordinary shares outstanding of the Issuer (including 191,152,162 Class A ordinary shares and 44,399,922 Class V ordinary shares) as of December 31, 2025, as reported in the Prospectus Supplement. (3) The percentage of aggregate voting power is calculated by dividing the voting power of the Class A ordinary shares beneficially owned by each Reporting Person by the total voting power of all ordinary shares of the Issuer, based on 191,152,162 Class A ordinary shares (one vote per share) and</w:t>
      </w:r>
    </w:p>
    <w:p>
      <w:pPr>
        <w:spacing w:after="0" w:line="2" w:lineRule="exact"/>
        <w:rPr>
          <w:rFonts w:ascii="Times New Roman" w:cs="Times New Roman" w:eastAsia="Times New Roman" w:hAnsi="Times New Roman"/>
          <w:sz w:val="21"/>
          <w:szCs w:val="21"/>
          <w:color w:val="auto"/>
        </w:rPr>
      </w:pPr>
    </w:p>
    <w:p>
      <w:pPr>
        <w:ind w:left="920" w:right="44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44,399,922 Class V ordinary shares (ten votes per share) outstanding as of December 31, 2025, as reported in the Prospectus Supplement.</w:t>
      </w:r>
    </w:p>
    <w:p>
      <w:pPr>
        <w:spacing w:after="0" w:line="16"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Reporting Person - Shinning Stone Invest Co., Ltd. Sole power to Vote or direct the vote: 9,402,764 Shared power to</w:t>
      </w:r>
    </w:p>
    <w:p>
      <w:pPr>
        <w:spacing w:after="0" w:line="25"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vote or to direct the vote: 0 Sole power to dispose or to direct the disposition of: 9,402,764 Shared power to dispose</w:t>
      </w: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to direct the disposition of: 0 Reporting Person - Zhaofeng Zhao Sole power to Vote or direct the vote: 9,402,764</w:t>
      </w:r>
    </w:p>
    <w:p>
      <w:pPr>
        <w:ind w:left="9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 Sole power to dispose or to direct the disposition of: 9,402,764 Shared</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dispose or to direct the disposition of: 0</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April 17, 2026, Shinning Stone Invest Co., Ltd. transferred 5,500,000 Class A ordinary shares, par value</w:t>
      </w:r>
    </w:p>
    <w:p>
      <w:pPr>
        <w:spacing w:after="0" w:line="14" w:lineRule="exact"/>
        <w:rPr>
          <w:rFonts w:ascii="Times New Roman" w:cs="Times New Roman" w:eastAsia="Times New Roman" w:hAnsi="Times New Roman"/>
          <w:sz w:val="22"/>
          <w:szCs w:val="22"/>
          <w:color w:val="auto"/>
        </w:rPr>
      </w:pPr>
    </w:p>
    <w:p>
      <w:pPr>
        <w:ind w:left="9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US$0.0000001 per share, of the Issuer to Amazing Radiant Limited, a company incorporated under the laws of the</w:t>
      </w:r>
    </w:p>
    <w:p>
      <w:pPr>
        <w:ind w:left="920" w:right="20" w:hanging="912"/>
        <w:spacing w:after="0" w:line="235"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British Virgin Islands, in a private transaction for no consideration. No brokerage commissions were paid in connection with the transfer. Other than the foregoing, no transactions in the Class A ordinary shares were effected by the Reporting Persons during the past 60 days.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April 17, 2026, the Reporting Persons ceased to be the beneficial owners of more than 5% of the outstanding Class A ordinary shares of the Issuer.</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99.1 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Shinning Stone Invest Co., Ltd.</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Zhaofeng Zhao</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Zhaofeng Zhao/Director</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Zhaofeng Zhao</w:t>
      </w:r>
    </w:p>
    <w:p>
      <w:pPr>
        <w:spacing w:after="0" w:line="152"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Zhaofeng Zhao</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Zhaofeng Zhao</w:t>
      </w:r>
    </w:p>
    <w:p>
      <w:pPr>
        <w:spacing w:after="0" w:line="44" w:lineRule="exact"/>
        <w:rPr>
          <w:sz w:val="20"/>
          <w:szCs w:val="20"/>
          <w:color w:val="auto"/>
        </w:rPr>
      </w:pPr>
    </w:p>
    <w:p>
      <w:pPr>
        <w:ind w:left="288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ectPr>
          <w:pgSz w:w="11900" w:h="16838" w:orient="portrait"/>
          <w:cols w:equalWidth="0" w:num="1">
            <w:col w:w="11140"/>
          </w:cols>
          <w:pgMar w:left="360" w:top="153"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with respect to the class A ordinary shares, par value $0.0000001 per share, of Bitdeer Technologies Group,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April 20,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Shinning Stone Invest Co., Ltd.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Zhaofeng Zhao</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Zhaofeng Zhao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Zhaofeng Zhao</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Zhaofeng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5"/>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2026-04-20T15:07:11Z</dcterms:created>
  <dcterms:modified xsi:type="dcterms:W3CDTF">2026-04-20T15:07:11Z</dcterms:modified>
</cp:coreProperties>
</file>