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2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16" w:right="6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38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380" w:type="dxa"/>
            <w:vAlign w:val="bottom"/>
          </w:tcPr>
          <w:p>
            <w:pPr>
              <w:spacing w:after="0"/>
              <w:rPr>
                <w:sz w:val="20"/>
                <w:szCs w:val="20"/>
                <w:color w:val="auto"/>
              </w:rPr>
            </w:pPr>
          </w:p>
        </w:tc>
      </w:tr>
      <w:tr>
        <w:trPr>
          <w:trHeight w:val="196"/>
        </w:trPr>
        <w:tc>
          <w:tcPr>
            <w:tcW w:w="8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8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Press Release – Bitdeer Announces January 2025 Production and Operations Update</w:t>
            </w:r>
          </w:p>
        </w:tc>
      </w:tr>
      <w:tr>
        <w:trPr>
          <w:trHeight w:val="398"/>
        </w:trPr>
        <w:tc>
          <w:tcPr>
            <w:tcW w:w="32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03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January 2025 Production and Operations Update</w:t>
      </w:r>
    </w:p>
    <w:p>
      <w:pPr>
        <w:spacing w:after="0" w:line="229" w:lineRule="exact"/>
        <w:rPr>
          <w:sz w:val="20"/>
          <w:szCs w:val="20"/>
          <w:color w:val="auto"/>
        </w:rPr>
      </w:pPr>
    </w:p>
    <w:p>
      <w:pPr>
        <w:ind w:left="1460" w:hanging="107"/>
        <w:spacing w:after="0"/>
        <w:tabs>
          <w:tab w:leader="none" w:pos="14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trial batch of SEALMINER A2 air cooled rigs have been delivered to our datacenters and are running smoothly.</w:t>
      </w:r>
    </w:p>
    <w:p>
      <w:pPr>
        <w:spacing w:after="0" w:line="27" w:lineRule="exact"/>
        <w:rPr>
          <w:rFonts w:ascii="Times New Roman" w:cs="Times New Roman" w:eastAsia="Times New Roman" w:hAnsi="Times New Roman"/>
          <w:sz w:val="18"/>
          <w:szCs w:val="18"/>
          <w:color w:val="auto"/>
        </w:rPr>
      </w:pPr>
    </w:p>
    <w:p>
      <w:pPr>
        <w:ind w:left="120" w:hanging="103"/>
        <w:spacing w:after="0"/>
        <w:tabs>
          <w:tab w:leader="none" w:pos="1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acquisition of 101 MW site and gas-fired power plant project in Alberta to deliver the industry’s first fully vertically-integrated Bitcoin mining</w:t>
      </w:r>
    </w:p>
    <w:p>
      <w:pPr>
        <w:spacing w:after="0" w:line="20" w:lineRule="exact"/>
        <w:rPr>
          <w:rFonts w:ascii="Times New Roman" w:cs="Times New Roman" w:eastAsia="Times New Roman" w:hAnsi="Times New Roman"/>
          <w:sz w:val="17"/>
          <w:szCs w:val="17"/>
          <w:color w:val="auto"/>
        </w:rPr>
      </w:pPr>
    </w:p>
    <w:p>
      <w:pPr>
        <w:ind w:left="5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site.</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February 12, 2025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blockchain and high-performance computing, today announced its unaudited mining and operations updates for January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340" w:right="740" w:hanging="251"/>
        <w:spacing w:after="0" w:line="263"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Self-mined Bitcoin: </w:t>
      </w:r>
      <w:r>
        <w:rPr>
          <w:rFonts w:ascii="Times New Roman" w:cs="Times New Roman" w:eastAsia="Times New Roman" w:hAnsi="Times New Roman"/>
          <w:sz w:val="18"/>
          <w:szCs w:val="18"/>
          <w:color w:val="auto"/>
        </w:rPr>
        <w:t>126 Bitcoins, down from the previous month due to temporary curtailments at our Bhutan site related to higher seasonal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electricity prices.</w:t>
      </w:r>
    </w:p>
    <w:p>
      <w:pPr>
        <w:ind w:left="340" w:hanging="25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Rig Manufacturing and R&amp;D:</w:t>
      </w:r>
    </w:p>
    <w:p>
      <w:pPr>
        <w:spacing w:after="0" w:line="9" w:lineRule="exact"/>
        <w:rPr>
          <w:sz w:val="20"/>
          <w:szCs w:val="20"/>
          <w:color w:val="auto"/>
        </w:rPr>
      </w:pPr>
    </w:p>
    <w:p>
      <w:pPr>
        <w:ind w:left="660" w:hanging="24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A1:</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Mass production of approximately 3.7 EH/s of mining rigs remains on track with 0.4 EH/s powered on, 0.5 EH/s delivered for installation, 0.4</w:t>
      </w:r>
    </w:p>
    <w:p>
      <w:pPr>
        <w:spacing w:after="0" w:line="9" w:lineRule="exact"/>
        <w:rPr>
          <w:rFonts w:ascii="Times New Roman" w:cs="Times New Roman" w:eastAsia="Times New Roman" w:hAnsi="Times New Roman"/>
          <w:sz w:val="18"/>
          <w:szCs w:val="18"/>
          <w:color w:val="auto"/>
        </w:rPr>
      </w:pPr>
    </w:p>
    <w:p>
      <w:pPr>
        <w:ind w:left="900" w:righ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EH/s in-transit to datacenters and 2.4 EH/s in production. The manufacture of SEALMINER A1 is now expected to be completed at end of February or early March 2025.</w:t>
      </w:r>
    </w:p>
    <w:p>
      <w:pPr>
        <w:ind w:left="660" w:hanging="24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A2:</w:t>
      </w:r>
    </w:p>
    <w:p>
      <w:pPr>
        <w:spacing w:after="0" w:line="9" w:lineRule="exact"/>
        <w:rPr>
          <w:rFonts w:ascii="Times New Roman" w:cs="Times New Roman" w:eastAsia="Times New Roman" w:hAnsi="Times New Roman"/>
          <w:sz w:val="18"/>
          <w:szCs w:val="18"/>
          <w:color w:val="auto"/>
        </w:rPr>
      </w:pPr>
    </w:p>
    <w:p>
      <w:pPr>
        <w:ind w:left="900" w:right="620" w:hanging="2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Production of approximately 35 EH/s of mining rigs through October 2025, delayed by approximately one month due to 6.4 magnitude earthquake that struck Taiwan on January 21, 2025.</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First trial batch of air cooled rigs have been delivered to our mining datacenters for testing and are running stably.</w:t>
      </w:r>
    </w:p>
    <w:p>
      <w:pPr>
        <w:spacing w:after="0" w:line="9" w:lineRule="exact"/>
        <w:rPr>
          <w:rFonts w:ascii="Times New Roman" w:cs="Times New Roman" w:eastAsia="Times New Roman" w:hAnsi="Times New Roman"/>
          <w:sz w:val="18"/>
          <w:szCs w:val="18"/>
          <w:color w:val="auto"/>
        </w:rPr>
      </w:pPr>
    </w:p>
    <w:p>
      <w:pPr>
        <w:ind w:left="900" w:right="80" w:hanging="24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~29,000 units (~7 EH/s out of the 35 EH/s) of SEALMINER A2s allocated for external sales are expected to begin shipment in March through Q2 2025.</w:t>
      </w:r>
    </w:p>
    <w:p>
      <w:pPr>
        <w:ind w:left="660" w:hanging="24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A3:</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SEAL03 initial tape-out sample wafers with an expected chip efficiency of approximately 10 J/TH are expected in Q1 2025.</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A4:</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SEAL04 R&amp;D remains on track to achieve an expected chip efficiency of approximately 5 J/TH with anticipated initial tape-out in Q3 2025.</w:t>
      </w:r>
    </w:p>
    <w:p>
      <w:pPr>
        <w:spacing w:after="0" w:line="9" w:lineRule="exact"/>
        <w:rPr>
          <w:rFonts w:ascii="Times New Roman" w:cs="Times New Roman" w:eastAsia="Times New Roman" w:hAnsi="Times New Roman"/>
          <w:sz w:val="18"/>
          <w:szCs w:val="18"/>
          <w:color w:val="auto"/>
        </w:rPr>
      </w:pPr>
    </w:p>
    <w:p>
      <w:pPr>
        <w:ind w:left="660" w:right="20" w:hanging="247"/>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Bureau of Industry and Security (“BIS”) of the U.S. Department of Commerce published a rule entitled “Implementation of Additional Due Diligence Measures for Advanced Computing Integrated Circuits”, in January 2025 (the “BIS Rules”). Based on preliminary review, the Company does not expect that the application of the BIS Rules will have any impact on the delivery of SEAL chips, as the outsourced semiconductor assembly and test (“OSAT”) companies for SEAL chips are Approved “OSAT” companies under BIS regulations.</w:t>
      </w:r>
    </w:p>
    <w:p>
      <w:pPr>
        <w:spacing w:after="0" w:line="1"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HPC/AI:</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are ongoing with multiple development partners and potential end users for select large scale sites in U.S. for HPC/AI.</w:t>
      </w:r>
    </w:p>
    <w:p>
      <w:pPr>
        <w:spacing w:after="0" w:line="9" w:lineRule="exact"/>
        <w:rPr>
          <w:rFonts w:ascii="Times New Roman" w:cs="Times New Roman" w:eastAsia="Times New Roman" w:hAnsi="Times New Roman"/>
          <w:sz w:val="18"/>
          <w:szCs w:val="18"/>
          <w:color w:val="auto"/>
        </w:rPr>
      </w:pPr>
    </w:p>
    <w:p>
      <w:pPr>
        <w:jc w:val="both"/>
        <w:ind w:left="660" w:right="440" w:hanging="247"/>
        <w:spacing w:after="0" w:line="25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AI Cloud, powered by NVIDIA DGX SuperPOD with H100, saw its average utilization rate drop to ~60% in January 2025 due to an initial shift toward R&amp;D in model inference and AI Agents. In the short term, some DGX H100 systems will be allocated to deploying open-source models like DeepSeek, Llama, and Qwen, enhancing API support for AI Agents, optimizing platform services, and advancing related R&amp;D.</w:t>
      </w:r>
    </w:p>
    <w:p>
      <w:pPr>
        <w:spacing w:after="0" w:line="1"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w:t>
      </w:r>
    </w:p>
    <w:p>
      <w:pPr>
        <w:spacing w:after="0" w:line="9" w:lineRule="exact"/>
        <w:rPr>
          <w:rFonts w:ascii="Times New Roman" w:cs="Times New Roman" w:eastAsia="Times New Roman" w:hAnsi="Times New Roman"/>
          <w:sz w:val="18"/>
          <w:szCs w:val="18"/>
          <w:color w:val="auto"/>
        </w:rPr>
      </w:pPr>
    </w:p>
    <w:p>
      <w:pPr>
        <w:ind w:left="660" w:right="20" w:hanging="247"/>
        <w:spacing w:after="0" w:line="260"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Client-hosted machines increased by 2,000 units and overall hashrate increased by 0.5 EH/s as customers are replacing older mining rigs with high efficiency 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left="340" w:hanging="251"/>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p>
    <w:p>
      <w:pPr>
        <w:spacing w:after="0" w:line="31" w:lineRule="exact"/>
        <w:rPr>
          <w:sz w:val="20"/>
          <w:szCs w:val="20"/>
          <w:color w:val="auto"/>
        </w:rPr>
      </w:pPr>
    </w:p>
    <w:p>
      <w:pPr>
        <w:ind w:left="660" w:right="480" w:hanging="247"/>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Norway, 40 MW phase 1 expansion has completed installation of transformers, with delivery and installation of electrical equipment currently in progress. The energization application has entered into the fast track for final regulatory approval.</w:t>
      </w:r>
    </w:p>
    <w:p>
      <w:pPr>
        <w:ind w:left="660" w:hanging="247"/>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Rockdale, Texas, USA, 100 MW hydro-cooling conversion is on track for phased completion during Q1 2025.</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Clarington Phase 2, Ohio, USA, 304 MW is still pending approval and in negotiation with the landlord.</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Jigmeling, Bhutan, 500 MW construction is on track with the primary substation expected to be completed by Q1 2025.</w:t>
      </w:r>
    </w:p>
    <w:p>
      <w:pPr>
        <w:spacing w:after="0" w:line="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Fox Creek, Alberta, 101 MW gas-fired power plant and 99 MW datacenter of capacity for Bitcoin mining planned for energization in Q4 2026.</w:t>
      </w:r>
    </w:p>
    <w:p>
      <w:pPr>
        <w:spacing w:after="0" w:line="9"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Financing:</w:t>
      </w:r>
    </w:p>
    <w:p>
      <w:pPr>
        <w:spacing w:after="0" w:line="9" w:lineRule="exact"/>
        <w:rPr>
          <w:rFonts w:ascii="Times New Roman" w:cs="Times New Roman" w:eastAsia="Times New Roman" w:hAnsi="Times New Roman"/>
          <w:sz w:val="18"/>
          <w:szCs w:val="18"/>
          <w:color w:val="auto"/>
        </w:rPr>
      </w:pPr>
    </w:p>
    <w:p>
      <w:pPr>
        <w:ind w:left="660" w:right="120" w:hanging="247"/>
        <w:spacing w:after="0" w:line="26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executed a $17M supply chain financing facility with a 10.2% interest rate with a Singapore financial institution and completed the drawdown of facility in January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strategic acquisition of the 101 MW site near Fox Creek, Alberta and gas-fired power plant project marks a significant step in our strategy to become a fully-vertically integrated Bitcoin miner,” stated Matt Kong, Chief Business Officer of Bitdeer. “By combining our own power generation, SEALMINER mining machines and opportunistic grid participation, we believe this site will set a new benchmark for industry unit economics.”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Mr. Kong continued, “In terms of our ASICs roadmap, mass production of our SEALMINER A1s remain on schedule. SEALMINER A2s were slightly impacted by the 6.4 magnitude earthquake in Taiwan on January 21, 2025, and its mass production in H2 is expected to delay about one month. However, the first trial batch of SEALMINER A2 air cooled models have been delivered to our own datacenters for testing and are running smoothly. Further, we expect the initial tape-out sample wafers of our SEAL03 chip to be ready in March for testing. SEAL03 is expected to be the most advanced and energy-efficient Bitcoin mining chip on the market and represents a significant achievement for Bitdeer and the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p>
      <w:pPr>
        <w:spacing w:after="0" w:line="227" w:lineRule="exact"/>
        <w:rPr>
          <w:sz w:val="20"/>
          <w:szCs w:val="20"/>
          <w:color w:val="auto"/>
        </w:rPr>
      </w:pPr>
    </w:p>
    <w:tbl>
      <w:tblPr>
        <w:tblLayout w:type="fixed"/>
        <w:tblInd w:w="115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202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Jan 2025</w:t>
            </w:r>
          </w:p>
        </w:tc>
        <w:tc>
          <w:tcPr>
            <w:tcW w:w="202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Dec 2024</w:t>
            </w:r>
          </w:p>
        </w:tc>
        <w:tc>
          <w:tcPr>
            <w:tcW w:w="204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Nov 2024</w:t>
            </w:r>
          </w:p>
        </w:tc>
        <w:tc>
          <w:tcPr>
            <w:tcW w:w="0" w:type="dxa"/>
            <w:vAlign w:val="bottom"/>
          </w:tcPr>
          <w:p>
            <w:pPr>
              <w:spacing w:after="0"/>
              <w:rPr>
                <w:sz w:val="1"/>
                <w:szCs w:val="1"/>
                <w:color w:val="auto"/>
              </w:rPr>
            </w:pPr>
          </w:p>
        </w:tc>
      </w:tr>
      <w:tr>
        <w:trPr>
          <w:trHeight w:val="194"/>
        </w:trPr>
        <w:tc>
          <w:tcPr>
            <w:tcW w:w="2900" w:type="dxa"/>
            <w:vAlign w:val="bottom"/>
            <w:tcBorders>
              <w:left w:val="single" w:sz="8" w:color="auto"/>
              <w:right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4"/>
                <w:szCs w:val="14"/>
                <w:b w:val="1"/>
                <w:bCs w:val="1"/>
                <w:color w:val="auto"/>
              </w:rPr>
              <w:t>Total hash rate under management</w:t>
            </w:r>
            <w:r>
              <w:rPr>
                <w:rFonts w:ascii="Times New Roman" w:cs="Times New Roman" w:eastAsia="Times New Roman" w:hAnsi="Times New Roman"/>
                <w:sz w:val="22"/>
                <w:szCs w:val="22"/>
                <w:b w:val="1"/>
                <w:bCs w:val="1"/>
                <w:color w:val="auto"/>
                <w:vertAlign w:val="superscript"/>
              </w:rPr>
              <w:t>1</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22.4</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21.6</w:t>
            </w:r>
          </w:p>
        </w:tc>
        <w:tc>
          <w:tcPr>
            <w:tcW w:w="20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20.7</w:t>
            </w:r>
          </w:p>
        </w:tc>
        <w:tc>
          <w:tcPr>
            <w:tcW w:w="0" w:type="dxa"/>
            <w:vAlign w:val="bottom"/>
          </w:tcPr>
          <w:p>
            <w:pPr>
              <w:spacing w:after="0"/>
              <w:rPr>
                <w:sz w:val="1"/>
                <w:szCs w:val="1"/>
                <w:color w:val="auto"/>
              </w:rPr>
            </w:pPr>
          </w:p>
        </w:tc>
      </w:tr>
      <w:tr>
        <w:trPr>
          <w:trHeight w:val="130"/>
        </w:trPr>
        <w:tc>
          <w:tcPr>
            <w:tcW w:w="290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(EH/s)</w:t>
            </w: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20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2020" w:type="dxa"/>
            <w:vAlign w:val="bottom"/>
            <w:tcBorders>
              <w:bottom w:val="single" w:sz="8" w:color="auto"/>
              <w:right w:val="single" w:sz="8" w:color="auto"/>
            </w:tcBorders>
            <w:shd w:val="clear" w:color="auto" w:fill="CCEEFF"/>
          </w:tcPr>
          <w:p>
            <w:pPr>
              <w:spacing w:after="0"/>
              <w:rPr>
                <w:sz w:val="10"/>
                <w:szCs w:val="10"/>
                <w:color w:val="auto"/>
              </w:rPr>
            </w:pPr>
          </w:p>
        </w:tc>
        <w:tc>
          <w:tcPr>
            <w:tcW w:w="2020" w:type="dxa"/>
            <w:vAlign w:val="bottom"/>
            <w:tcBorders>
              <w:bottom w:val="single" w:sz="8" w:color="auto"/>
              <w:right w:val="single" w:sz="8" w:color="auto"/>
            </w:tcBorders>
            <w:shd w:val="clear" w:color="auto" w:fill="CCEEFF"/>
          </w:tcPr>
          <w:p>
            <w:pPr>
              <w:spacing w:after="0"/>
              <w:rPr>
                <w:sz w:val="10"/>
                <w:szCs w:val="10"/>
                <w:color w:val="auto"/>
              </w:rPr>
            </w:pPr>
          </w:p>
        </w:tc>
        <w:tc>
          <w:tcPr>
            <w:tcW w:w="20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Proprietary hash rate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8.9</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Self-mining</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8.7</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 Cloud Hash Rate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Delivered but not hashing</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Hosting</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12.7</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4"/>
        </w:trPr>
        <w:tc>
          <w:tcPr>
            <w:tcW w:w="2900" w:type="dxa"/>
            <w:vAlign w:val="bottom"/>
            <w:tcBorders>
              <w:left w:val="single" w:sz="8" w:color="auto"/>
              <w:right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Mining machines under</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179,000</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175,000</w:t>
            </w:r>
          </w:p>
        </w:tc>
        <w:tc>
          <w:tcPr>
            <w:tcW w:w="20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178,000</w:t>
            </w:r>
          </w:p>
        </w:tc>
        <w:tc>
          <w:tcPr>
            <w:tcW w:w="0" w:type="dxa"/>
            <w:vAlign w:val="bottom"/>
          </w:tcPr>
          <w:p>
            <w:pPr>
              <w:spacing w:after="0"/>
              <w:rPr>
                <w:sz w:val="1"/>
                <w:szCs w:val="1"/>
                <w:color w:val="auto"/>
              </w:rPr>
            </w:pPr>
          </w:p>
        </w:tc>
      </w:tr>
      <w:tr>
        <w:trPr>
          <w:trHeight w:val="130"/>
        </w:trPr>
        <w:tc>
          <w:tcPr>
            <w:tcW w:w="290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204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0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2020" w:type="dxa"/>
            <w:vAlign w:val="bottom"/>
            <w:tcBorders>
              <w:bottom w:val="single" w:sz="8" w:color="auto"/>
              <w:right w:val="single" w:sz="8" w:color="auto"/>
            </w:tcBorders>
            <w:shd w:val="clear" w:color="auto" w:fill="CCEEFF"/>
          </w:tcPr>
          <w:p>
            <w:pPr>
              <w:spacing w:after="0"/>
              <w:rPr>
                <w:sz w:val="10"/>
                <w:szCs w:val="10"/>
                <w:color w:val="auto"/>
              </w:rPr>
            </w:pPr>
          </w:p>
        </w:tc>
        <w:tc>
          <w:tcPr>
            <w:tcW w:w="2020" w:type="dxa"/>
            <w:vAlign w:val="bottom"/>
            <w:tcBorders>
              <w:bottom w:val="single" w:sz="8" w:color="auto"/>
              <w:right w:val="single" w:sz="8" w:color="auto"/>
            </w:tcBorders>
            <w:shd w:val="clear" w:color="auto" w:fill="CCEEFF"/>
          </w:tcPr>
          <w:p>
            <w:pPr>
              <w:spacing w:after="0"/>
              <w:rPr>
                <w:sz w:val="10"/>
                <w:szCs w:val="10"/>
                <w:color w:val="auto"/>
              </w:rPr>
            </w:pPr>
          </w:p>
        </w:tc>
        <w:tc>
          <w:tcPr>
            <w:tcW w:w="20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 Self-owned</w:t>
            </w:r>
            <w:r>
              <w:rPr>
                <w:rFonts w:ascii="Times New Roman" w:cs="Times New Roman" w:eastAsia="Times New Roman" w:hAnsi="Times New Roman"/>
                <w:sz w:val="25"/>
                <w:szCs w:val="25"/>
                <w:color w:val="auto"/>
                <w:vertAlign w:val="superscript"/>
              </w:rPr>
              <w:t>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87,000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86,000</w:t>
            </w: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Hosted</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92,000</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90,000</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92,000</w:t>
            </w: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126</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145</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23"/>
        </w:trPr>
        <w:tc>
          <w:tcPr>
            <w:tcW w:w="2900" w:type="dxa"/>
            <w:vAlign w:val="bottom"/>
            <w:tcBorders>
              <w:left w:val="single" w:sz="8" w:color="auto"/>
              <w:bottom w:val="single" w:sz="8" w:color="auto"/>
              <w:right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Bitcoin held</w:t>
            </w:r>
            <w:r>
              <w:rPr>
                <w:rFonts w:ascii="Times New Roman" w:cs="Times New Roman" w:eastAsia="Times New Roman" w:hAnsi="Times New Roman"/>
                <w:sz w:val="25"/>
                <w:szCs w:val="25"/>
                <w:b w:val="1"/>
                <w:bCs w:val="1"/>
                <w:color w:val="auto"/>
                <w:vertAlign w:val="superscript"/>
              </w:rPr>
              <w:t>3</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724</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594</w:t>
            </w:r>
          </w:p>
        </w:tc>
        <w:tc>
          <w:tcPr>
            <w:tcW w:w="2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443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0" w:firstLine="8"/>
        <w:spacing w:after="0" w:line="197" w:lineRule="auto"/>
        <w:tabs>
          <w:tab w:leader="none" w:pos="112"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January 31, 2025 across the Company’s three primary business lines: Self-mining, Cloud Hash 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Hosting.</w:t>
      </w:r>
    </w:p>
    <w:p>
      <w:pPr>
        <w:spacing w:after="0" w:line="1" w:lineRule="exact"/>
        <w:rPr>
          <w:rFonts w:ascii="Times New Roman" w:cs="Times New Roman" w:eastAsia="Times New Roman" w:hAnsi="Times New Roman"/>
          <w:sz w:val="30"/>
          <w:szCs w:val="30"/>
          <w:color w:val="auto"/>
          <w:vertAlign w:val="superscript"/>
        </w:rPr>
      </w:pPr>
    </w:p>
    <w:p>
      <w:pPr>
        <w:ind w:left="340" w:right="320" w:hanging="170"/>
        <w:spacing w:after="0" w:line="250" w:lineRule="auto"/>
        <w:tabs>
          <w:tab w:leader="none" w:pos="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the Company’s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ind w:left="340" w:right="320" w:hanging="170"/>
        <w:spacing w:after="0" w:line="250" w:lineRule="auto"/>
        <w:tabs>
          <w:tab w:leader="none" w:pos="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ind w:left="340" w:right="620" w:hanging="170"/>
        <w:spacing w:after="0" w:line="243" w:lineRule="auto"/>
        <w:tabs>
          <w:tab w:leader="none" w:pos="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ind w:left="120" w:hanging="112"/>
        <w:spacing w:after="0" w:line="183" w:lineRule="auto"/>
        <w:tabs>
          <w:tab w:leader="none" w:pos="120"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b w:val="1"/>
          <w:bCs w:val="1"/>
          <w:color w:val="auto"/>
        </w:rPr>
        <w:t xml:space="preserve">Self-owned mining machines </w:t>
      </w:r>
      <w:r>
        <w:rPr>
          <w:rFonts w:ascii="Times New Roman" w:cs="Times New Roman" w:eastAsia="Times New Roman" w:hAnsi="Times New Roman"/>
          <w:sz w:val="16"/>
          <w:szCs w:val="16"/>
          <w:color w:val="auto"/>
        </w:rPr>
        <w:t>are for the Company’s self-mining business and Cloud Hash Rate business.</w:t>
      </w:r>
    </w:p>
    <w:p>
      <w:pPr>
        <w:spacing w:after="0" w:line="2" w:lineRule="exact"/>
        <w:rPr>
          <w:rFonts w:ascii="Times New Roman" w:cs="Times New Roman" w:eastAsia="Times New Roman" w:hAnsi="Times New Roman"/>
          <w:sz w:val="26"/>
          <w:szCs w:val="26"/>
          <w:color w:val="auto"/>
          <w:vertAlign w:val="superscript"/>
        </w:rPr>
      </w:pP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Bitcoins held </w:t>
      </w:r>
      <w:r>
        <w:rPr>
          <w:rFonts w:ascii="Times New Roman" w:cs="Times New Roman" w:eastAsia="Times New Roman" w:hAnsi="Times New Roman"/>
          <w:sz w:val="18"/>
          <w:szCs w:val="18"/>
          <w:color w:val="auto"/>
        </w:rPr>
        <w:t>do not include the Bitcoins from deposits of the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Rockdale, Texas </w:t>
      </w:r>
      <w:r>
        <w:rPr>
          <w:rFonts w:ascii="Times New Roman" w:cs="Times New Roman" w:eastAsia="Times New Roman" w:hAnsi="Times New Roman"/>
          <w:sz w:val="18"/>
          <w:szCs w:val="18"/>
          <w:i w:val="1"/>
          <w:iCs w:val="1"/>
          <w:color w:val="auto"/>
        </w:rPr>
        <w:t>– 100 MW Hydro-cooling conversion to be energized in phases in Q1 2025:</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system will be delivered and installed in phases in Q1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for phased energization by March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Tydal, Norway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175 MW site expansion anticipated to be fully energized by mid-2025:</w:t>
      </w:r>
    </w:p>
    <w:p>
      <w:pPr>
        <w:spacing w:after="0" w:line="229" w:lineRule="exact"/>
        <w:rPr>
          <w:sz w:val="20"/>
          <w:szCs w:val="20"/>
          <w:color w:val="auto"/>
        </w:rPr>
      </w:pPr>
    </w:p>
    <w:p>
      <w:pPr>
        <w:ind w:left="660" w:right="100" w:hanging="328"/>
        <w:spacing w:after="0" w:line="276"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of the transformers has been completed, with the delivery and installation of electrical equipment currently in progress. Additionally, the procurement and delivery of containers and hydro-cooling systems are underway, and drainage systems construction is ongoing.</w:t>
      </w:r>
    </w:p>
    <w:p>
      <w:pPr>
        <w:ind w:left="660" w:right="22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Tydal, Norway Phase 1 40 MW expansion pending regulatory approval. Energization of the full 175 MW site is expected to occur no later than mid-2025, subject to regulatory approval.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Massillon, Ohio </w:t>
      </w:r>
      <w:r>
        <w:rPr>
          <w:rFonts w:ascii="Times New Roman" w:cs="Times New Roman" w:eastAsia="Times New Roman" w:hAnsi="Times New Roman"/>
          <w:sz w:val="18"/>
          <w:szCs w:val="18"/>
          <w:i w:val="1"/>
          <w:iCs w:val="1"/>
          <w:color w:val="auto"/>
        </w:rPr>
        <w:t>– 221 MW site construction has begun ahead of schedule:</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Substation construction is underway and is expected to be completed in Q3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design is completed and construction has begun earlier than expected, estimated to be completed in phases between Q3 and Q4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energization timeline remains on track for mid-to-late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Clarington Phase 2, Ohio </w:t>
      </w:r>
      <w:r>
        <w:rPr>
          <w:rFonts w:ascii="Times New Roman" w:cs="Times New Roman" w:eastAsia="Times New Roman" w:hAnsi="Times New Roman"/>
          <w:sz w:val="18"/>
          <w:szCs w:val="18"/>
          <w:i w:val="1"/>
          <w:iCs w:val="1"/>
          <w:color w:val="auto"/>
        </w:rPr>
        <w:t>– 304 MW is still pending approval and in negotiation with the landlord.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Jigmeling, Bhutan </w:t>
      </w:r>
      <w:r>
        <w:rPr>
          <w:rFonts w:ascii="Times New Roman" w:cs="Times New Roman" w:eastAsia="Times New Roman" w:hAnsi="Times New Roman"/>
          <w:sz w:val="18"/>
          <w:szCs w:val="18"/>
          <w:i w:val="1"/>
          <w:iCs w:val="1"/>
          <w:color w:val="auto"/>
        </w:rPr>
        <w:t>– 500 MW site is progressing well, with the following key milestones achieved:</w:t>
      </w:r>
    </w:p>
    <w:p>
      <w:pPr>
        <w:spacing w:after="0" w:line="229" w:lineRule="exact"/>
        <w:rPr>
          <w:sz w:val="20"/>
          <w:szCs w:val="20"/>
          <w:color w:val="auto"/>
        </w:rPr>
      </w:pPr>
    </w:p>
    <w:p>
      <w:pPr>
        <w:ind w:left="660" w:right="32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transformer and container foundations in progress and will be completed in phases, with the last phase expected by the end of February 2025.</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132kv/140MW and 220kv/360MW substation designs are completed with construction anticipated to be finished by the end of Q1 2025.</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for the procurement of transformers and electrical equipment have been placed, with delivery and installation work to be completed in phases over Q1 and Q2 2025.</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and delivery of containers and hydro-cooling systems are in progress, with completion expected in phases by the end of Q1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Fox Creek, Alberta </w:t>
      </w:r>
      <w:r>
        <w:rPr>
          <w:rFonts w:ascii="Times New Roman" w:cs="Times New Roman" w:eastAsia="Times New Roman" w:hAnsi="Times New Roman"/>
          <w:sz w:val="18"/>
          <w:szCs w:val="18"/>
          <w:i w:val="1"/>
          <w:iCs w:val="1"/>
          <w:color w:val="auto"/>
        </w:rPr>
        <w:t>– 101 MW site acquired in Alberta sits on 19 acres is fully licensed and permitted:</w:t>
      </w:r>
    </w:p>
    <w:p>
      <w:pPr>
        <w:spacing w:after="0" w:line="229"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includes all permits and licenses to construct an on-site natural gas power plant, as well as approval for a 99 MW grid interconnection with Alberta Electric System Operator (“AESO”).</w:t>
      </w:r>
    </w:p>
    <w:p>
      <w:pPr>
        <w:ind w:left="660" w:right="20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will develop and construct the power plant in partnership with a leading Engineering, Procurement and Construction (“EPC”) company and is expected to be energized by Q4 2026.</w:t>
      </w:r>
    </w:p>
    <w:p>
      <w:pPr>
        <w:spacing w:after="0" w:line="180" w:lineRule="exact"/>
        <w:rPr>
          <w:sz w:val="20"/>
          <w:szCs w:val="20"/>
          <w:color w:val="auto"/>
        </w:rPr>
      </w:pPr>
    </w:p>
    <w:tbl>
      <w:tblPr>
        <w:tblLayout w:type="fixed"/>
        <w:tblInd w:w="1150" w:type="dxa"/>
        <w:tblCellMar>
          <w:top w:w="0" w:type="dxa"/>
          <w:left w:w="0" w:type="dxa"/>
          <w:bottom w:w="0" w:type="dxa"/>
          <w:right w:w="0" w:type="dxa"/>
        </w:tblCellMar>
      </w:tblPr>
      <w:tr>
        <w:trPr>
          <w:trHeight w:val="250"/>
        </w:trPr>
        <w:tc>
          <w:tcPr>
            <w:tcW w:w="2940" w:type="dxa"/>
            <w:vAlign w:val="bottom"/>
            <w:tcBorders>
              <w:top w:val="single" w:sz="8" w:color="auto"/>
              <w:left w:val="single" w:sz="8" w:color="auto"/>
              <w:bottom w:val="single" w:sz="8" w:color="auto"/>
              <w:right w:val="single" w:sz="8" w:color="auto"/>
            </w:tcBorders>
            <w:shd w:val="clear" w:color="auto" w:fill="1F3864"/>
          </w:tcPr>
          <w:p>
            <w:pPr>
              <w:ind w:left="20"/>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2000" w:type="dxa"/>
            <w:vAlign w:val="bottom"/>
            <w:tcBorders>
              <w:top w:val="single" w:sz="8" w:color="auto"/>
              <w:bottom w:val="single" w:sz="8" w:color="auto"/>
              <w:right w:val="single" w:sz="8" w:color="auto"/>
            </w:tcBorders>
            <w:shd w:val="clear" w:color="auto" w:fill="1F3864"/>
          </w:tcPr>
          <w:p>
            <w:pPr>
              <w:ind w:left="380"/>
              <w:spacing w:after="0"/>
              <w:rPr>
                <w:sz w:val="20"/>
                <w:szCs w:val="20"/>
                <w:color w:val="auto"/>
              </w:rPr>
            </w:pPr>
            <w:r>
              <w:rPr>
                <w:rFonts w:ascii="Times New Roman" w:cs="Times New Roman" w:eastAsia="Times New Roman" w:hAnsi="Times New Roman"/>
                <w:sz w:val="18"/>
                <w:szCs w:val="18"/>
                <w:b w:val="1"/>
                <w:bCs w:val="1"/>
                <w:color w:val="auto"/>
              </w:rPr>
              <w:t>Capacity (MW)</w:t>
            </w:r>
          </w:p>
        </w:tc>
        <w:tc>
          <w:tcPr>
            <w:tcW w:w="2020" w:type="dxa"/>
            <w:vAlign w:val="bottom"/>
            <w:tcBorders>
              <w:top w:val="single" w:sz="8" w:color="auto"/>
              <w:bottom w:val="single" w:sz="8" w:color="auto"/>
              <w:right w:val="single" w:sz="8" w:color="auto"/>
            </w:tcBorders>
            <w:shd w:val="clear" w:color="auto" w:fill="1F386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020" w:type="dxa"/>
            <w:vAlign w:val="bottom"/>
            <w:tcBorders>
              <w:top w:val="single" w:sz="8" w:color="auto"/>
              <w:bottom w:val="single" w:sz="8" w:color="auto"/>
              <w:right w:val="single" w:sz="8" w:color="auto"/>
            </w:tcBorders>
            <w:shd w:val="clear" w:color="auto" w:fill="1F3864"/>
          </w:tcPr>
          <w:p>
            <w:pPr>
              <w:jc w:val="center"/>
              <w:spacing w:after="0" w:line="243" w:lineRule="exact"/>
              <w:rPr>
                <w:sz w:val="20"/>
                <w:szCs w:val="20"/>
                <w:color w:val="auto"/>
              </w:rPr>
            </w:pPr>
            <w:r>
              <w:rPr>
                <w:rFonts w:ascii="Times New Roman" w:cs="Times New Roman" w:eastAsia="Times New Roman" w:hAnsi="Times New Roman"/>
                <w:sz w:val="17"/>
                <w:szCs w:val="17"/>
                <w:b w:val="1"/>
                <w:bCs w:val="1"/>
                <w:color w:val="auto"/>
                <w:w w:val="99"/>
              </w:rPr>
              <w:t>Timing</w:t>
            </w:r>
            <w:r>
              <w:rPr>
                <w:rFonts w:ascii="Times New Roman" w:cs="Times New Roman" w:eastAsia="Times New Roman" w:hAnsi="Times New Roman"/>
                <w:sz w:val="28"/>
                <w:szCs w:val="28"/>
                <w:b w:val="1"/>
                <w:bCs w:val="1"/>
                <w:color w:val="auto"/>
                <w:w w:val="99"/>
                <w:vertAlign w:val="superscript"/>
              </w:rPr>
              <w:t>4</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2000" w:type="dxa"/>
            <w:vAlign w:val="bottom"/>
            <w:tcBorders>
              <w:bottom w:val="single" w:sz="8" w:color="auto"/>
              <w:right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563</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Knoxville, Tennessee</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Wenatchee, Washington</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Molde, Norway</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Tydal, Norway</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Gedu, Bhutan</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Online</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2000" w:type="dxa"/>
            <w:vAlign w:val="bottom"/>
            <w:tcBorders>
              <w:bottom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895</w:t>
            </w:r>
            <w:r>
              <w:rPr>
                <w:rFonts w:ascii="Times New Roman" w:cs="Times New Roman" w:eastAsia="Times New Roman" w:hAnsi="Times New Roman"/>
                <w:sz w:val="25"/>
                <w:szCs w:val="25"/>
                <w:b w:val="1"/>
                <w:bCs w:val="1"/>
                <w:color w:val="auto"/>
                <w:vertAlign w:val="superscript"/>
              </w:rPr>
              <w:t>5</w:t>
            </w:r>
          </w:p>
        </w:tc>
        <w:tc>
          <w:tcPr>
            <w:tcW w:w="202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2000" w:type="dxa"/>
            <w:vAlign w:val="bottom"/>
            <w:tcBorders>
              <w:bottom w:val="single" w:sz="8" w:color="auto"/>
              <w:right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4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Tydal, Norway Phase 1</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0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Pending Regulatory</w:t>
            </w:r>
          </w:p>
        </w:tc>
        <w:tc>
          <w:tcPr>
            <w:tcW w:w="0" w:type="dxa"/>
            <w:vAlign w:val="bottom"/>
          </w:tcPr>
          <w:p>
            <w:pPr>
              <w:spacing w:after="0"/>
              <w:rPr>
                <w:sz w:val="1"/>
                <w:szCs w:val="1"/>
                <w:color w:val="auto"/>
              </w:rPr>
            </w:pPr>
          </w:p>
        </w:tc>
      </w:tr>
      <w:tr>
        <w:trPr>
          <w:trHeight w:val="126"/>
        </w:trPr>
        <w:tc>
          <w:tcPr>
            <w:tcW w:w="2940" w:type="dxa"/>
            <w:vAlign w:val="bottom"/>
            <w:tcBorders>
              <w:left w:val="single" w:sz="8" w:color="auto"/>
              <w:right w:val="single" w:sz="8" w:color="auto"/>
            </w:tcBorders>
            <w:vMerge w:val="continue"/>
          </w:tcPr>
          <w:p>
            <w:pPr>
              <w:spacing w:after="0"/>
              <w:rPr>
                <w:sz w:val="10"/>
                <w:szCs w:val="10"/>
                <w:color w:val="auto"/>
              </w:rPr>
            </w:pPr>
          </w:p>
        </w:tc>
        <w:tc>
          <w:tcPr>
            <w:tcW w:w="200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Approval</w:t>
            </w:r>
          </w:p>
        </w:tc>
        <w:tc>
          <w:tcPr>
            <w:tcW w:w="0" w:type="dxa"/>
            <w:vAlign w:val="bottom"/>
          </w:tcPr>
          <w:p>
            <w:pPr>
              <w:spacing w:after="0"/>
              <w:rPr>
                <w:sz w:val="1"/>
                <w:szCs w:val="1"/>
                <w:color w:val="auto"/>
              </w:rPr>
            </w:pPr>
          </w:p>
        </w:tc>
      </w:tr>
      <w:tr>
        <w:trPr>
          <w:trHeight w:val="115"/>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spacing w:after="0"/>
              <w:rPr>
                <w:sz w:val="10"/>
                <w:szCs w:val="10"/>
                <w:color w:val="auto"/>
              </w:rPr>
            </w:pPr>
          </w:p>
        </w:tc>
        <w:tc>
          <w:tcPr>
            <w:tcW w:w="2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Tydal, Norway Phase 2</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Mid 2025</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Mid-to-late 2025</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Clarington, Ohio Phase 1</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266</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Q3 2025</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Clarington, Ohio Phase 2</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304</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Pending approval</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Jigmeling, Bhutan</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 progress</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Mid-to-late 2025</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Rockdale, Texas</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179</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planning</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Alberta, Canada</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planning</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1,744</w:t>
            </w:r>
          </w:p>
        </w:tc>
        <w:tc>
          <w:tcPr>
            <w:tcW w:w="202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2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2,639</w:t>
            </w: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20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-3222625</wp:posOffset>
            </wp:positionV>
            <wp:extent cx="566610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6105" cy="137160"/>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p>
      <w:pPr>
        <w:spacing w:after="0" w:line="99"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Indicative timing. All timing references are to calendar quarters and years.</w:t>
      </w:r>
    </w:p>
    <w:p>
      <w:pPr>
        <w:spacing w:after="0" w:line="1"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Figures may not add up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11 – 12, 2025: </w:t>
      </w:r>
      <w:r>
        <w:rPr>
          <w:rFonts w:ascii="Times New Roman" w:cs="Times New Roman" w:eastAsia="Times New Roman" w:hAnsi="Times New Roman"/>
          <w:sz w:val="18"/>
          <w:szCs w:val="18"/>
          <w:color w:val="auto"/>
        </w:rPr>
        <w:t>Cantor Global Technology Conference in New York City</w:t>
      </w:r>
    </w:p>
    <w:p>
      <w:pPr>
        <w:spacing w:after="0" w:line="3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March 16 – 18, 2025: </w:t>
      </w:r>
      <w:r>
        <w:rPr>
          <w:rFonts w:ascii="Times New Roman" w:cs="Times New Roman" w:eastAsia="Times New Roman" w:hAnsi="Times New Roman"/>
          <w:sz w:val="18"/>
          <w:szCs w:val="18"/>
          <w:color w:val="auto"/>
        </w:rPr>
        <w:t>37th Annual ROTH Growth Conference in Dana Point,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Bitdeer is a world-leading technology company for blockchain and high-performance computing.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To learn more, visit </w:t>
      </w:r>
      <w:r>
        <w:rPr>
          <w:rFonts w:ascii="Times New Roman" w:cs="Times New Roman" w:eastAsia="Times New Roman" w:hAnsi="Times New Roman"/>
          <w:sz w:val="18"/>
          <w:szCs w:val="18"/>
          <w:u w:val="single" w:color="auto"/>
          <w:color w:val="auto"/>
        </w:rPr>
        <w:t>https://ir.bitdeer.com/</w:t>
      </w:r>
      <w:r>
        <w:rPr>
          <w:rFonts w:ascii="Times New Roman" w:cs="Times New Roman" w:eastAsia="Times New Roman" w:hAnsi="Times New Roman"/>
          <w:sz w:val="18"/>
          <w:szCs w:val="18"/>
          <w:color w:val="auto"/>
        </w:rPr>
        <w:t xml:space="preserve"> or follow Bitdeer on X @ </w:t>
      </w:r>
      <w:r>
        <w:rPr>
          <w:rFonts w:ascii="Times New Roman" w:cs="Times New Roman" w:eastAsia="Times New Roman" w:hAnsi="Times New Roman"/>
          <w:sz w:val="18"/>
          <w:szCs w:val="18"/>
          <w:u w:val="single" w:color="auto"/>
          <w:color w:val="auto"/>
        </w:rPr>
        <w:t>BitdeerOfficial</w:t>
      </w:r>
      <w:r>
        <w:rPr>
          <w:rFonts w:ascii="Times New Roman" w:cs="Times New Roman" w:eastAsia="Times New Roman" w:hAnsi="Times New Roman"/>
          <w:sz w:val="18"/>
          <w:szCs w:val="18"/>
          <w:color w:val="auto"/>
        </w:rPr>
        <w:t xml:space="preserve"> and LinkedIn @ </w:t>
      </w:r>
      <w:r>
        <w:rPr>
          <w:rFonts w:ascii="Times New Roman" w:cs="Times New Roman" w:eastAsia="Times New Roman" w:hAnsi="Times New Roman"/>
          <w:sz w:val="18"/>
          <w:szCs w:val="18"/>
          <w:u w:val="single" w:color="auto"/>
          <w:color w:val="auto"/>
        </w:rPr>
        <w:t>Bitdeer Group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bitdeerIR@orangegroupadvisors.com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bitdeer@blocksbridge.com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o"/>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o"/>
      <w:numFmt w:val="bullet"/>
      <w:start w:val="1"/>
    </w:lvl>
  </w:abstractNum>
  <w:abstractNum w:abstractNumId="5">
    <w:nsid w:val="4DB127F8"/>
    <w:multiLevelType w:val="hybridMultilevel"/>
    <w:lvl w:ilvl="0">
      <w:lvlJc w:val="left"/>
      <w:lvlText w:val="1"/>
      <w:numFmt w:val="bullet"/>
      <w:start w:val="1"/>
    </w:lvl>
    <w:lvl w:ilvl="1">
      <w:lvlJc w:val="left"/>
      <w:lvlText w:val="•"/>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4"/>
      <w:numFmt w:val="bullet"/>
      <w:start w:val="1"/>
    </w:lvl>
  </w:abstractNum>
  <w:abstractNum w:abstractNumId="13">
    <w:nsid w:val="DED7263"/>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2025-02-12T07:41:06Z</dcterms:created>
  <dcterms:modified xsi:type="dcterms:W3CDTF">2025-02-12T07:41:06Z</dcterms:modified>
</cp:coreProperties>
</file>