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Global Investments Fund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4420 4621 1793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Tether Global Investments Fund, S.I.C.A.F., S.A.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Note in relation to Items 8, 10 and 11: Includes 37,729,510 Class A ordinary shares, par value $0.0000001 per share</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98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("Class A</w:t>
            </w:r>
          </w:p>
        </w:tc>
        <w:tc>
          <w:tcPr>
            <w:tcW w:w="938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Shares") of Bitdeer Technologies Group held by Tether International, S.A. de C.V., a wholly owned</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subsidiary</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 Tether Global Investments Fund, S.I.C.A.F., S.A. Note in relation to Item 13: This percentage is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calculated based upon 191,152,162 Class A Shares outstanding on December 31, 2025, as reported in the Issuer's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Annual Report of Form 20-F filed with the Securities and Exchange Commission on April 30,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11" w:right="339" w:bottom="0" w:gutter="0" w:footer="0" w:header="0"/>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 SALVADOR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EL SALVADOR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Note in relation to Item 13: This percentage is calculated based upon 191,152,162 Class A Shares outstanding</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on December 31, 2025, as reported in the Issuer's Annual Report of Form 20-F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Exchange Commission on April 30,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37,729,510.00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37,729,510.00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37,729,510.00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19.7 %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Note in relation to Items 8, 10 and 11: Includes 37,729,510 Class A Shares held by Tether International, S.A. de C.V., a wholly owned subsidiary of Tether Global Investments Fund, S.I.C.A.F., S.A. Mr. Devasini has a greater than 50% voting interest in Tether Global Investments Fund, S.I.C.A.F., S.A. The reporting person disclaims beneficial</w:t>
      </w:r>
    </w:p>
    <w:p>
      <w:pPr>
        <w:spacing w:after="0" w:line="1" w:lineRule="exact"/>
        <w:rPr>
          <w:sz w:val="20"/>
          <w:szCs w:val="20"/>
          <w:color w:val="auto"/>
        </w:rPr>
      </w:pPr>
    </w:p>
    <w:p>
      <w:pPr>
        <w:sectPr>
          <w:pgSz w:w="11900" w:h="16838" w:orient="portrait"/>
          <w:cols w:equalWidth="0" w:num="2">
            <w:col w:w="820" w:space="100"/>
            <w:col w:w="10320"/>
          </w:cols>
          <w:pgMar w:left="320" w:top="355"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Reporting</w:t>
      </w:r>
      <w:r>
        <w:rPr>
          <w:rFonts w:ascii="Times New Roman" w:cs="Times New Roman" w:eastAsia="Times New Roman" w:hAnsi="Times New Roman"/>
          <w:sz w:val="14"/>
          <w:szCs w:val="14"/>
          <w:color w:val="auto"/>
        </w:rPr>
        <w:t xml:space="preserve"> ownership of these shares except to the extent of the reporting person's pecuniary interest. Note in relation to Item 13:</w:t>
      </w:r>
    </w:p>
    <w:p>
      <w:pPr>
        <w:spacing w:after="0" w:line="180" w:lineRule="auto"/>
        <w:tabs>
          <w:tab w:leader="none" w:pos="900" w:val="left"/>
        </w:tabs>
        <w:rPr>
          <w:sz w:val="20"/>
          <w:szCs w:val="20"/>
          <w:color w:val="auto"/>
        </w:rPr>
      </w:pPr>
      <w:r>
        <w:rPr>
          <w:rFonts w:ascii="Times New Roman" w:cs="Times New Roman" w:eastAsia="Times New Roman" w:hAnsi="Times New Roman"/>
          <w:sz w:val="31"/>
          <w:szCs w:val="31"/>
          <w:b w:val="1"/>
          <w:bCs w:val="1"/>
          <w:color w:val="auto"/>
          <w:vertAlign w:val="superscript"/>
        </w:rPr>
        <w:t>Person:</w:t>
      </w:r>
      <w:r>
        <w:rPr>
          <w:sz w:val="20"/>
          <w:szCs w:val="20"/>
          <w:color w:val="auto"/>
        </w:rPr>
        <w:tab/>
      </w:r>
      <w:r>
        <w:rPr>
          <w:rFonts w:ascii="Times New Roman" w:cs="Times New Roman" w:eastAsia="Times New Roman" w:hAnsi="Times New Roman"/>
          <w:sz w:val="18"/>
          <w:szCs w:val="18"/>
          <w:color w:val="auto"/>
        </w:rPr>
        <w:t>This percentage is calculated based upon 191,152,162 Class A Shares outstanding on December 31, 2025, as reported</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 the Issuer's Annual Report of Form 20-F filed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 339509.</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amends the Schedule 13D of Tether Holdings Limited, a British Virgin Islands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business company, Tether International Limited, a British Virgin Islands business company, Ludovicus Jan Van 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Amendment No. 7 filed on April 15, 2025, Amendment No. 8 filed on April 23, 2025, Amendment No. 9 filed on November 10, 2025, Amendment No. 10 filed on November 25, 2025, Amendment No. 11 filed on February 20, 2026 and Amendment No. 12 filed on June 16, 2026 (as amended, the "Schedule 13D") with respect to the Class A ordinary shares, par value $0.0000001 per share ("Class A Shares") of Bitdeer Technologies Group, an exempted company incorporated in the Cayman Islands (the "Issuer"). This amendment to the Schedule 13D is being filed by Tether Global Investments Fund, S.I.C.A.F., S.A.</w:t>
      </w:r>
    </w:p>
    <w:p>
      <w:pPr>
        <w:spacing w:after="0" w:line="242" w:lineRule="exact"/>
        <w:rPr>
          <w:sz w:val="20"/>
          <w:szCs w:val="20"/>
          <w:color w:val="auto"/>
        </w:rPr>
      </w:pPr>
    </w:p>
    <w:p>
      <w:pPr>
        <w:jc w:val="both"/>
        <w:ind w:left="1000" w:right="40"/>
        <w:spacing w:after="0" w:line="232" w:lineRule="auto"/>
        <w:rPr>
          <w:sz w:val="20"/>
          <w:szCs w:val="20"/>
          <w:color w:val="auto"/>
        </w:rPr>
      </w:pPr>
      <w:r>
        <w:rPr>
          <w:rFonts w:ascii="Times New Roman" w:cs="Times New Roman" w:eastAsia="Times New Roman" w:hAnsi="Times New Roman"/>
          <w:sz w:val="22"/>
          <w:szCs w:val="22"/>
          <w:color w:val="auto"/>
        </w:rPr>
        <w:t>(f/k/a Tether Holdings, S.A. de C.V. and Tether Holdings Limited), an El Salvador entity, Tether Investments, S.A. de C.V. (f/k/a Tether Investments Limited), an El Salvador entity ("Tether Investments"), Tether International, S.A. de C.V., an El Salvador entity, and Giancarlo Devasini (collectively, the "Reporting Persons") and constitutes Amendment No.13 to the Schedule 13D. Capitalized terms used but not defined herein have the meanings given to such terms in the Schedule 13D. This Amendment No. 13 to Schedule 13D is being filed solely to correct an inadvertent understatement of the number of Class A Shares that Tether Investments transferred to Tether International, S.A. de C.V. as described in Item 4 of Amendment No. 12 to Schedule 13D filed by the Reporting Persons on June 16, 2026. Except as set forth herein, the Schedule 13D is unmodified.</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00"/>
        <w:spacing w:after="0" w:line="244" w:lineRule="auto"/>
        <w:rPr>
          <w:sz w:val="20"/>
          <w:szCs w:val="20"/>
          <w:color w:val="auto"/>
        </w:rPr>
      </w:pPr>
      <w:r>
        <w:rPr>
          <w:rFonts w:ascii="Times New Roman" w:cs="Times New Roman" w:eastAsia="Times New Roman" w:hAnsi="Times New Roman"/>
          <w:sz w:val="22"/>
          <w:szCs w:val="22"/>
          <w:color w:val="auto"/>
        </w:rPr>
        <w:t>Effective on June 12, 2026, Tether Investments transferred 37,729,510 Class A Shares to Tether International, S.A. de C.V. (the "Transfer"). The Transfer resulted in no change in the aggregate number of Class A Shares beneficially owned by the Reporting Persons.</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Reporting Persons beneficially own an aggregate of 37,729,510 of the Issuer's Class A Shares, representing</w:t>
      </w:r>
    </w:p>
    <w:p>
      <w:pPr>
        <w:spacing w:after="0" w:line="14" w:lineRule="exact"/>
        <w:rPr>
          <w:sz w:val="20"/>
          <w:szCs w:val="20"/>
          <w:color w:val="auto"/>
        </w:rPr>
      </w:pPr>
    </w:p>
    <w:p>
      <w:pPr>
        <w:ind w:left="960" w:right="280" w:hanging="912"/>
        <w:spacing w:after="0" w:line="184" w:lineRule="auto"/>
        <w:tabs>
          <w:tab w:leader="none" w:pos="96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19.7% of the outstanding Class A Shares. This percentage is calculated based upon 191,152,162 Class A Shares outstanding on December 31, 2025, as reported in the Issuer's Annual Report of Form 20-F filed with the Securities and Exchange Commission on April 30, 2026.</w:t>
      </w:r>
    </w:p>
    <w:p>
      <w:pPr>
        <w:spacing w:after="0" w:line="18" w:lineRule="exact"/>
        <w:rPr>
          <w:rFonts w:ascii="Times New Roman" w:cs="Times New Roman" w:eastAsia="Times New Roman" w:hAnsi="Times New Roman"/>
          <w:sz w:val="42"/>
          <w:szCs w:val="42"/>
          <w:color w:val="auto"/>
          <w:vertAlign w:val="subscript"/>
        </w:rPr>
      </w:pPr>
    </w:p>
    <w:p>
      <w:pPr>
        <w:ind w:left="960" w:right="26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(other than Tether Investments) has shared voting and dispositive power with respect to 37,729,510 of the Issuer's Class A Shares.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B sets forth the transactions in the Class A Shares (other than the Transfer) effected by the Reporting</w:t>
      </w:r>
    </w:p>
    <w:p>
      <w:pPr>
        <w:sectPr>
          <w:pgSz w:w="11900" w:h="16838" w:orient="portrait"/>
          <w:cols w:equalWidth="0" w:num="1">
            <w:col w:w="11240"/>
          </w:cols>
          <w:pgMar w:left="320" w:top="355" w:right="3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Persons in the last 60 days.</w:t>
      </w:r>
    </w:p>
    <w:p>
      <w:pPr>
        <w:spacing w:after="0" w:line="45"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Schedule B - Transactions in Class A Shares Exhibit 1 - Agreement of filing persons relating to filing of joint statement per Rule 13d-1(k).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Tether Global Investments Fund, S.I.C.A.F., S.A.</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Rossi</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Omar Rossi, Sole Administrator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Global Investments Fund, S.I.C.A.F., S.A., Tether International,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Global Investments Fund, S.I.C.A.F., S.A.</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840" w:type="dxa"/>
            <w:vAlign w:val="bottom"/>
            <w:tcBorders>
              <w:top w:val="single" w:sz="8" w:color="auto"/>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Position and</w:t>
            </w:r>
          </w:p>
        </w:tc>
        <w:tc>
          <w:tcPr>
            <w:tcW w:w="1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6"/>
              </w:rPr>
              <w:t>Citizenship</w:t>
            </w:r>
          </w:p>
        </w:tc>
        <w:tc>
          <w:tcPr>
            <w:tcW w:w="940" w:type="dxa"/>
            <w:vAlign w:val="bottom"/>
            <w:tcBorders>
              <w:right w:val="single" w:sz="8" w:color="auto"/>
            </w:tcBorders>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18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vMerge w:val="restart"/>
          </w:tcPr>
          <w:p>
            <w:pPr>
              <w:spacing w:after="0"/>
              <w:rPr>
                <w:sz w:val="17"/>
                <w:szCs w:val="17"/>
                <w:color w:val="auto"/>
              </w:rPr>
            </w:pPr>
          </w:p>
        </w:tc>
        <w:tc>
          <w:tcPr>
            <w:tcW w:w="29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tcBorders>
              <w:right w:val="single" w:sz="8" w:color="auto"/>
            </w:tcBorders>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380" w:type="dxa"/>
            <w:vAlign w:val="bottom"/>
            <w:tcBorders>
              <w:right w:val="single" w:sz="8" w:color="auto"/>
            </w:tcBorders>
            <w:gridSpan w:val="4"/>
            <w:vMerge w:val="restart"/>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20" w:type="dxa"/>
            <w:vAlign w:val="bottom"/>
            <w:vMerge w:val="continue"/>
          </w:tcPr>
          <w:p>
            <w:pPr>
              <w:spacing w:after="0" w:line="20" w:lineRule="exact"/>
              <w:rPr>
                <w:sz w:val="1"/>
                <w:szCs w:val="1"/>
                <w:color w:val="auto"/>
              </w:rPr>
            </w:pPr>
          </w:p>
        </w:tc>
        <w:tc>
          <w:tcPr>
            <w:tcW w:w="1820" w:type="dxa"/>
            <w:vAlign w:val="bottom"/>
            <w:tcBorders>
              <w:right w:val="single" w:sz="8" w:color="auto"/>
            </w:tcBorders>
            <w:gridSpan w:val="2"/>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Borders>
              <w:right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Omar Rossi,</w:t>
            </w:r>
          </w:p>
        </w:tc>
        <w:tc>
          <w:tcPr>
            <w:tcW w:w="1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Switzerland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International, S.A. de C.V.</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vMerge w:val="restart"/>
          </w:tcPr>
          <w:p>
            <w:pPr>
              <w:spacing w:after="0"/>
              <w:rPr>
                <w:sz w:val="24"/>
                <w:szCs w:val="24"/>
                <w:color w:val="auto"/>
              </w:rPr>
            </w:pPr>
          </w:p>
        </w:tc>
        <w:tc>
          <w:tcPr>
            <w:tcW w:w="1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 Principal</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40" w:type="dxa"/>
            <w:vAlign w:val="bottom"/>
            <w:tcBorders>
              <w:right w:val="single" w:sz="8" w:color="auto"/>
            </w:tcBorders>
            <w:gridSpan w:val="4"/>
            <w:vMerge w:val="restart"/>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860" w:type="dxa"/>
            <w:vAlign w:val="bottom"/>
            <w:tcBorders>
              <w:right w:val="single" w:sz="8" w:color="auto"/>
            </w:tcBorders>
            <w:gridSpan w:val="3"/>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74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37,729,510</w:t>
            </w:r>
            <w:r>
              <w:rPr>
                <w:rFonts w:ascii="Times New Roman" w:cs="Times New Roman" w:eastAsia="Times New Roman" w:hAnsi="Times New Roman"/>
                <w:sz w:val="25"/>
                <w:szCs w:val="25"/>
                <w:color w:val="auto"/>
                <w:vertAlign w:val="superscript"/>
              </w:rPr>
              <w:t>(1)</w:t>
            </w:r>
          </w:p>
        </w:tc>
        <w:tc>
          <w:tcPr>
            <w:tcW w:w="1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vMerge w:val="restart"/>
          </w:tcPr>
          <w:p>
            <w:pPr>
              <w:spacing w:after="0"/>
              <w:rPr>
                <w:sz w:val="24"/>
                <w:szCs w:val="24"/>
                <w:color w:val="auto"/>
              </w:rPr>
            </w:pPr>
          </w:p>
        </w:tc>
        <w:tc>
          <w:tcPr>
            <w:tcW w:w="1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 Principal</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40" w:type="dxa"/>
            <w:vAlign w:val="bottom"/>
            <w:tcBorders>
              <w:right w:val="single" w:sz="8" w:color="auto"/>
            </w:tcBorders>
            <w:gridSpan w:val="4"/>
            <w:vMerge w:val="restart"/>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860" w:type="dxa"/>
            <w:vAlign w:val="bottom"/>
            <w:tcBorders>
              <w:right w:val="single" w:sz="8" w:color="auto"/>
            </w:tcBorders>
            <w:gridSpan w:val="3"/>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74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37,729,510</w:t>
            </w:r>
            <w:r>
              <w:rPr>
                <w:rFonts w:ascii="Times New Roman" w:cs="Times New Roman" w:eastAsia="Times New Roman" w:hAnsi="Times New Roman"/>
                <w:sz w:val="25"/>
                <w:szCs w:val="25"/>
                <w:color w:val="auto"/>
                <w:vertAlign w:val="superscript"/>
              </w:rPr>
              <w:t>(1)</w:t>
            </w:r>
          </w:p>
        </w:tc>
        <w:tc>
          <w:tcPr>
            <w:tcW w:w="1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280" w:hanging="328"/>
        <w:spacing w:after="0" w:line="312"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37,729,510 Class A ordinary shares, par value $0.0000001 per share (“Class A Shares”) of Bitdeer Technologies Group held by Tether International, S.A. de C.V., a wholly owned subsidiary of Tether Global Investments Fund, S.I.C.A.F., S.A.</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Holdings Limited (the predecessor of Tether Global Investments Fund, S.I.C.A.F., S.A.),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Transactions in Class A Shares</w:t>
      </w:r>
    </w:p>
    <w:p>
      <w:pPr>
        <w:spacing w:after="0" w:line="23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following table lists all transactions completed by Tether Investments S.A. de C.V. in the Class A Shares since April 16, 2026, which were all completed through open market transactions:</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80" w:type="dxa"/>
            <w:vAlign w:val="bottom"/>
            <w:tcBorders>
              <w:top w:val="single" w:sz="8" w:color="auto"/>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 2026</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373,904</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20.3668</w:t>
            </w:r>
          </w:p>
        </w:tc>
      </w:tr>
      <w:tr>
        <w:trPr>
          <w:trHeight w:val="209"/>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4, 2026</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253,117</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20.0137</w:t>
            </w:r>
          </w:p>
        </w:tc>
      </w:tr>
      <w:tr>
        <w:trPr>
          <w:trHeight w:val="696"/>
        </w:trPr>
        <w:tc>
          <w:tcPr>
            <w:tcW w:w="40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June 30,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Global Investments Fund, S.I.C.A.F.,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Omar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Omar Rossi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INTERNATIONAL,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Giancarlo Devasini</w:t>
      </w:r>
      <w:r>
        <w:rPr>
          <w:rFonts w:ascii="Times New Roman" w:cs="Times New Roman" w:eastAsia="Times New Roman" w:hAnsi="Times New Roman"/>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2026-06-30T14:43:18Z</dcterms:created>
  <dcterms:modified xsi:type="dcterms:W3CDTF">2026-06-30T14:43:18Z</dcterms:modified>
</cp:coreProperties>
</file>