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December 16,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Ms. Irene Paik</w:t>
      </w:r>
    </w:p>
    <w:p>
      <w:pPr>
        <w:spacing w:after="0" w:line="221"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Bitdeer Technologies Group</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 on Form F-3 (File No. 333-283732)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Pursuant to Rule 461 of Regulation C (“</w:t>
      </w:r>
      <w:r>
        <w:rPr>
          <w:rFonts w:ascii="Times New Roman" w:cs="Times New Roman" w:eastAsia="Times New Roman" w:hAnsi="Times New Roman"/>
          <w:sz w:val="18"/>
          <w:szCs w:val="18"/>
          <w:b w:val="1"/>
          <w:bCs w:val="1"/>
          <w:i w:val="1"/>
          <w:iCs w:val="1"/>
          <w:color w:val="auto"/>
        </w:rPr>
        <w:t>Rule 461</w:t>
      </w:r>
      <w:r>
        <w:rPr>
          <w:rFonts w:ascii="Times New Roman" w:cs="Times New Roman" w:eastAsia="Times New Roman" w:hAnsi="Times New Roman"/>
          <w:sz w:val="18"/>
          <w:szCs w:val="18"/>
          <w:color w:val="auto"/>
        </w:rPr>
        <w:t>”) promulgated under the Securities Act of 1933, as amended, the undersigned registrant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effectiveness of the above-referenced Registration Statement on Form F-3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be accelerated to, and that the Registration Statement become effective at, 4:00 p.m., Eastern Time on December 18, 2024, or as soon thereafter as practicable.</w:t>
      </w:r>
    </w:p>
    <w:p>
      <w:pPr>
        <w:spacing w:after="0" w:line="17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is any change in the acceleration request set forth above, the Registrant will promptly notify you of the change, in which case the Registrant may be making an oral request of acceleration of the effectiveness of the Registration Statement in accordance with Rule 461. Such request may be made by an executive officer of the Registrant or by any attorney from the Registrant’s U.S. counsel, Cooley LLP.</w:t>
      </w:r>
    </w:p>
    <w:p>
      <w:pPr>
        <w:spacing w:after="0" w:line="176"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have any questions regarding this request and to provide notice of effectiveness, please contact Reid S. Hooper by phone at +1 202 776 2097 or via email at rhooper@cooley.com or Will H. Cai by phone at +852 3758 1210 or via email at wcai@cooley.com.</w:t>
      </w: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3"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ectPr>
          <w:pgSz w:w="11900" w:h="16838" w:orient="portrait"/>
          <w:cols w:equalWidth="0" w:num="1">
            <w:col w:w="11240"/>
          </w:cols>
          <w:pgMar w:left="320" w:top="229" w:right="339" w:bottom="1440" w:gutter="0" w:footer="0" w:header="0"/>
        </w:sectPr>
      </w:pPr>
    </w:p>
    <w:p>
      <w:pPr>
        <w:spacing w:after="0" w:line="256"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4"/>
          <w:szCs w:val="24"/>
          <w:color w:val="auto"/>
        </w:rPr>
      </w:pPr>
    </w:p>
    <w:p>
      <w:pPr>
        <w:spacing w:after="0" w:line="223" w:lineRule="exact"/>
        <w:rPr>
          <w:sz w:val="24"/>
          <w:szCs w:val="24"/>
          <w:color w:val="auto"/>
        </w:rPr>
      </w:pPr>
    </w:p>
    <w:p>
      <w:pPr>
        <w:ind w:left="660" w:right="60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Linghui Kong, Chief Business Officer, Bitdeer Technologies Group Will H. Cai, Esq., Cooley LLP</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Reid S. Hooper, Esq., Cooley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Jihan Wu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068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Jihan Wu</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sectPr>
      <w:pgSz w:w="11900" w:h="16838" w:orient="portrait"/>
      <w:cols w:equalWidth="0" w:num="2">
        <w:col w:w="6120" w:space="280"/>
        <w:col w:w="4840"/>
      </w:cols>
      <w:pgMar w:left="320" w:top="22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2025-01-22T23:10:44Z</dcterms:created>
  <dcterms:modified xsi:type="dcterms:W3CDTF">2025-01-22T23:10:44Z</dcterms:modified>
</cp:coreProperties>
</file>