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4853d1_6k.htm"/>
      <w:bookmarkStart w:id="1" w:name="kstm2314853d1_6k"/>
      <w:bookmarkEnd w:id="0"/>
      <w:bookmarkEnd w:id="1"/>
      <w:r>
        <w:rPr/>
        <w:t> </w:t>
      </w:r>
    </w:p>
    <w:p>
      <w:pPr>
        <w:pStyle w:val="TextBody"/>
        <w:spacing w:before="240" w:after="60"/>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BITDEER TECHNOLOGIES GROUP</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spacing w:before="0" w:after="0"/>
        <w:ind w:left="0" w:right="0" w:hanging="0"/>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rPr>
          <w:caps w:val="false"/>
          <w:smallCaps w:val="false"/>
        </w:rPr>
      </w:pPr>
      <w:r>
        <w:rPr>
          <w:caps w:val="false"/>
          <w:smallCaps w:val="false"/>
        </w:rPr>
        <w:t> </w:t>
      </w:r>
    </w:p>
    <w:tbl>
      <w:tblPr>
        <w:tblW w:w="2470" w:type="dxa"/>
        <w:jc w:val="left"/>
        <w:tblInd w:w="0" w:type="dxa"/>
        <w:tblCellMar>
          <w:top w:w="0" w:type="dxa"/>
          <w:left w:w="0" w:type="dxa"/>
          <w:bottom w:w="0" w:type="dxa"/>
          <w:right w:w="0" w:type="dxa"/>
        </w:tblCellMar>
      </w:tblPr>
      <w:tblGrid>
        <w:gridCol w:w="1205"/>
        <w:gridCol w:w="60"/>
        <w:gridCol w:w="1205"/>
      </w:tblGrid>
      <w:tr>
        <w:trPr/>
        <w:tc>
          <w:tcPr>
            <w:tcW w:w="1205" w:type="dxa"/>
            <w:tcBorders/>
            <w:shd w:fill="FFFFFF" w:val="clear"/>
            <w:vAlign w:val="center"/>
          </w:tcPr>
          <w:p>
            <w:pPr>
              <w:pStyle w:val="TableContents"/>
              <w:spacing w:before="0" w:after="283"/>
              <w:rPr>
                <w:b/>
              </w:rPr>
            </w:pPr>
            <w:r>
              <w:rPr>
                <w:b/>
              </w:rPr>
              <w:t>Exhibit No.</w:t>
            </w:r>
          </w:p>
        </w:tc>
        <w:tc>
          <w:tcPr>
            <w:tcW w:w="60" w:type="dxa"/>
            <w:tcBorders/>
            <w:shd w:fill="FFFFFF" w:val="clear"/>
            <w:vAlign w:val="center"/>
          </w:tcPr>
          <w:p>
            <w:pPr>
              <w:pStyle w:val="TableContents"/>
              <w:spacing w:before="0" w:after="283"/>
              <w:rPr/>
            </w:pPr>
            <w:r>
              <w:rPr/>
              <w:t> </w:t>
            </w:r>
          </w:p>
        </w:tc>
        <w:tc>
          <w:tcPr>
            <w:tcW w:w="1205" w:type="dxa"/>
            <w:tcBorders/>
            <w:shd w:fill="FFFFFF" w:val="clear"/>
            <w:vAlign w:val="center"/>
          </w:tcPr>
          <w:p>
            <w:pPr>
              <w:pStyle w:val="TableContents"/>
              <w:spacing w:before="0" w:after="283"/>
              <w:rPr>
                <w:b/>
              </w:rPr>
            </w:pPr>
            <w:r>
              <w:rPr>
                <w:b/>
              </w:rPr>
              <w:t>Description</w:t>
            </w:r>
          </w:p>
        </w:tc>
      </w:tr>
      <w:tr>
        <w:trPr/>
        <w:tc>
          <w:tcPr>
            <w:tcW w:w="12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5" w:type="dxa"/>
            <w:tcBorders/>
            <w:shd w:fill="FFFFFF" w:val="clear"/>
            <w:vAlign w:val="center"/>
          </w:tcPr>
          <w:p>
            <w:pPr>
              <w:pStyle w:val="TableContents"/>
              <w:spacing w:before="0" w:after="283"/>
              <w:rPr/>
            </w:pPr>
            <w:r>
              <w:rPr/>
              <w:t> </w:t>
            </w:r>
          </w:p>
        </w:tc>
      </w:tr>
      <w:tr>
        <w:trPr/>
        <w:tc>
          <w:tcPr>
            <w:tcW w:w="1205" w:type="dxa"/>
            <w:tcBorders/>
            <w:shd w:fill="FFFFFF" w:val="clear"/>
            <w:vAlign w:val="center"/>
          </w:tcPr>
          <w:p>
            <w:pPr>
              <w:pStyle w:val="TableContents"/>
              <w:spacing w:before="0" w:after="283"/>
              <w:rPr/>
            </w:pPr>
            <w:hyperlink w:anchor="tm2314853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spacing w:before="0" w:after="283"/>
              <w:rPr/>
            </w:pPr>
            <w:r>
              <w:rPr/>
              <w:t> </w:t>
            </w:r>
          </w:p>
        </w:tc>
        <w:tc>
          <w:tcPr>
            <w:tcW w:w="1205" w:type="dxa"/>
            <w:tcBorders/>
            <w:shd w:fill="FFFFFF" w:val="clear"/>
            <w:vAlign w:val="center"/>
          </w:tcPr>
          <w:p>
            <w:pPr>
              <w:pStyle w:val="TableContents"/>
              <w:spacing w:before="0" w:after="283"/>
              <w:rPr/>
            </w:pPr>
            <w:hyperlink w:anchor="tm2314853d1_ex99-1.htm">
              <w:r>
                <w:rPr>
                  <w:rStyle w:val="InternetLink"/>
                  <w:rFonts w:ascii="Times New Roman;Times;Serif" w:hAnsi="Times New Roman;Times;Serif"/>
                  <w:sz w:val="20"/>
                </w:rPr>
                <w:t>Press Release</w:t>
              </w:r>
            </w:hyperlink>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2575" w:type="dxa"/>
        <w:jc w:val="left"/>
        <w:tblInd w:w="0" w:type="dxa"/>
        <w:tblCellMar>
          <w:top w:w="0" w:type="dxa"/>
          <w:left w:w="0" w:type="dxa"/>
          <w:bottom w:w="0" w:type="dxa"/>
          <w:right w:w="0" w:type="dxa"/>
        </w:tblCellMar>
      </w:tblPr>
      <w:tblGrid>
        <w:gridCol w:w="75"/>
        <w:gridCol w:w="545"/>
        <w:gridCol w:w="195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500" w:type="dxa"/>
            <w:gridSpan w:val="2"/>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500" w:type="dxa"/>
            <w:gridSpan w:val="2"/>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Linghui Kong</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Linghui Kong</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8,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2" w:name="tm2314853d1_ex99-1.htm"/>
      <w:bookmarkStart w:id="3" w:name="kstm2314853d1_ex991"/>
      <w:bookmarkEnd w:id="2"/>
      <w:bookmarkEnd w:id="3"/>
      <w:r>
        <w:rPr/>
        <w:t> </w:t>
      </w:r>
    </w:p>
    <w:p>
      <w:pPr>
        <w:pStyle w:val="TextBody"/>
        <w:jc w:val="right"/>
        <w:rPr>
          <w:b/>
        </w:rPr>
      </w:pPr>
      <w:r>
        <w:rPr>
          <w:b/>
        </w:rPr>
        <w:t>Exhibit 99.1</w:t>
      </w:r>
    </w:p>
    <w:p>
      <w:pPr>
        <w:pStyle w:val="TextBody"/>
        <w:spacing w:before="0" w:after="0"/>
        <w:ind w:left="0" w:right="0" w:hanging="0"/>
        <w:rPr>
          <w:caps w:val="false"/>
          <w:smallCaps w:val="false"/>
        </w:rPr>
      </w:pPr>
      <w:r>
        <w:rPr>
          <w:caps w:val="false"/>
          <w:smallCaps w:val="false"/>
        </w:rPr>
        <w:t> </w:t>
      </w:r>
    </w:p>
    <w:tbl>
      <w:tblPr>
        <w:tblW w:w="2809" w:type="dxa"/>
        <w:jc w:val="left"/>
        <w:tblInd w:w="0" w:type="dxa"/>
        <w:tblCellMar>
          <w:top w:w="0" w:type="dxa"/>
          <w:left w:w="0" w:type="dxa"/>
          <w:bottom w:w="0" w:type="dxa"/>
          <w:right w:w="0" w:type="dxa"/>
        </w:tblCellMar>
      </w:tblPr>
      <w:tblGrid>
        <w:gridCol w:w="469"/>
        <w:gridCol w:w="2340"/>
      </w:tblGrid>
      <w:tr>
        <w:trPr/>
        <w:tc>
          <w:tcPr>
            <w:tcW w:w="469" w:type="dxa"/>
            <w:tcBorders/>
            <w:shd w:fill="auto" w:val="clear"/>
            <w:vAlign w:val="center"/>
          </w:tcPr>
          <w:p>
            <w:pPr>
              <w:pStyle w:val="TableContents"/>
              <w:spacing w:before="0" w:after="283"/>
              <w:jc w:val="both"/>
              <w:rPr/>
            </w:pPr>
            <w:r>
              <w:rPr/>
              <w:drawing>
                <wp:inline distT="0" distB="0" distL="0" distR="0">
                  <wp:extent cx="288290" cy="1828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8290" cy="182880"/>
                          </a:xfrm>
                          <a:prstGeom prst="rect">
                            <a:avLst/>
                          </a:prstGeom>
                        </pic:spPr>
                      </pic:pic>
                    </a:graphicData>
                  </a:graphic>
                </wp:inline>
              </w:drawing>
            </w:r>
          </w:p>
        </w:tc>
        <w:tc>
          <w:tcPr>
            <w:tcW w:w="2340" w:type="dxa"/>
            <w:tcBorders/>
            <w:shd w:fill="auto" w:val="clear"/>
            <w:vAlign w:val="center"/>
          </w:tcPr>
          <w:p>
            <w:pPr>
              <w:pStyle w:val="TableContents"/>
              <w:spacing w:before="0" w:after="283"/>
              <w:jc w:val="right"/>
              <w:rPr/>
            </w:pPr>
            <w:r>
              <w:rPr/>
              <w:drawing>
                <wp:inline distT="0" distB="0" distL="0" distR="0">
                  <wp:extent cx="147637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295275"/>
                          </a:xfrm>
                          <a:prstGeom prst="rect">
                            <a:avLst/>
                          </a:prstGeom>
                        </pic:spPr>
                      </pic:pic>
                    </a:graphicData>
                  </a:graphic>
                </wp:inline>
              </w:drawing>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color w:val="1F1F1F"/>
          <w:sz w:val="20"/>
        </w:rPr>
      </w:pPr>
      <w:r>
        <w:rPr>
          <w:rFonts w:ascii="Times New Roman;Times;Serif" w:hAnsi="Times New Roman;Times;Serif"/>
          <w:b/>
          <w:i w:val="false"/>
          <w:caps w:val="false"/>
          <w:smallCaps w:val="false"/>
          <w:color w:val="1F1F1F"/>
          <w:sz w:val="20"/>
        </w:rPr>
        <w:t>Bitdeer and Druk Holding &amp; Investments to Jointly Develop Green Digital Asset Mining Operations in the Kingdom of Bhutan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color w:val="1F1F1F"/>
          <w:sz w:val="20"/>
        </w:rPr>
      </w:pPr>
      <w:r>
        <w:rPr>
          <w:rFonts w:ascii="Times New Roman;Times;Serif" w:hAnsi="Times New Roman;Times;Serif"/>
          <w:b w:val="false"/>
          <w:i/>
          <w:caps w:val="false"/>
          <w:smallCaps w:val="false"/>
          <w:color w:val="1F1F1F"/>
          <w:sz w:val="20"/>
        </w:rPr>
        <w:t>Partnership to operate 100% carbon-free mining datacenter, accelerate Bhutan’s economic and digital transformation and expand Bitdeer's global footprint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1F1F1F"/>
          <w:sz w:val="20"/>
        </w:rPr>
        <w:t xml:space="preserve">Singapore &amp; Thimphu, Bhutan – May 3, 2023 </w:t>
      </w:r>
      <w:r>
        <w:rPr>
          <w:rFonts w:ascii="Times New Roman;Times;Serif" w:hAnsi="Times New Roman;Times;Serif"/>
          <w:b w:val="false"/>
          <w:i w:val="false"/>
          <w:caps w:val="false"/>
          <w:smallCaps w:val="false"/>
          <w:color w:val="1F1F1F"/>
          <w:sz w:val="20"/>
        </w:rPr>
        <w:t xml:space="preserve">– </w:t>
      </w:r>
      <w:r>
        <w:rPr>
          <w:rFonts w:ascii="Times New Roman;Times;Serif" w:hAnsi="Times New Roman;Times;Serif"/>
          <w:b w:val="false"/>
          <w:i w:val="false"/>
          <w:caps w:val="false"/>
          <w:smallCaps w:val="false"/>
          <w:sz w:val="20"/>
        </w:rPr>
        <w:t>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a world-leading, Nasdaq-listed technology company for the cryptocurrency mining community, and Druk Holding &amp; Investments (“</w:t>
      </w:r>
      <w:r>
        <w:rPr>
          <w:rFonts w:ascii="Times New Roman;Times;Serif" w:hAnsi="Times New Roman;Times;Serif"/>
          <w:b/>
          <w:i w:val="false"/>
          <w:caps w:val="false"/>
          <w:smallCaps w:val="false"/>
          <w:sz w:val="20"/>
        </w:rPr>
        <w:t>DHI</w:t>
      </w:r>
      <w:r>
        <w:rPr>
          <w:rFonts w:ascii="Times New Roman;Times;Serif" w:hAnsi="Times New Roman;Times;Serif"/>
          <w:b w:val="false"/>
          <w:i w:val="false"/>
          <w:caps w:val="false"/>
          <w:smallCaps w:val="false"/>
          <w:sz w:val="20"/>
        </w:rPr>
        <w:t>”), the commercial arm of the Royal Government of Bhutan, today announce a strategic partnership to develop environmentally sustainable, carbon- free digital asset mining operations in the Kingdom of Bhutan (the “</w:t>
      </w:r>
      <w:r>
        <w:rPr>
          <w:rFonts w:ascii="Times New Roman;Times;Serif" w:hAnsi="Times New Roman;Times;Serif"/>
          <w:b/>
          <w:i w:val="false"/>
          <w:caps w:val="false"/>
          <w:smallCaps w:val="false"/>
          <w:sz w:val="20"/>
        </w:rPr>
        <w:t>Partnership</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and DHI expect to launch the Partnership through establishing a closed-end fund with an estimated size of up to US$500 million (the “</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Fundraising is expected to commence at the end of May, with the goal to attract investment from the international community. The Fund will leverage Bitdeer’s expertise and support to advance DHI’s digital asset mining and investment and blockchain initiatives in Bhutan. Bitdeer will serve as the general partner, while DHI will act as a strategic limited partner.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Jihan Wu, Chairman of Bitdeer Technologies Group</w:t>
      </w:r>
      <w:r>
        <w:rPr>
          <w:rFonts w:ascii="Times New Roman;Times;Serif" w:hAnsi="Times New Roman;Times;Serif"/>
          <w:b w:val="false"/>
          <w:i w:val="false"/>
          <w:caps w:val="false"/>
          <w:smallCaps w:val="false"/>
          <w:sz w:val="20"/>
        </w:rPr>
        <w:t>, said, “We are excited to be working alongside DHI in accessing Bhutan’s zero-emissions power to sustainably enable the blockchain technologies that will eventually form an immutable bedrock for a global store of value. The new Fund will also represent a pathway to foster global stakeholder networks that are driving growth and innovation in the technology sector in Bhutan.”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Ujjwal Deep Dahal, CEO of Druk Holding and Investments</w:t>
      </w:r>
      <w:r>
        <w:rPr>
          <w:rFonts w:ascii="Times New Roman;Times;Serif" w:hAnsi="Times New Roman;Times;Serif"/>
          <w:b w:val="false"/>
          <w:i w:val="false"/>
          <w:caps w:val="false"/>
          <w:smallCaps w:val="false"/>
          <w:sz w:val="20"/>
        </w:rPr>
        <w:t>, commented, “We are thrilled to partner with Bitdeer on this important development for DHI. DHI exists for the betterment of the lives of Bhutanese people today and for generations to follow. The Partnership with Bitdeer to launch a carbon-free digital asset mining datacenter represents an investment in a more connected and sustainable domestic economy, helping ensure we are at the forefront of global innovation.”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raised will be channelled toward greenfield operations in Bhutan, encompassing the construction of datacenters and the acquisition of cutting-edge technology (the “</w:t>
      </w:r>
      <w:r>
        <w:rPr>
          <w:rFonts w:ascii="Times New Roman;Times;Serif" w:hAnsi="Times New Roman;Times;Serif"/>
          <w:b/>
          <w:i w:val="false"/>
          <w:caps w:val="false"/>
          <w:smallCaps w:val="false"/>
          <w:sz w:val="20"/>
        </w:rPr>
        <w:t>Initiative</w:t>
      </w:r>
      <w:r>
        <w:rPr>
          <w:rFonts w:ascii="Times New Roman;Times;Serif" w:hAnsi="Times New Roman;Times;Serif"/>
          <w:b w:val="false"/>
          <w:i w:val="false"/>
          <w:caps w:val="false"/>
          <w:smallCaps w:val="false"/>
          <w:sz w:val="20"/>
        </w:rPr>
        <w:t>”), which aligns with Bhutan’s ambitious plans to accelerate the Kingdom’s digital transformation and economic diversification by exploring emerging sectors. This Initiative includes investments in strategic areas such as renewable energy assets that include hydropower, green ammonia and the hydrogen fuel economy, and also in emerging technologies such as blockchain, artificial intelligence, machine learning systems, carbon credit platforms and the metaverse.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3345" w:type="dxa"/>
        <w:jc w:val="left"/>
        <w:tblInd w:w="0" w:type="dxa"/>
        <w:tblCellMar>
          <w:top w:w="0" w:type="dxa"/>
          <w:left w:w="0" w:type="dxa"/>
          <w:bottom w:w="0" w:type="dxa"/>
          <w:right w:w="0" w:type="dxa"/>
        </w:tblCellMar>
      </w:tblPr>
      <w:tblGrid>
        <w:gridCol w:w="960"/>
        <w:gridCol w:w="2385"/>
      </w:tblGrid>
      <w:tr>
        <w:trPr/>
        <w:tc>
          <w:tcPr>
            <w:tcW w:w="960" w:type="dxa"/>
            <w:tcBorders/>
            <w:shd w:fill="auto" w:val="clear"/>
            <w:vAlign w:val="center"/>
          </w:tcPr>
          <w:p>
            <w:pPr>
              <w:pStyle w:val="TableContents"/>
              <w:spacing w:before="0" w:after="283"/>
              <w:jc w:val="both"/>
              <w:rPr/>
            </w:pPr>
            <w:r>
              <w:rPr/>
              <w:drawing>
                <wp:inline distT="0" distB="0" distL="0" distR="0">
                  <wp:extent cx="6000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0075" cy="381000"/>
                          </a:xfrm>
                          <a:prstGeom prst="rect">
                            <a:avLst/>
                          </a:prstGeom>
                        </pic:spPr>
                      </pic:pic>
                    </a:graphicData>
                  </a:graphic>
                </wp:inline>
              </w:drawing>
            </w:r>
          </w:p>
        </w:tc>
        <w:tc>
          <w:tcPr>
            <w:tcW w:w="2385" w:type="dxa"/>
            <w:tcBorders/>
            <w:shd w:fill="auto" w:val="clear"/>
            <w:vAlign w:val="center"/>
          </w:tcPr>
          <w:p>
            <w:pPr>
              <w:pStyle w:val="TableContents"/>
              <w:spacing w:before="0" w:after="283"/>
              <w:jc w:val="right"/>
              <w:rPr/>
            </w:pPr>
            <w:r>
              <w:rPr/>
              <w:t> </w:t>
            </w:r>
            <w:r>
              <w:rPr/>
              <w:drawing>
                <wp:inline distT="0" distB="0" distL="0" distR="0">
                  <wp:extent cx="1466850"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6850" cy="304800"/>
                          </a:xfrm>
                          <a:prstGeom prst="rect">
                            <a:avLst/>
                          </a:prstGeom>
                        </pic:spPr>
                      </pic:pic>
                    </a:graphicData>
                  </a:graphic>
                </wp:inline>
              </w:drawing>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expected to create local jobs in areas ranging from engineering to project management, supervisory and supportive functions. At the same time, the Partnership is expected to generate economic activity and foreign-currency-denominated revenue for local communities and the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upcoming carbon-free digital asset mining operations in Bhutan mark a crucial expansion into Asia of Bitdeer, complementing Bitdeer’s existing datacenters in Northern Europe and North America. Expected to launch in May 2023, the Partnership will enable Bitdeer to tap into Asia’s abundant resources, contributing to the flourishing regional ecosystem.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 commenced trading on Nasdaq on April 14,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 End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color w:val="1F1F1F"/>
          <w:sz w:val="20"/>
        </w:rPr>
      </w:pPr>
      <w:r>
        <w:rPr>
          <w:rFonts w:ascii="Times New Roman;Times;Serif" w:hAnsi="Times New Roman;Times;Serif"/>
          <w:b/>
          <w:i/>
          <w:caps w:val="false"/>
          <w:smallCaps w:val="false"/>
          <w:color w:val="1F1F1F"/>
          <w:sz w:val="20"/>
        </w:rPr>
        <w:t>About Bitdeer Technologies Group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Bitdeer is a world-leading technology company for the cryptocurrency mining community headquartered in Singapore. Bitdeer is committed to providing comprehensive digital asset mining solutions for its customers and handles complex processes involved in mining including miner procurement, transport logistics, mining datacenter design and construction, mining machine management and daily operations. Bitdeer has mining datacenters deployed in the United States and Norway.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To learn more, visit </w:t>
      </w:r>
      <w:r>
        <w:rPr>
          <w:rFonts w:ascii="Times New Roman;Times;Serif" w:hAnsi="Times New Roman;Times;Serif"/>
          <w:b/>
          <w:i w:val="false"/>
          <w:caps w:val="false"/>
          <w:smallCaps w:val="false"/>
          <w:sz w:val="20"/>
          <w:u w:val="single"/>
        </w:rPr>
        <w:t>www.bitdeer.com</w:t>
      </w:r>
      <w:r>
        <w:rPr>
          <w:rFonts w:ascii="Times New Roman;Times;Serif" w:hAnsi="Times New Roman;Times;Serif"/>
          <w:b/>
          <w:i w:val="false"/>
          <w:caps w:val="false"/>
          <w:smallCaps w:val="false"/>
          <w:color w:val="1F1F1F"/>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color w:val="1F1F1F"/>
          <w:sz w:val="20"/>
        </w:rPr>
      </w:pPr>
      <w:r>
        <w:rPr>
          <w:rFonts w:ascii="Times New Roman;Times;Serif" w:hAnsi="Times New Roman;Times;Serif"/>
          <w:b/>
          <w:i/>
          <w:caps w:val="false"/>
          <w:smallCaps w:val="false"/>
          <w:color w:val="1F1F1F"/>
          <w:sz w:val="20"/>
        </w:rPr>
        <w:t>About Druk Holding &amp; Investments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Druk Holding &amp; Investments, the commercial arm and trusted steward of the Royal Government of Bhutan, was established in 2007 to hold and manage the existing and future investments of the Royal Government for the long-term benefit of the people of Bhutan. As the largest and only government- owned holding company in Bhutan, DHI holds shares of 21 different domestic companies operating in the manufacturing, energy, natural resources, financial, communication, aviation, trading and real estate sectors.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DHI’s wider portfolio contains investments across a range of asset classes that deliver exposure to traditional sectors and the industries driving the modern economy. This includes global equities, fixed income and venture capital investments in promising startups; domestic and international real estate; renewable energy including hydropower generation; healthtech, biotech, life sciences and agritech; and digital asset mining and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DHI’s future-facing investment strategy is helping to build a more connected and sustainable Bhutan by deepening local knowledge of and engagement in the technology landscape. At the same time, it fosters relevant human capital for industries of the future, creating jobs and preparing citizens to participate in the modern global economy from within Bhutan.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visit </w:t>
      </w:r>
      <w:r>
        <w:rPr>
          <w:rFonts w:ascii="Times New Roman;Times;Serif" w:hAnsi="Times New Roman;Times;Serif"/>
          <w:b/>
          <w:i w:val="false"/>
          <w:caps w:val="false"/>
          <w:smallCaps w:val="false"/>
          <w:sz w:val="20"/>
          <w:u w:val="single"/>
        </w:rPr>
        <w:t>https://www.dhi.bt/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3345" w:type="dxa"/>
        <w:jc w:val="left"/>
        <w:tblInd w:w="0" w:type="dxa"/>
        <w:tblCellMar>
          <w:top w:w="0" w:type="dxa"/>
          <w:left w:w="0" w:type="dxa"/>
          <w:bottom w:w="0" w:type="dxa"/>
          <w:right w:w="0" w:type="dxa"/>
        </w:tblCellMar>
      </w:tblPr>
      <w:tblGrid>
        <w:gridCol w:w="945"/>
        <w:gridCol w:w="2400"/>
      </w:tblGrid>
      <w:tr>
        <w:trPr/>
        <w:tc>
          <w:tcPr>
            <w:tcW w:w="945" w:type="dxa"/>
            <w:tcBorders/>
            <w:shd w:fill="auto" w:val="clear"/>
            <w:vAlign w:val="center"/>
          </w:tcPr>
          <w:p>
            <w:pPr>
              <w:pStyle w:val="TableContents"/>
              <w:spacing w:before="0" w:after="283"/>
              <w:rPr/>
            </w:pPr>
            <w:r>
              <w:rPr/>
              <w:drawing>
                <wp:inline distT="0" distB="0" distL="0" distR="0">
                  <wp:extent cx="5905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0550" cy="390525"/>
                          </a:xfrm>
                          <a:prstGeom prst="rect">
                            <a:avLst/>
                          </a:prstGeom>
                        </pic:spPr>
                      </pic:pic>
                    </a:graphicData>
                  </a:graphic>
                </wp:inline>
              </w:drawing>
            </w:r>
          </w:p>
        </w:tc>
        <w:tc>
          <w:tcPr>
            <w:tcW w:w="2400" w:type="dxa"/>
            <w:tcBorders/>
            <w:shd w:fill="auto" w:val="clear"/>
            <w:vAlign w:val="center"/>
          </w:tcPr>
          <w:p>
            <w:pPr>
              <w:pStyle w:val="TableContents"/>
              <w:spacing w:before="0" w:after="283"/>
              <w:jc w:val="right"/>
              <w:rPr/>
            </w:pPr>
            <w:r>
              <w:rPr/>
              <w:t> </w:t>
            </w:r>
            <w:r>
              <w:rPr/>
              <w:drawing>
                <wp:inline distT="0" distB="0" distL="0" distR="0">
                  <wp:extent cx="1476375"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76375" cy="304800"/>
                          </a:xfrm>
                          <a:prstGeom prst="rect">
                            <a:avLst/>
                          </a:prstGeom>
                        </pic:spPr>
                      </pic:pic>
                    </a:graphicData>
                  </a:graphic>
                </wp:inline>
              </w:drawing>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color w:val="1F1F1F"/>
          <w:sz w:val="20"/>
        </w:rPr>
      </w:pPr>
      <w:r>
        <w:rPr>
          <w:rFonts w:ascii="Times New Roman;Times;Serif" w:hAnsi="Times New Roman;Times;Serif"/>
          <w:b/>
          <w:i/>
          <w:caps w:val="false"/>
          <w:smallCaps w:val="false"/>
          <w:color w:val="1F1F1F"/>
          <w:sz w:val="20"/>
        </w:rPr>
        <w:t>Forward-Looking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shell company report on Form 20-F and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pStyle w:val="TextBody"/>
        <w:spacing w:before="0" w:after="0"/>
        <w:ind w:left="0" w:right="0" w:hanging="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2525"/>
        <w:gridCol w:w="1340"/>
      </w:tblGrid>
      <w:tr>
        <w:trPr/>
        <w:tc>
          <w:tcPr>
            <w:tcW w:w="2525" w:type="dxa"/>
            <w:tcBorders/>
            <w:shd w:fill="auto" w:val="clear"/>
            <w:vAlign w:val="center"/>
          </w:tcPr>
          <w:p>
            <w:pPr>
              <w:pStyle w:val="TableContents"/>
              <w:spacing w:before="0" w:after="283"/>
              <w:jc w:val="left"/>
              <w:rPr>
                <w:rFonts w:ascii="Times New Roman;Times;Serif" w:hAnsi="Times New Roman;Times;Serif"/>
                <w:b/>
                <w:i w:val="false"/>
                <w:caps w:val="false"/>
                <w:smallCaps w:val="false"/>
                <w:color w:val="1F1F1F"/>
                <w:sz w:val="20"/>
              </w:rPr>
            </w:pPr>
            <w:r>
              <w:rPr>
                <w:rFonts w:ascii="Times New Roman;Times;Serif" w:hAnsi="Times New Roman;Times;Serif"/>
                <w:b/>
                <w:i w:val="false"/>
                <w:caps w:val="false"/>
                <w:smallCaps w:val="false"/>
                <w:color w:val="1F1F1F"/>
                <w:sz w:val="20"/>
              </w:rPr>
              <w:t>Media inquiries:</w:t>
            </w:r>
          </w:p>
        </w:tc>
        <w:tc>
          <w:tcPr>
            <w:tcW w:w="134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525"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52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w:t>
            </w:r>
          </w:p>
        </w:tc>
        <w:tc>
          <w:tcPr>
            <w:tcW w:w="1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pr@bitdeer.com</w:t>
            </w:r>
          </w:p>
        </w:tc>
      </w:tr>
      <w:tr>
        <w:trPr/>
        <w:tc>
          <w:tcPr>
            <w:tcW w:w="2525"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525"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Druk Holding &amp; Investments:</w:t>
            </w:r>
          </w:p>
        </w:tc>
        <w:tc>
          <w:tcPr>
            <w:tcW w:w="13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dhi@dhi.bt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1123</Words>
  <CharactersWithSpaces>7950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