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May 2026 Production and Operations Update</w:t>
            </w: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60" w:type="dxa"/>
            <w:vAlign w:val="bottom"/>
            <w:tcBorders>
              <w:top w:val="single" w:sz="8" w:color="0000EE"/>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w:t>
            </w:r>
          </w:p>
        </w:tc>
        <w:tc>
          <w:tcPr>
            <w:tcW w:w="4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156845</wp:posOffset>
            </wp:positionV>
            <wp:extent cx="323151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15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Announces May 2026 Production and Operations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Monthly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Bitcoin: </w:t>
      </w:r>
      <w:r>
        <w:rPr>
          <w:rFonts w:ascii="Times New Roman" w:cs="Times New Roman" w:eastAsia="Times New Roman" w:hAnsi="Times New Roman"/>
          <w:sz w:val="18"/>
          <w:szCs w:val="18"/>
          <w:color w:val="auto"/>
        </w:rPr>
        <w:t>Production increased 370% Y/Y to 921 Bitcoin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SEALMINERs: </w:t>
      </w:r>
      <w:r>
        <w:rPr>
          <w:rFonts w:ascii="Times New Roman" w:cs="Times New Roman" w:eastAsia="Times New Roman" w:hAnsi="Times New Roman"/>
          <w:sz w:val="18"/>
          <w:szCs w:val="18"/>
          <w:color w:val="auto"/>
        </w:rPr>
        <w:t>Recent launch of SEALMINER DL1 Hydro, designed for Scrypt algorithm mining with Bitdeer’s proprietary ASIC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hydro-cooling thermal management system</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Colocation: </w:t>
      </w:r>
      <w:r>
        <w:rPr>
          <w:rFonts w:ascii="Times New Roman" w:cs="Times New Roman" w:eastAsia="Times New Roman" w:hAnsi="Times New Roman"/>
          <w:sz w:val="18"/>
          <w:szCs w:val="18"/>
          <w:color w:val="auto"/>
        </w:rPr>
        <w:t>Executing on colocation lease agreements is THE top priority for management, with Tydal, Norway site in advanced stages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Cloud: </w:t>
      </w:r>
      <w:r>
        <w:rPr>
          <w:rFonts w:ascii="Times New Roman" w:cs="Times New Roman" w:eastAsia="Times New Roman" w:hAnsi="Times New Roman"/>
          <w:sz w:val="18"/>
          <w:szCs w:val="18"/>
          <w:color w:val="auto"/>
        </w:rPr>
        <w:t>Deployment and production launch of 2 units of NVIDIA GB300 NVL72 clusters, further expanding Bitdeer AI Cloud’s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GPU infrastructure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Key Metrics Summary</w:t>
            </w:r>
          </w:p>
        </w:tc>
        <w:tc>
          <w:tcPr>
            <w:tcW w:w="4040" w:type="dxa"/>
            <w:vAlign w:val="bottom"/>
          </w:tcPr>
          <w:p>
            <w:pPr>
              <w:spacing w:after="0"/>
              <w:rPr>
                <w:sz w:val="20"/>
                <w:szCs w:val="20"/>
                <w:color w:val="auto"/>
              </w:rPr>
            </w:pPr>
          </w:p>
        </w:tc>
      </w:tr>
      <w:tr>
        <w:trPr>
          <w:trHeight w:val="418"/>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Global Energy</w:t>
            </w: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Self-Mining   Co-Mining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AI Cloud</w:t>
            </w:r>
          </w:p>
        </w:tc>
        <w:tc>
          <w:tcPr>
            <w:tcW w:w="4040" w:type="dxa"/>
            <w:vAlign w:val="bottom"/>
          </w:tcPr>
          <w:p>
            <w:pPr>
              <w:spacing w:after="0"/>
              <w:rPr>
                <w:sz w:val="24"/>
                <w:szCs w:val="24"/>
                <w:color w:val="auto"/>
              </w:rPr>
            </w:pPr>
          </w:p>
        </w:tc>
      </w:tr>
      <w:tr>
        <w:trPr>
          <w:trHeight w:val="277"/>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140" w:type="dxa"/>
            <w:vAlign w:val="bottom"/>
            <w:gridSpan w:val="2"/>
          </w:tcPr>
          <w:p>
            <w:pPr>
              <w:ind w:left="80"/>
              <w:spacing w:after="0" w:line="270" w:lineRule="exact"/>
              <w:rPr>
                <w:sz w:val="20"/>
                <w:szCs w:val="20"/>
                <w:color w:val="auto"/>
              </w:rPr>
            </w:pPr>
            <w:r>
              <w:rPr>
                <w:rFonts w:ascii="Times New Roman" w:cs="Times New Roman" w:eastAsia="Times New Roman" w:hAnsi="Times New Roman"/>
                <w:sz w:val="18"/>
                <w:szCs w:val="18"/>
                <w:b w:val="1"/>
                <w:bCs w:val="1"/>
                <w:color w:val="auto"/>
              </w:rPr>
              <w:t>Hash Rate</w:t>
            </w:r>
            <w:r>
              <w:rPr>
                <w:rFonts w:ascii="Times New Roman" w:cs="Times New Roman" w:eastAsia="Times New Roman" w:hAnsi="Times New Roman"/>
                <w:sz w:val="29"/>
                <w:szCs w:val="29"/>
                <w:b w:val="1"/>
                <w:bCs w:val="1"/>
                <w:color w:val="auto"/>
                <w:vertAlign w:val="superscript"/>
              </w:rPr>
              <w:t>1</w:t>
            </w:r>
          </w:p>
        </w:tc>
        <w:tc>
          <w:tcPr>
            <w:tcW w:w="1140" w:type="dxa"/>
            <w:vAlign w:val="bottom"/>
            <w:gridSpan w:val="2"/>
          </w:tcPr>
          <w:p>
            <w:pPr>
              <w:ind w:left="60"/>
              <w:spacing w:after="0" w:line="270" w:lineRule="exact"/>
              <w:rPr>
                <w:sz w:val="20"/>
                <w:szCs w:val="20"/>
                <w:color w:val="auto"/>
              </w:rPr>
            </w:pPr>
            <w:r>
              <w:rPr>
                <w:rFonts w:ascii="Times New Roman" w:cs="Times New Roman" w:eastAsia="Times New Roman" w:hAnsi="Times New Roman"/>
                <w:sz w:val="18"/>
                <w:szCs w:val="18"/>
                <w:b w:val="1"/>
                <w:bCs w:val="1"/>
                <w:color w:val="auto"/>
              </w:rPr>
              <w:t>Hash Rate</w:t>
            </w:r>
            <w:r>
              <w:rPr>
                <w:rFonts w:ascii="Times New Roman" w:cs="Times New Roman" w:eastAsia="Times New Roman" w:hAnsi="Times New Roman"/>
                <w:sz w:val="29"/>
                <w:szCs w:val="29"/>
                <w:b w:val="1"/>
                <w:bCs w:val="1"/>
                <w:color w:val="auto"/>
                <w:vertAlign w:val="superscript"/>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Rigs</w:t>
            </w:r>
          </w:p>
        </w:tc>
        <w:tc>
          <w:tcPr>
            <w:tcW w:w="120" w:type="dxa"/>
            <w:vAlign w:val="bottom"/>
          </w:tcPr>
          <w:p>
            <w:pPr>
              <w:spacing w:after="0"/>
              <w:rPr>
                <w:sz w:val="24"/>
                <w:szCs w:val="24"/>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Mined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ARR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Colocation AI Data Center</w:t>
            </w:r>
          </w:p>
        </w:tc>
      </w:tr>
      <w:tr>
        <w:trPr>
          <w:trHeight w:val="238"/>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 GW</w:t>
            </w:r>
          </w:p>
        </w:tc>
        <w:tc>
          <w:tcPr>
            <w:tcW w:w="120" w:type="dxa"/>
            <w:vAlign w:val="bottom"/>
          </w:tcPr>
          <w:p>
            <w:pPr>
              <w:spacing w:after="0"/>
              <w:rPr>
                <w:sz w:val="20"/>
                <w:szCs w:val="20"/>
                <w:color w:val="auto"/>
              </w:rPr>
            </w:pPr>
          </w:p>
        </w:tc>
        <w:tc>
          <w:tcPr>
            <w:tcW w:w="1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70.2 (EH/s)</w:t>
            </w:r>
          </w:p>
        </w:tc>
        <w:tc>
          <w:tcPr>
            <w:tcW w:w="120" w:type="dxa"/>
            <w:vAlign w:val="bottom"/>
          </w:tcPr>
          <w:p>
            <w:pPr>
              <w:spacing w:after="0"/>
              <w:rPr>
                <w:sz w:val="20"/>
                <w:szCs w:val="20"/>
                <w:color w:val="auto"/>
              </w:rPr>
            </w:pPr>
          </w:p>
        </w:tc>
        <w:tc>
          <w:tcPr>
            <w:tcW w:w="1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10.0 (EH/s)</w:t>
            </w:r>
          </w:p>
        </w:tc>
        <w:tc>
          <w:tcPr>
            <w:tcW w:w="140" w:type="dxa"/>
            <w:vAlign w:val="bottom"/>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231K</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921</w:t>
            </w:r>
          </w:p>
        </w:tc>
        <w:tc>
          <w:tcPr>
            <w:tcW w:w="220" w:type="dxa"/>
            <w:vAlign w:val="bottom"/>
          </w:tcPr>
          <w:p>
            <w:pPr>
              <w:spacing w:after="0"/>
              <w:rPr>
                <w:sz w:val="20"/>
                <w:szCs w:val="20"/>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~$69M</w:t>
            </w:r>
          </w:p>
        </w:tc>
        <w:tc>
          <w:tcPr>
            <w:tcW w:w="10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Tydal, Norway in advanced stages of negotiations</w:t>
            </w:r>
          </w:p>
        </w:tc>
      </w:tr>
    </w:tbl>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SINGAPORE, June 18, 2026 (GLOBE NEWSWIRE) --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AI and Bitcoin mining infrastructure, today announced its unaudited operations updates for May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ind w:hanging="13"/>
        <w:spacing w:after="0" w:line="256" w:lineRule="auto"/>
        <w:rPr>
          <w:sz w:val="20"/>
          <w:szCs w:val="20"/>
          <w:color w:val="auto"/>
        </w:rPr>
      </w:pPr>
      <w:r>
        <w:rPr>
          <w:rFonts w:ascii="Times New Roman" w:cs="Times New Roman" w:eastAsia="Times New Roman" w:hAnsi="Times New Roman"/>
          <w:sz w:val="18"/>
          <w:szCs w:val="18"/>
          <w:color w:val="auto"/>
        </w:rPr>
        <w:t>“May reflected continued execution across Bitdeer’s AI infrastructure platform. AI Cloud ARR held at approximately $69 million at 90% GPU utilization, with GB300 NVL72 cluster deployment and Nemotron 3 availability reinforcing our enterprise-grade capabilities,” said Michael G. Potter, Chief Financial Officer of Bitdeer. “Tydal, Norway is in advanced stages of negotiations, representing the most visible proof point of our strategy to convert owned power into long-duration contracted revenue across our 3.0 GW global portfolio.” Mr. Potter continued, “Bitcoin production of 921 BTC, up 370% year-over-year, and self-mining hashrate of 70.2 EH/s underscore the complementary strength of our vertically integrated mining platform as we accelerate the AI transition across our sites.”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Mining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Mining, R&amp;D, Manufacturing:</w:t>
      </w:r>
    </w:p>
    <w:p>
      <w:pPr>
        <w:spacing w:after="0" w:line="21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Mined 921 Bitcoins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an increase of 370% Y/Y; we continue to expect momentum in our mining results over the coming months.</w:t>
      </w:r>
    </w:p>
    <w:p>
      <w:pPr>
        <w:spacing w:after="0" w:line="101" w:lineRule="exact"/>
        <w:rPr>
          <w:rFonts w:ascii="Times New Roman" w:cs="Times New Roman" w:eastAsia="Times New Roman" w:hAnsi="Times New Roman"/>
          <w:sz w:val="36"/>
          <w:szCs w:val="36"/>
          <w:color w:val="auto"/>
          <w:vertAlign w:val="superscript"/>
        </w:rPr>
      </w:pPr>
    </w:p>
    <w:p>
      <w:pPr>
        <w:ind w:left="660" w:hanging="328"/>
        <w:spacing w:after="0" w:line="29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Self-mining hash rate reached ~70.2 EH/s. Co-mining hashrate of 10.0 EH/s driven by Co-Mining collaboration, using Bitdeer’s mining rigs operated in 3 </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datacenters</w:t>
      </w:r>
    </w:p>
    <w:p>
      <w:pPr>
        <w:spacing w:after="0" w:line="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launch of SEALMINER DL1 Hydro, designed for Scrypt algorithm mining with Bitdeer’s proprietary ASIC technology with hydro-cooling thermal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Crypto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Hash Rate Metrics: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Self-Mining (Operated in self-owned datacenters)</w:t>
      </w:r>
    </w:p>
    <w:p>
      <w:pPr>
        <w:ind w:left="180"/>
        <w:spacing w:after="0" w:line="200" w:lineRule="auto"/>
        <w:rPr>
          <w:sz w:val="20"/>
          <w:szCs w:val="20"/>
          <w:color w:val="auto"/>
        </w:rPr>
      </w:pPr>
      <w:r>
        <w:rPr>
          <w:rFonts w:ascii="Times New Roman" w:cs="Times New Roman" w:eastAsia="Times New Roman" w:hAnsi="Times New Roman"/>
          <w:sz w:val="18"/>
          <w:szCs w:val="18"/>
          <w:color w:val="auto"/>
        </w:rPr>
        <w:t>Other Proprietary Hash Rate</w:t>
      </w:r>
      <w:r>
        <w:rPr>
          <w:rFonts w:ascii="Times New Roman" w:cs="Times New Roman" w:eastAsia="Times New Roman" w:hAnsi="Times New Roman"/>
          <w:sz w:val="29"/>
          <w:szCs w:val="29"/>
          <w:color w:val="auto"/>
          <w:vertAlign w:val="superscript"/>
        </w:rPr>
        <w:t>4</w:t>
      </w:r>
    </w:p>
    <w:p>
      <w:pPr>
        <w:ind w:left="180"/>
        <w:spacing w:after="0" w:line="204" w:lineRule="auto"/>
        <w:rPr>
          <w:sz w:val="20"/>
          <w:szCs w:val="20"/>
          <w:color w:val="auto"/>
        </w:rPr>
      </w:pPr>
      <w:r>
        <w:rPr>
          <w:rFonts w:ascii="Times New Roman" w:cs="Times New Roman" w:eastAsia="Times New Roman" w:hAnsi="Times New Roman"/>
          <w:sz w:val="18"/>
          <w:szCs w:val="18"/>
          <w:color w:val="auto"/>
        </w:rPr>
        <w:t>Hosting</w:t>
      </w:r>
      <w:r>
        <w:rPr>
          <w:rFonts w:ascii="Times New Roman" w:cs="Times New Roman" w:eastAsia="Times New Roman" w:hAnsi="Times New Roman"/>
          <w:sz w:val="29"/>
          <w:szCs w:val="29"/>
          <w:color w:val="auto"/>
          <w:vertAlign w:val="superscript"/>
        </w:rPr>
        <w:t>5</w:t>
      </w:r>
    </w:p>
    <w:p>
      <w:pPr>
        <w:ind w:left="180"/>
        <w:spacing w:after="0" w:line="203" w:lineRule="auto"/>
        <w:rPr>
          <w:sz w:val="20"/>
          <w:szCs w:val="20"/>
          <w:color w:val="auto"/>
        </w:rPr>
      </w:pPr>
      <w:r>
        <w:rPr>
          <w:rFonts w:ascii="Times New Roman" w:cs="Times New Roman" w:eastAsia="Times New Roman" w:hAnsi="Times New Roman"/>
          <w:sz w:val="18"/>
          <w:szCs w:val="18"/>
          <w:b w:val="1"/>
          <w:bCs w:val="1"/>
          <w:color w:val="auto"/>
        </w:rPr>
        <w:t>Total Hash Rate under Mgmt.</w:t>
      </w:r>
      <w:r>
        <w:rPr>
          <w:rFonts w:ascii="Times New Roman" w:cs="Times New Roman" w:eastAsia="Times New Roman" w:hAnsi="Times New Roman"/>
          <w:sz w:val="29"/>
          <w:szCs w:val="29"/>
          <w:b w:val="1"/>
          <w:bCs w:val="1"/>
          <w:color w:val="auto"/>
          <w:vertAlign w:val="superscript"/>
        </w:rPr>
        <w:t>6</w:t>
      </w:r>
      <w:r>
        <w:rPr>
          <w:rFonts w:ascii="Times New Roman" w:cs="Times New Roman" w:eastAsia="Times New Roman" w:hAnsi="Times New Roman"/>
          <w:sz w:val="18"/>
          <w:szCs w:val="18"/>
          <w:b w:val="1"/>
          <w:bCs w:val="1"/>
          <w:color w:val="auto"/>
        </w:rPr>
        <w:t xml:space="preserve"> (EH/s)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May 2026</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April 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2025</w:t>
            </w:r>
          </w:p>
        </w:tc>
      </w:tr>
      <w:tr>
        <w:trPr>
          <w:trHeight w:val="43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7"/>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c>
          <w:tcPr>
            <w:tcW w:w="2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-668020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-367665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392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6"/>
        </w:trPr>
        <w:tc>
          <w:tcPr>
            <w:tcW w:w="73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Co-Mining (Operated in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datacenters)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Rig Metrics: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Self-Mining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103,000</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86,000</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Mining Rigs under Mgmt.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Co-Mining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BTC Mined</w:t>
            </w:r>
            <w:r>
              <w:rPr>
                <w:rFonts w:ascii="Times New Roman" w:cs="Times New Roman" w:eastAsia="Times New Roman" w:hAnsi="Times New Roman"/>
                <w:sz w:val="29"/>
                <w:szCs w:val="29"/>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39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BTC Held</w:t>
            </w:r>
            <w:r>
              <w:rPr>
                <w:rFonts w:ascii="Times New Roman" w:cs="Times New Roman" w:eastAsia="Times New Roman" w:hAnsi="Times New Roman"/>
                <w:sz w:val="29"/>
                <w:szCs w:val="29"/>
                <w:color w:val="auto"/>
                <w:vertAlign w:val="superscript"/>
              </w:rPr>
              <w:t>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AI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Colocation AI Data Center:</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is in advanced stages of negotiations with a potential colocation tenant for Tydal, Norway and remains in active dialogue in Ohio, Texas and various other sites.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 Cloud Key Metrics:</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38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May 2026</w:t>
            </w:r>
          </w:p>
        </w:tc>
        <w:tc>
          <w:tcPr>
            <w:tcW w:w="36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April 2026</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GPU Amount Deployed</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4,248</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4,184</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GPU Types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H100, H200, B200, GB200, GB300</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H100, H200, B200, GB200</w:t>
            </w:r>
          </w:p>
        </w:tc>
      </w:tr>
      <w:tr>
        <w:trPr>
          <w:trHeight w:val="256"/>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Utilization Rate</w:t>
            </w:r>
            <w:r>
              <w:rPr>
                <w:rFonts w:ascii="Times New Roman" w:cs="Times New Roman" w:eastAsia="Times New Roman" w:hAnsi="Times New Roman"/>
                <w:sz w:val="29"/>
                <w:szCs w:val="29"/>
                <w:color w:val="auto"/>
                <w:vertAlign w:val="superscript"/>
              </w:rPr>
              <w:t>8</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GPUs Under External Subscription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3,305</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3,323</w:t>
            </w:r>
          </w:p>
        </w:tc>
      </w:tr>
      <w:tr>
        <w:trPr>
          <w:trHeight w:val="39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9"/>
                <w:szCs w:val="29"/>
                <w:color w:val="auto"/>
                <w:vertAlign w:val="superscript"/>
              </w:rPr>
              <w:t>9</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~$69M</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~$69M</w:t>
            </w:r>
          </w:p>
        </w:tc>
      </w:tr>
    </w:tbl>
    <w:p>
      <w:pPr>
        <w:spacing w:after="0" w:line="75"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GB300 Deployment and Launch: Successfully completed the deployment and production launch of 2 units of NVIDIA GB300 NVL72 clusters, further expanding Bitdeer AI Cloud’s advanced GPU infrastructure and enabling support for next-generation AI training and inference workloads at scale.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Deployed NVIDIA Nemotron 3 Nano Omni on Day 0 of its launch onto the Bitdeer AI Model Studio via a streamlined, serverless inference API. This significantly expands enterprise model optionality, accelerating the transition from experimentation to production-ready workflows.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the Oslo Tech Show 2026 in Norway, strategically expanding our European footprint. Delivered a keynote address highlighting next-generation data centers and resilient networks designed to support large-scale AI infrastructure.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Infrastructure Summary:</w:t>
            </w: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Energization</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Planned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Site</w:t>
            </w:r>
          </w:p>
        </w:tc>
        <w:tc>
          <w:tcPr>
            <w:tcW w:w="2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18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Timing</w:t>
            </w:r>
            <w:r>
              <w:rPr>
                <w:rFonts w:ascii="Times New Roman" w:cs="Times New Roman" w:eastAsia="Times New Roman" w:hAnsi="Times New Roman"/>
                <w:sz w:val="29"/>
                <w:szCs w:val="29"/>
                <w:b w:val="1"/>
                <w:bCs w:val="1"/>
                <w:color w:val="auto"/>
                <w:w w:val="92"/>
                <w:vertAlign w:val="superscript"/>
              </w:rPr>
              <w:t>10</w:t>
            </w:r>
          </w:p>
        </w:tc>
        <w:tc>
          <w:tcPr>
            <w:tcW w:w="2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Usage</w:t>
            </w:r>
          </w:p>
        </w:tc>
        <w:tc>
          <w:tcPr>
            <w:tcW w:w="40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Construction Update</w:t>
            </w:r>
          </w:p>
        </w:tc>
        <w:tc>
          <w:tcPr>
            <w:tcW w:w="0" w:type="dxa"/>
            <w:vAlign w:val="bottom"/>
          </w:tcPr>
          <w:p>
            <w:pPr>
              <w:spacing w:after="0"/>
              <w:rPr>
                <w:sz w:val="1"/>
                <w:szCs w:val="1"/>
                <w:color w:val="auto"/>
              </w:rPr>
            </w:pPr>
          </w:p>
        </w:tc>
      </w:t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Online Electrical Capacity:</w:t>
            </w: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Rockdale, TX</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Colocation / AI</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active evaluation of AI transition</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Cloud</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Knoxville, TN – phase 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AI Cloud</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Phase  1  AI  data  center  conversion  design  work</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Knoxville, TN – phase 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Q1 ‘27</w:t>
            </w: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initiated, targeting to complete by Q4 ‘26.</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Wenatchee, WA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AI Cloud</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AI data center design documents and building permit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submitted for approval. Core equipment is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being delivered in succession; we plan to begin with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GB300 cluster. Dismantling of the crypto mining</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datacenter started in March 2026. Completion targeted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Q4 ’26.</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Molde, Norway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and in early</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assessment of converting to</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 Cloud</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Tydal, Norway – phase 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Colocation</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Planning and design continue to advance. Orders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critical long-lead equipment have been placed on an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ongoing basis. Engaged Data Center Installations AS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Bitdeer’s design and construction partner for Tydal</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AI datacenter conversion.</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Tydal, Norway – phase 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Q4 ‘26</w:t>
            </w:r>
          </w:p>
        </w:tc>
        <w:tc>
          <w:tcPr>
            <w:tcW w:w="2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Gedu, Bhutan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Jigmeling, Bhutan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Oromia Region, Ethiopia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of the 50 MW site has been completed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energized, with ongoing energization in phases</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driven by SEALMINER deliveries.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Massillon, OH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Cyberjaya, Malaysia</w:t>
            </w:r>
            <w:r>
              <w:rPr>
                <w:rFonts w:ascii="Times New Roman" w:cs="Times New Roman" w:eastAsia="Times New Roman" w:hAnsi="Times New Roman"/>
                <w:sz w:val="29"/>
                <w:szCs w:val="29"/>
                <w:color w:val="auto"/>
                <w:vertAlign w:val="superscript"/>
              </w:rPr>
              <w:t>11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 Cloud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Online Electrical Subtotal:</w:t>
            </w:r>
          </w:p>
        </w:tc>
        <w:tc>
          <w:tcPr>
            <w:tcW w:w="100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1,797</w:t>
            </w:r>
          </w:p>
        </w:tc>
        <w:tc>
          <w:tcPr>
            <w:tcW w:w="1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Capacity:</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Massilon, OH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 / 26</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Q3 ‘26</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Due to delivery delays for key electrical components,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 MW is expected to be energized in phases during</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Q3  ’26.  Reconstruction  of  the  two  fire-damaged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buildings  (26MW)  is  currently  underway  and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expected to be rebuilt and energized by the end of Q3’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26. A significant portion of the reconstruction cost has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now  been  successfully  recovered  through  the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supplier’s insurance coverage.</w:t>
            </w:r>
          </w:p>
        </w:tc>
        <w:tc>
          <w:tcPr>
            <w:tcW w:w="0" w:type="dxa"/>
            <w:vAlign w:val="bottom"/>
          </w:tcPr>
          <w:p>
            <w:pPr>
              <w:spacing w:after="0"/>
              <w:rPr>
                <w:sz w:val="1"/>
                <w:szCs w:val="1"/>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Clarington, OH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To be</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Colocation / Crypto</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570 MW of power under contract with a local utility.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updated</w:t>
            </w: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Timing of power availability and construction may be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affected by ongoing legal proceedings filed by a</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neighboring  company,  American  Heavy  Plate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Solutions, LLC., which is under extensive influence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MHR, a New York based PE firm founded by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 H. Rachesky. Design and other preparation</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 continues.</w:t>
            </w:r>
          </w:p>
        </w:tc>
        <w:tc>
          <w:tcPr>
            <w:tcW w:w="0" w:type="dxa"/>
            <w:vAlign w:val="bottom"/>
          </w:tcPr>
          <w:p>
            <w:pPr>
              <w:spacing w:after="0"/>
              <w:rPr>
                <w:sz w:val="1"/>
                <w:szCs w:val="1"/>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Niles, OH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Q4 ‘28</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Colocation / AI Cloud</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 MW grid-interconnected development site, with</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target energization in Q4 ’28. The project includes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41.8 acres of owned land and a transmission line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extension agreement with a local utility company.</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Rockdale, TX</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2026</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Colocation / AI Cloud</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Planning</w:t>
            </w:r>
          </w:p>
        </w:tc>
        <w:tc>
          <w:tcPr>
            <w:tcW w:w="0" w:type="dxa"/>
            <w:vAlign w:val="bottom"/>
          </w:tcPr>
          <w:p>
            <w:pPr>
              <w:spacing w:after="0"/>
              <w:rPr>
                <w:sz w:val="1"/>
                <w:szCs w:val="1"/>
                <w:color w:val="auto"/>
              </w:rPr>
            </w:pPr>
          </w:p>
        </w:tc>
      </w:tr>
      <w:tr>
        <w:trPr>
          <w:trHeight w:val="41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Fox Creek, Alberta, Canada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Q2 ‘27</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 MW site acquired, fully licensed and permitted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construction of an on-site natural gas power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  Assessing  current  design  potential  to</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accommodate future AIDC requirements. We were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pleased to host a successful groundbreaking ceremony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 June 1st, 2026, joined by Minister Dale Nally,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Minister Todd Loewen, the Reeve of the MD of</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Greenview, and the Mayor of Fox Creek.</w:t>
            </w:r>
          </w:p>
        </w:tc>
        <w:tc>
          <w:tcPr>
            <w:tcW w:w="0" w:type="dxa"/>
            <w:vAlign w:val="bottom"/>
          </w:tcPr>
          <w:p>
            <w:pPr>
              <w:spacing w:after="0"/>
              <w:rPr>
                <w:sz w:val="1"/>
                <w:szCs w:val="1"/>
                <w:color w:val="auto"/>
              </w:rPr>
            </w:pPr>
          </w:p>
        </w:tc>
      </w:tr>
      <w:tr>
        <w:trPr>
          <w:trHeight w:val="595"/>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Cyberjaya, Malaysia</w:t>
            </w:r>
            <w:r>
              <w:rPr>
                <w:rFonts w:ascii="Times New Roman" w:cs="Times New Roman" w:eastAsia="Times New Roman" w:hAnsi="Times New Roman"/>
                <w:sz w:val="29"/>
                <w:szCs w:val="29"/>
                <w:color w:val="auto"/>
                <w:vertAlign w:val="superscript"/>
              </w:rPr>
              <w:t>11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9.5</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Q4 ‘26</w:t>
            </w:r>
          </w:p>
        </w:tc>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AI Cloud</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Progress</w:t>
            </w:r>
          </w:p>
        </w:tc>
        <w:tc>
          <w:tcPr>
            <w:tcW w:w="0" w:type="dxa"/>
            <w:vAlign w:val="bottom"/>
          </w:tcPr>
          <w:p>
            <w:pPr>
              <w:spacing w:after="0"/>
              <w:rPr>
                <w:sz w:val="1"/>
                <w:szCs w:val="1"/>
                <w:color w:val="auto"/>
              </w:rPr>
            </w:pPr>
          </w:p>
        </w:tc>
      </w:tr>
      <w:tr>
        <w:trPr>
          <w:trHeight w:val="10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Pipeline Electrical Subtotal:</w:t>
            </w:r>
          </w:p>
        </w:tc>
        <w:tc>
          <w:tcPr>
            <w:tcW w:w="100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1,206.5</w:t>
            </w:r>
          </w:p>
        </w:tc>
        <w:tc>
          <w:tcPr>
            <w:tcW w:w="1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3,003.5</w:t>
            </w:r>
          </w:p>
        </w:tc>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18, 2026: </w:t>
      </w:r>
      <w:r>
        <w:rPr>
          <w:rFonts w:ascii="Times New Roman" w:cs="Times New Roman" w:eastAsia="Times New Roman" w:hAnsi="Times New Roman"/>
          <w:sz w:val="18"/>
          <w:szCs w:val="18"/>
          <w:color w:val="auto"/>
        </w:rPr>
        <w:t>Roth London Conference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23, 2026: </w:t>
      </w:r>
      <w:r>
        <w:rPr>
          <w:rFonts w:ascii="Times New Roman" w:cs="Times New Roman" w:eastAsia="Times New Roman" w:hAnsi="Times New Roman"/>
          <w:sz w:val="18"/>
          <w:szCs w:val="18"/>
          <w:color w:val="auto"/>
        </w:rPr>
        <w:t>Northland Capital Markets Growth Conference - Virtual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5" w:lineRule="exact"/>
        <w:rPr>
          <w:sz w:val="20"/>
          <w:szCs w:val="20"/>
          <w:color w:val="auto"/>
        </w:rPr>
      </w:pPr>
    </w:p>
    <w:p>
      <w:pPr>
        <w:ind w:left="340" w:hanging="332"/>
        <w:spacing w:after="0" w:line="197"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Self-Mining (Operated in self-owned datacenters) </w:t>
      </w:r>
      <w:r>
        <w:rPr>
          <w:rFonts w:ascii="Times New Roman" w:cs="Times New Roman" w:eastAsia="Times New Roman" w:hAnsi="Times New Roman"/>
          <w:sz w:val="18"/>
          <w:szCs w:val="18"/>
          <w:color w:val="auto"/>
        </w:rPr>
        <w:t>refers to cryptocurrency mining for Bitdeer’s own account, whereby its mining rigs are 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self-owned datacenters</w:t>
      </w:r>
    </w:p>
    <w:p>
      <w:pPr>
        <w:spacing w:after="0" w:line="199" w:lineRule="exact"/>
        <w:rPr>
          <w:sz w:val="20"/>
          <w:szCs w:val="20"/>
          <w:color w:val="auto"/>
        </w:rPr>
      </w:pPr>
    </w:p>
    <w:p>
      <w:pPr>
        <w:ind w:left="340" w:hanging="332"/>
        <w:spacing w:after="0" w:line="213"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Co-mining (Operated in 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datacenters) </w:t>
      </w:r>
      <w:r>
        <w:rPr>
          <w:rFonts w:ascii="Times New Roman" w:cs="Times New Roman" w:eastAsia="Times New Roman" w:hAnsi="Times New Roman"/>
          <w:sz w:val="18"/>
          <w:szCs w:val="18"/>
          <w:color w:val="auto"/>
        </w:rPr>
        <w:t>refers to cryptocurrency mining for Bitdeer’s own account, whereby its mining rigs are operated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datacenters</w:t>
      </w:r>
    </w:p>
    <w:p>
      <w:pPr>
        <w:spacing w:after="0" w:line="8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BTC from self-mining operations and BTC from co-mining operations.</w:t>
      </w:r>
    </w:p>
    <w:p>
      <w:pPr>
        <w:spacing w:after="0" w:line="194" w:lineRule="exact"/>
        <w:rPr>
          <w:sz w:val="20"/>
          <w:szCs w:val="20"/>
          <w:color w:val="auto"/>
        </w:rPr>
      </w:pPr>
    </w:p>
    <w:p>
      <w:pPr>
        <w:ind w:left="340" w:hanging="332"/>
        <w:spacing w:after="0" w:line="19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Other Proprietary Hash Rate </w:t>
      </w:r>
      <w:r>
        <w:rPr>
          <w:rFonts w:ascii="Times New Roman" w:cs="Times New Roman" w:eastAsia="Times New Roman" w:hAnsi="Times New Roman"/>
          <w:sz w:val="18"/>
          <w:szCs w:val="18"/>
          <w:color w:val="auto"/>
        </w:rPr>
        <w:t>includes the hashrate from Bitdeer’s cloud hashrate business, mining rigs delivered in the crypto mining datacenters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deployed and the mining rigs temporarily offline due to limited economic benefit.</w:t>
      </w:r>
    </w:p>
    <w:p>
      <w:pPr>
        <w:spacing w:after="0" w:line="195" w:lineRule="exact"/>
        <w:rPr>
          <w:sz w:val="20"/>
          <w:szCs w:val="20"/>
          <w:color w:val="auto"/>
        </w:rPr>
      </w:pPr>
    </w:p>
    <w:p>
      <w:pPr>
        <w:ind w:left="340" w:right="20" w:hanging="332"/>
        <w:spacing w:after="0" w:line="197"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8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May 30, 2026, across Bitdeer’s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Bitcoins held</w:t>
      </w:r>
      <w:r>
        <w:rPr>
          <w:rFonts w:ascii="Times New Roman" w:cs="Times New Roman" w:eastAsia="Times New Roman" w:hAnsi="Times New Roman"/>
          <w:sz w:val="18"/>
          <w:szCs w:val="18"/>
          <w:color w:val="auto"/>
        </w:rPr>
        <w:t xml:space="preserve"> does not include Bitcoins from customer deposits but does include Bitcoins that are pledged as collateral by us.</w:t>
      </w:r>
    </w:p>
    <w:p>
      <w:pPr>
        <w:spacing w:after="0" w:line="225" w:lineRule="exact"/>
        <w:rPr>
          <w:sz w:val="20"/>
          <w:szCs w:val="20"/>
          <w:color w:val="auto"/>
        </w:rPr>
      </w:pPr>
    </w:p>
    <w:p>
      <w:pPr>
        <w:ind w:left="340" w:hanging="332"/>
        <w:spacing w:after="0" w:line="197"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as of the last day of the respective month is calculated as the total number of GPUs under internal and external orders divided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number of deployed GPUs.</w:t>
      </w:r>
    </w:p>
    <w:p>
      <w:pPr>
        <w:spacing w:after="0" w:line="195" w:lineRule="exact"/>
        <w:rPr>
          <w:sz w:val="20"/>
          <w:szCs w:val="20"/>
          <w:color w:val="auto"/>
        </w:rPr>
      </w:pPr>
    </w:p>
    <w:p>
      <w:pPr>
        <w:ind w:left="340" w:hanging="332"/>
        <w:spacing w:after="0" w:line="206" w:lineRule="auto"/>
        <w:tabs>
          <w:tab w:leader="none" w:pos="34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 xml:space="preserve">ARR </w:t>
      </w:r>
      <w:r>
        <w:rPr>
          <w:rFonts w:ascii="Times New Roman" w:cs="Times New Roman" w:eastAsia="Times New Roman" w:hAnsi="Times New Roman"/>
          <w:sz w:val="17"/>
          <w:szCs w:val="17"/>
          <w:color w:val="auto"/>
        </w:rPr>
        <w:t>as of the last day of the respective month is calculated by multiplying the daily revenue generated from all contractually obligated GPU orders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specific day by 365. This metric provides an annualized view of the revenue run-rate based on active contracts at the end of the reporting period.</w:t>
      </w:r>
    </w:p>
    <w:p>
      <w:pPr>
        <w:spacing w:after="0" w:line="8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All timing references are to calendar quarters and years.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Capacity under lease arrangement.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Bitdeer and LinkedIn @Bitdeer.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12"/>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78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5"/>
      <w:numFmt w:val="bullet"/>
      <w:start w:val="1"/>
    </w:lvl>
  </w:abstractNum>
  <w:abstractNum w:abstractNumId="10">
    <w:nsid w:val="140E0F76"/>
    <w:multiLevelType w:val="hybridMultilevel"/>
    <w:lvl w:ilvl="0">
      <w:lvlJc w:val="left"/>
      <w:lvlText w:val="6"/>
      <w:numFmt w:val="bullet"/>
      <w:start w:val="1"/>
    </w:lvl>
  </w:abstractNum>
  <w:abstractNum w:abstractNumId="11">
    <w:nsid w:val="3352255A"/>
    <w:multiLevelType w:val="hybridMultilevel"/>
    <w:lvl w:ilvl="0">
      <w:lvlJc w:val="left"/>
      <w:lvlText w:val="8"/>
      <w:numFmt w:val="bullet"/>
      <w:start w:val="1"/>
    </w:lvl>
  </w:abstractNum>
  <w:abstractNum w:abstractNumId="12">
    <w:nsid w:val="109CF92E"/>
    <w:multiLevelType w:val="hybridMultilevel"/>
    <w:lvl w:ilvl="0">
      <w:lvlJc w:val="left"/>
      <w:lvlText w:val="9"/>
      <w:numFmt w:val="bullet"/>
      <w:start w:val="1"/>
    </w:lvl>
  </w:abstractNum>
  <w:abstractNum w:abstractNumId="13">
    <w:nsid w:val="DED726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2026-06-18T15:02:42Z</dcterms:created>
  <dcterms:modified xsi:type="dcterms:W3CDTF">2026-06-18T15:02:42Z</dcterms:modified>
</cp:coreProperties>
</file>