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Bitdeer Technologies Group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US$0.0000001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Sunrise Partners Limited Partnership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18,184,369.00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18,184,369.00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18,184,369.00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Amounts reported in Rows (6), (8), and (9) include 18,075,400 Class A ordinary shares that the Reporting Persons have the right to acquire within 60 days upon exercise of long call options. Percent of class represented by amount in Row (11) is based on 201,291,256 Class A ordinary shares outstanding, which is the sum of (i) 191,152,162 Class A ordinary shares outstanding as of December 31, 2025, and (ii) an aggregate 10,139,094 Class A ordinary shares that became outstanding after December 31, 2025, and through April 30, 2026, each as reported in the Issuer's annual report on Form 20-F filed with the Securities and Exchange Commission (the "SEC") on April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Paloma International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18,184,369.00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18,184,369.00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18,184,369.00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Amounts reported in Rows (6), (8) and (9) include 18,075,400 Class A ordinary shares that the Reporting Persons have the right to acquire within 60 days upon exercise of long call options. Percent of class represented by amount in Row (11) is based on 201,291,256 Class A ordinary shares outstanding, which is the sum of (i) 191,152,162 Class A ordinary shares outstanding as of December 31, 2025, and (ii) an aggregate 10,139,094 Class A ordinary shares that became outstanding after December 31, 2025, and through April 30, 2026, each as reported in the Issuer's annual report on Form 20-F filed with the SEC on April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Paloma Partners Management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18,184,369.00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18,184,369.00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18,184,369.00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Amounts reported in Rows (6), (8) and (9) include 18,075,400 Class A ordinary shares that the Reporting Persons have the right to acquire within 60 days upon exercise of long call options. Percent of class represented by amount in Row (11) is based on 201,291,256 Class A ordinary shares outstanding, which is the sum of (i) 191,152,162 Class A ordinary shares outstanding as of December 31, 2025, and (ii) an aggregate 10,139,094 Class A ordinary shares that became outstanding after December 31, 2025, and through April 30, 2026, each as reported in the Issuer's annual report on Form 20-F filed with the SEC on April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Paloma Partners Advisors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18,184,369.00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18,184,369.00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18,184,369.00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Amounts reported in Rows (6), (8) and (9) include 18,075,400 Class A ordinary shares that the Reporting Persons have the right to acquire within 60 days upon exercise of long call options. Percent of class represented by amount in Row (11) is based on 201,291,256 Class A ordinary shares outstanding, which is the sum of (i) 191,152,162 Class A ordinary shares outstanding as of December 31, 2025, and (ii) an aggregate 10,139,094 Class A ordinary shares that became outstanding after December 31, 2025, and through April 30, 2026, each as reported in the Issuer's annual report on Form 20-F filed with the SEC on April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Paloma Partners Advisors,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18,184,369.00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18,184,369.00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18,184,369.00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Amounts reported in Rows (6), (8) and (9) include 18,075,400 Class A ordinary shares that the Reporting Persons have the right to acquire within 60 days upon exercise of long call options. Percent of class represented by amount in Row (11) is based on 201,291,256 Class A ordinary shares outstanding, which is the sum of (i) 191,152,162 Class A ordinary shares outstanding as of December 31, 2025, and (ii) an aggregate 10,139,094 Class A ordinary shares that became outstanding after December 31, 2025, and through April 30, 2026, each as reported in the Issuer's annual report on Form 20-F filed with the SEC on April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 Donald Sussman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18,184,369.00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18,184,369.00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18,184,369.00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Amounts reported in Rows (6), (8) and (9) include 18,075,400 Class A ordinary shares that the Reporting Persons have the right to acquire within 60 days upon exercise of long call options. Percent of class represented by amount in Row (11) is based on 201,291,256 Class A ordinary shares outstanding, which is the sum of (i) 191,152,162 Class A ordinary shares outstanding as of December 31, 2025, and (ii) an aggregate 10,139,094 Class A ordinary shares that became outstanding after December 31, 2025, and through April 30, 2026, each as reported in the Issuer's annual report on Form 20-F filed with the SEC on April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Bitdeer Technologies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08 Kallang Avenue, Aperia tower 1, #09-03/04, Singapore 339509</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following persons (each, a "Reporting Person" and together, the "Reporting Persons"): Sunrise Partners Limited Partnership; Paloma International L.P.; Paloma Partners Management Company; Paloma Partners Advisors LP; Paloma Partners Advisors, Inc.; and S. Donald Sussman.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Sunrise Partners Limited Partnership Maples Corporate Services Limited P.O. Box 309 Ugland House, Grand Cayman, KY1-1104, Cayman Islands Paloma International L.P. Maples Corporate Services Limited P.O. Box 309 Ugland House, Grand Cayman, KY1-1104, Cayman Islands Paloma Partners Management Company Two American Lane Greenwich, CT 06836 Paloma Partners Advisors LP 888 E. Las Olas Blvd. Ft. Lauderdale, FL 33301 Paloma Partners Advisors, Inc. c/o Paloma Partners Advisors LP 888 E. Las Olas Blvd. Ft. Lauderdale, FL 33301 S. Donald Sussman c/o Paloma Partners Advisors LP 888 E. Las Olas Blvd. Ft. Lauderdale, FL 33301</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Sunrise Partners Limited Partnership - Cayman Islands Paloma International L.P. - Cayman Islands Paloma Partners Management Company - Delaware Paloma Partners Advisors LP - Delaware Paloma Partners Advisors, Inc. - Delaware S. Donald Sussman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US$0.0000001</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May 28, 2026, the Reporting Persons may have been deemed the beneficial owners of 12,861,001 Class A ordinary shares. This amount consisted of (i) 92,001 Class A ordinary shares and (ii) 12,769,000 Class A ordinary shares the Reporting Persons had the right to acquire within sixty days upon exercise of long call options. As of June 17, 2026, the Reporting Persons may be deemed the beneficial owners of 18,184,369 Class A ordinary shares. This amount consists of (i) 108,969 Class A ordinary shares and (ii) 18,075,400 Class A ordinary shares the Reporting Persons have the right to acquire within sixty days upon exercise of long call options.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May 28, 2026, the Reporting Persons may have been deemed to beneficially own approximately 6.4% of the Class A ordinary shares outstanding. As of June 17, 2026, the Reporting Persons may be deemed to beneficially own approximately 9% of the Class A ordinary shares outstanding. The foregoing percentages are based on 201,291,256 Class A ordinary shares outstanding, which is the sum of (i) 191,152,162 Class A ordinary shares outstanding as of December 31, 2025, and (ii) an aggregate 10,139,094 Class A ordinary shares that became outstanding after December 31, 2025, and through April 30, 2026, each as reported in the Issuer's annual report on Form 20-F filed with the SEC on April 30, 2026.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18,184,369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18,184,369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Sunrise Partners Limited Partnership</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Friedman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Friedman, GC &amp; Chief Compliance Officer of Paloma Partners Management Company, general partner of Paloma International L.P., parent holder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Paloma International L.P.</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David Friedman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David Friedman, GC &amp; Chief Compliance Officer of Paloma Partners Management Company,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Paloma Partners Management Co</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Friedman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Friedman, GC &amp; Chief Compliance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Paloma Partners Advisors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 Donald Sussman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Donald Sussman, President, Paloma Partners Advisors, Inc., general partner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Paloma Partners Advisors,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 Donald Sussman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Donald Sussman,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S. Donald Sussman</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 Donald Sussman</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 Donald Sussman</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06/18/2026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center"/>
              <w:rPr>
                <w:b/>
              </w:rPr>
            </w:pPr>
            <w:r>
              <w:rPr>
                <w:b/>
              </w:rPr>
              <w:t xml:space="preserve">Exhibit Information </w:t>
            </w:r>
          </w:p>
        </w:tc>
      </w:tr>
      <w:tr>
        <w:trPr/>
        <w:tc>
          <w:tcPr>
            <w:tcW w:w="3331" w:type="dxa"/>
            <w:tcBorders/>
            <w:vAlign w:val="center"/>
          </w:tcPr>
          <w:p>
            <w:pPr>
              <w:pStyle w:val="TableContents"/>
              <w:bidi w:val="0"/>
              <w:spacing w:before="0" w:after="283"/>
              <w:jc w:val="left"/>
              <w:rPr/>
            </w:pPr>
            <w:r>
              <w:rPr/>
              <w:t>Exhibit 1: Joint Filing Agreement</w:t>
            </w:r>
          </w:p>
        </w:tc>
      </w:tr>
    </w:tbl>
    <w:p>
      <w:pPr>
        <w:pStyle w:val="TextBody"/>
        <w:bidi w:val="0"/>
        <w:spacing w:before="0" w:after="0"/>
        <w:jc w:val="right"/>
        <w:rPr/>
      </w:pPr>
      <w:bookmarkStart w:id="36" w:name="jointfilingagreement.htm"/>
      <w:bookmarkStart w:id="37" w:name="ksjointfilingagreement"/>
      <w:bookmarkEnd w:id="36"/>
      <w:bookmarkEnd w:id="37"/>
      <w:r>
        <w:rPr>
          <w:b/>
          <w:color w:val="000000"/>
          <w:sz w:val="20"/>
        </w:rPr>
        <w:t>EXHIBIT 1</w:t>
      </w:r>
      <w:r>
        <w:rPr/>
        <w:t xml:space="preserve"> </w:t>
      </w:r>
      <w:r>
        <w:br w:type="page"/>
      </w:r>
    </w:p>
    <w:p>
      <w:pPr>
        <w:pStyle w:val="TextBody"/>
        <w:bidi w:val="0"/>
        <w:spacing w:before="0" w:after="0"/>
        <w:jc w:val="right"/>
        <w:rPr/>
      </w:pPr>
      <w:r>
        <w:rPr/>
        <w:t xml:space="preserve">  </w:t>
      </w:r>
    </w:p>
    <w:p>
      <w:pPr>
        <w:pStyle w:val="TextBody"/>
        <w:bidi w:val="0"/>
        <w:spacing w:before="0" w:after="0"/>
        <w:jc w:val="center"/>
        <w:rPr/>
      </w:pPr>
      <w:r>
        <w:rPr>
          <w:b/>
          <w:color w:val="000000"/>
          <w:sz w:val="20"/>
        </w:rPr>
        <w:t>JOINT FILING AGREEMENT</w:t>
      </w:r>
      <w:r>
        <w:rPr/>
        <w:t xml:space="preserve"> </w:t>
      </w:r>
    </w:p>
    <w:p>
      <w:pPr>
        <w:pStyle w:val="TextBody"/>
        <w:bidi w:val="0"/>
        <w:spacing w:before="0" w:after="0"/>
        <w:jc w:val="center"/>
        <w:rPr/>
      </w:pPr>
      <w:r>
        <w:rPr/>
        <w:t xml:space="preserve">  </w:t>
      </w:r>
    </w:p>
    <w:p>
      <w:pPr>
        <w:pStyle w:val="TextBody"/>
        <w:bidi w:val="0"/>
        <w:spacing w:before="0" w:after="0"/>
        <w:jc w:val="left"/>
        <w:rPr/>
      </w:pPr>
      <w:r>
        <w:rPr>
          <w:sz w:val="22"/>
        </w:rPr>
        <w:t>The undersigned acknowledge and agree that the foregoing statement on Schedule 13G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94"/>
        <w:gridCol w:w="1203"/>
        <w:gridCol w:w="8808"/>
      </w:tblGrid>
      <w:tr>
        <w:trPr/>
        <w:tc>
          <w:tcPr>
            <w:tcW w:w="194"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left"/>
              <w:rPr/>
            </w:pPr>
            <w:r>
              <w:rPr/>
              <w:t> </w:t>
            </w:r>
          </w:p>
        </w:tc>
        <w:tc>
          <w:tcPr>
            <w:tcW w:w="8808" w:type="dxa"/>
            <w:tcBorders/>
            <w:vAlign w:val="center"/>
          </w:tcPr>
          <w:p>
            <w:pPr>
              <w:pStyle w:val="TableContents"/>
              <w:bidi w:val="0"/>
              <w:spacing w:before="0" w:after="283"/>
              <w:jc w:val="left"/>
              <w:rPr/>
            </w:pPr>
            <w:r>
              <w:rPr/>
              <w:t>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1" w:type="dxa"/>
            <w:gridSpan w:val="2"/>
            <w:tcBorders/>
            <w:tcMar>
              <w:top w:w="0" w:type="dxa"/>
              <w:left w:w="0" w:type="dxa"/>
              <w:bottom w:w="0" w:type="dxa"/>
              <w:right w:w="0" w:type="dxa"/>
            </w:tcMar>
            <w:vAlign w:val="center"/>
          </w:tcPr>
          <w:p>
            <w:pPr>
              <w:pStyle w:val="TableContents"/>
              <w:bidi w:val="0"/>
              <w:spacing w:before="0" w:after="0"/>
              <w:jc w:val="left"/>
              <w:rPr/>
            </w:pPr>
            <w:r>
              <w:rPr>
                <w:b/>
                <w:color w:val="000000"/>
                <w:sz w:val="22"/>
              </w:rPr>
              <w:t>Sunrise Partners Limited Partnership</w:t>
            </w:r>
            <w:r>
              <w:rPr/>
              <w:t xml:space="preserve"> </w:t>
            </w:r>
          </w:p>
          <w:p>
            <w:pPr>
              <w:pStyle w:val="TableContents"/>
              <w:bidi w:val="0"/>
              <w:spacing w:before="0" w:after="0"/>
              <w:jc w:val="left"/>
              <w:rPr/>
            </w:pP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Signature: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/s/ David Friedman</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David Friedman, GC &amp; Chief Compliance Officer of Paloma Partners Management Company, general partner of Paloma International L.P., parent holder</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color w:val="000000"/>
                <w:sz w:val="22"/>
              </w:rPr>
            </w:pPr>
            <w:r>
              <w:rPr>
                <w:color w:val="000000"/>
                <w:sz w:val="22"/>
              </w:rPr>
              <w:t>06/18/2026</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808"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1" w:type="dxa"/>
            <w:gridSpan w:val="2"/>
            <w:tcBorders/>
            <w:tcMar>
              <w:top w:w="0" w:type="dxa"/>
              <w:left w:w="0" w:type="dxa"/>
              <w:bottom w:w="0" w:type="dxa"/>
              <w:right w:w="0" w:type="dxa"/>
            </w:tcMar>
            <w:vAlign w:val="center"/>
          </w:tcPr>
          <w:p>
            <w:pPr>
              <w:pStyle w:val="TableContents"/>
              <w:bidi w:val="0"/>
              <w:spacing w:before="0" w:after="283"/>
              <w:jc w:val="left"/>
              <w:rPr>
                <w:b/>
                <w:color w:val="000000"/>
                <w:sz w:val="22"/>
              </w:rPr>
            </w:pPr>
            <w:r>
              <w:rPr>
                <w:b/>
                <w:color w:val="000000"/>
                <w:sz w:val="22"/>
              </w:rPr>
              <w:br/>
              <w:t>Paloma International L.P.</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Signature: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/s/ David Friedman</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David Friedman, GC &amp; Chief Compliance Officer of Paloma Partners Management Company, general partner</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06/18/2026</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808"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1" w:type="dxa"/>
            <w:gridSpan w:val="2"/>
            <w:tcBorders/>
            <w:tcMar>
              <w:top w:w="0" w:type="dxa"/>
              <w:left w:w="0" w:type="dxa"/>
              <w:bottom w:w="0" w:type="dxa"/>
              <w:right w:w="0" w:type="dxa"/>
            </w:tcMar>
            <w:vAlign w:val="center"/>
          </w:tcPr>
          <w:p>
            <w:pPr>
              <w:pStyle w:val="TableContents"/>
              <w:bidi w:val="0"/>
              <w:spacing w:before="0" w:after="283"/>
              <w:jc w:val="left"/>
              <w:rPr>
                <w:b/>
                <w:color w:val="000000"/>
                <w:sz w:val="22"/>
              </w:rPr>
            </w:pPr>
            <w:r>
              <w:rPr>
                <w:b/>
                <w:color w:val="000000"/>
                <w:sz w:val="22"/>
              </w:rPr>
              <w:br/>
              <w:t>Paloma Partners Management Co</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Signature: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color w:val="000000"/>
                <w:sz w:val="22"/>
              </w:rPr>
            </w:pPr>
            <w:r>
              <w:rPr>
                <w:color w:val="000000"/>
                <w:sz w:val="22"/>
              </w:rPr>
              <w:t xml:space="preserve">/s/ David Friedman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David Friedman, GC &amp; Chief Compliance Officer</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06/18/2026</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808"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1" w:type="dxa"/>
            <w:gridSpan w:val="2"/>
            <w:tcBorders/>
            <w:tcMar>
              <w:top w:w="0" w:type="dxa"/>
              <w:left w:w="0" w:type="dxa"/>
              <w:bottom w:w="0" w:type="dxa"/>
              <w:right w:w="0" w:type="dxa"/>
            </w:tcMar>
            <w:vAlign w:val="center"/>
          </w:tcPr>
          <w:p>
            <w:pPr>
              <w:pStyle w:val="TableContents"/>
              <w:bidi w:val="0"/>
              <w:spacing w:before="0" w:after="283"/>
              <w:jc w:val="left"/>
              <w:rPr>
                <w:b/>
                <w:color w:val="000000"/>
                <w:sz w:val="22"/>
              </w:rPr>
            </w:pPr>
            <w:r>
              <w:rPr>
                <w:b/>
                <w:color w:val="000000"/>
                <w:sz w:val="22"/>
              </w:rPr>
              <w:br/>
              <w:t>Paloma Partners Advisors LP</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Signature: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color w:val="000000"/>
                <w:sz w:val="22"/>
              </w:rPr>
            </w:pPr>
            <w:r>
              <w:rPr>
                <w:color w:val="000000"/>
                <w:sz w:val="22"/>
              </w:rPr>
              <w:t xml:space="preserve">/s/ S. Donald Sussman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S. Donald Sussman, President, Paloma Partners Advisors, Inc., general partner</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06/18/2026</w:t>
            </w:r>
            <w:r>
              <w:rPr/>
              <w:t xml:space="preserve"> </w:t>
            </w:r>
          </w:p>
          <w:p>
            <w:pPr>
              <w:pStyle w:val="TableContents"/>
              <w:bidi w:val="0"/>
              <w:spacing w:before="0" w:after="0"/>
              <w:jc w:val="left"/>
              <w:rPr/>
            </w:pP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1" w:type="dxa"/>
            <w:gridSpan w:val="2"/>
            <w:tcBorders/>
            <w:tcMar>
              <w:top w:w="0" w:type="dxa"/>
              <w:left w:w="0" w:type="dxa"/>
              <w:bottom w:w="0" w:type="dxa"/>
              <w:right w:w="0" w:type="dxa"/>
            </w:tcMar>
            <w:vAlign w:val="center"/>
          </w:tcPr>
          <w:p>
            <w:pPr>
              <w:pStyle w:val="TableContents"/>
              <w:bidi w:val="0"/>
              <w:spacing w:before="0" w:after="283"/>
              <w:jc w:val="left"/>
              <w:rPr>
                <w:b/>
                <w:color w:val="000000"/>
                <w:sz w:val="22"/>
              </w:rPr>
            </w:pPr>
            <w:r>
              <w:rPr>
                <w:b/>
                <w:color w:val="000000"/>
                <w:sz w:val="22"/>
              </w:rPr>
              <w:t>Paloma Partners Advisors, Inc.</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Signature: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/s/ S. Donald Sussman</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S. Donald Sussman, President</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06/18/2026</w:t>
            </w:r>
            <w:r>
              <w:rPr/>
              <w:t xml:space="preserve"> </w:t>
            </w:r>
          </w:p>
          <w:p>
            <w:pPr>
              <w:pStyle w:val="TableContents"/>
              <w:bidi w:val="0"/>
              <w:spacing w:before="0" w:after="0"/>
              <w:jc w:val="left"/>
              <w:rPr/>
            </w:pP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0011" w:type="dxa"/>
            <w:gridSpan w:val="2"/>
            <w:tcBorders/>
            <w:tcMar>
              <w:top w:w="0" w:type="dxa"/>
              <w:left w:w="0" w:type="dxa"/>
              <w:bottom w:w="0" w:type="dxa"/>
              <w:right w:w="0" w:type="dxa"/>
            </w:tcMar>
            <w:vAlign w:val="center"/>
          </w:tcPr>
          <w:p>
            <w:pPr>
              <w:pStyle w:val="TableContents"/>
              <w:bidi w:val="0"/>
              <w:spacing w:before="0" w:after="283"/>
              <w:jc w:val="left"/>
              <w:rPr>
                <w:b/>
                <w:color w:val="000000"/>
                <w:sz w:val="22"/>
              </w:rPr>
            </w:pPr>
            <w:r>
              <w:rPr>
                <w:b/>
                <w:color w:val="000000"/>
                <w:sz w:val="22"/>
              </w:rPr>
              <w:t>S. Donald Sussman</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Signature: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/s/ S. Donald Sussman</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Name/Title: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S. Donald Sussman</w:t>
            </w:r>
            <w:r>
              <w:rPr/>
              <w:t xml:space="preserve"> </w:t>
            </w:r>
          </w:p>
        </w:tc>
      </w:tr>
      <w:tr>
        <w:trPr/>
        <w:tc>
          <w:tcPr>
            <w:tcW w:w="194"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203" w:type="dxa"/>
            <w:tcBorders/>
            <w:tcMar>
              <w:top w:w="0" w:type="dxa"/>
              <w:left w:w="0" w:type="dxa"/>
              <w:bottom w:w="0" w:type="dxa"/>
              <w:right w:w="0" w:type="dxa"/>
            </w:tcMar>
            <w:vAlign w:val="center"/>
          </w:tcPr>
          <w:p>
            <w:pPr>
              <w:pStyle w:val="TableContents"/>
              <w:bidi w:val="0"/>
              <w:spacing w:before="0" w:after="0"/>
              <w:jc w:val="left"/>
              <w:rPr/>
            </w:pPr>
            <w:r>
              <w:rPr>
                <w:b/>
                <w:color w:val="000000"/>
                <w:sz w:val="22"/>
              </w:rPr>
              <w:t>Date:</w:t>
            </w:r>
            <w:r>
              <w:rPr/>
              <w:t xml:space="preserve"> </w:t>
            </w:r>
          </w:p>
        </w:tc>
        <w:tc>
          <w:tcPr>
            <w:tcW w:w="8808" w:type="dxa"/>
            <w:tcBorders/>
            <w:tcMar>
              <w:top w:w="0" w:type="dxa"/>
              <w:left w:w="0" w:type="dxa"/>
              <w:bottom w:w="0" w:type="dxa"/>
              <w:right w:w="0" w:type="dxa"/>
            </w:tcMar>
            <w:vAlign w:val="center"/>
          </w:tcPr>
          <w:p>
            <w:pPr>
              <w:pStyle w:val="TableContents"/>
              <w:bidi w:val="0"/>
              <w:spacing w:before="0" w:after="0"/>
              <w:jc w:val="left"/>
              <w:rPr/>
            </w:pPr>
            <w:r>
              <w:rPr>
                <w:color w:val="000000"/>
                <w:sz w:val="22"/>
              </w:rPr>
              <w:t>06/18/2026</w:t>
            </w:r>
            <w:r>
              <w:rPr/>
              <w:t xml:space="preserve"> </w:t>
            </w:r>
          </w:p>
        </w:tc>
      </w:tr>
    </w:tbl>
    <w:p>
      <w:pPr>
        <w:pStyle w:val="TextBody"/>
        <w:bidi w:val="0"/>
        <w:spacing w:before="0" w:after="24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2725</Words>
  <Characters>14357</Characters>
  <CharactersWithSpaces>17054</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