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 Bitdeer Announces December 2025 Production and Operations Update</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12,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December 2025 Production and Operations Update</w:t>
      </w:r>
    </w:p>
    <w:p>
      <w:pPr>
        <w:spacing w:after="0" w:line="229" w:lineRule="exact"/>
        <w:rPr>
          <w:sz w:val="20"/>
          <w:szCs w:val="20"/>
          <w:color w:val="auto"/>
        </w:rPr>
      </w:pPr>
    </w:p>
    <w:p>
      <w:pPr>
        <w:ind w:left="2500" w:hanging="114"/>
        <w:spacing w:after="0"/>
        <w:tabs>
          <w:tab w:leader="none" w:pos="2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self-mining hashrate to 55.2 EH/s on continued deployment of SEALMINERs</w:t>
      </w:r>
    </w:p>
    <w:p>
      <w:pPr>
        <w:spacing w:after="0" w:line="27" w:lineRule="exact"/>
        <w:rPr>
          <w:rFonts w:ascii="Times New Roman" w:cs="Times New Roman" w:eastAsia="Times New Roman" w:hAnsi="Times New Roman"/>
          <w:sz w:val="18"/>
          <w:szCs w:val="18"/>
          <w:color w:val="auto"/>
        </w:rPr>
      </w:pPr>
    </w:p>
    <w:p>
      <w:pPr>
        <w:ind w:left="3340" w:hanging="114"/>
        <w:spacing w:after="0"/>
        <w:tabs>
          <w:tab w:leader="none" w:pos="33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production increased 339% year over year to 636 Bitcoin</w:t>
      </w:r>
    </w:p>
    <w:p>
      <w:pPr>
        <w:spacing w:after="0" w:line="9" w:lineRule="exact"/>
        <w:rPr>
          <w:rFonts w:ascii="Times New Roman" w:cs="Times New Roman" w:eastAsia="Times New Roman" w:hAnsi="Times New Roman"/>
          <w:sz w:val="18"/>
          <w:szCs w:val="18"/>
          <w:color w:val="auto"/>
        </w:rPr>
      </w:pPr>
    </w:p>
    <w:p>
      <w:pPr>
        <w:ind w:left="3620" w:hanging="110"/>
        <w:spacing w:after="0"/>
        <w:tabs>
          <w:tab w:leader="none" w:pos="36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units of GB200 deployed and under testing in Malaysia</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January 13, 2026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and AI cloud, today announced its unaudited mining and operations updates for December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Mined 636 Bitcoins, an increase of approximately 339% year over year and 21% from November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hashrate reached 55.2 EH/s.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will continue deploying SEALMINER mining rigs for self-mining to continue the Company’s growth in self-mining capacity while concurrently retiring third-party, older-generation rigs.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Manufacturing:</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~1.4EH/s of SEALMINER A2s were sold to external parties in December,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Mining Rig Model (EH/s)</w:t>
            </w:r>
          </w:p>
        </w:tc>
        <w:tc>
          <w:tcPr>
            <w:tcW w:w="100" w:type="dxa"/>
            <w:vAlign w:val="bottom"/>
            <w:tcBorders>
              <w:bottom w:val="single" w:sz="8" w:color="CCEEFF"/>
            </w:tcBorders>
          </w:tcPr>
          <w:p>
            <w:pPr>
              <w:spacing w:after="0"/>
              <w:rPr>
                <w:sz w:val="21"/>
                <w:szCs w:val="21"/>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December 2025</w:t>
            </w:r>
          </w:p>
        </w:tc>
        <w:tc>
          <w:tcPr>
            <w:tcW w:w="2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2025</w:t>
            </w:r>
          </w:p>
        </w:tc>
        <w:tc>
          <w:tcPr>
            <w:tcW w:w="120" w:type="dxa"/>
            <w:vAlign w:val="bottom"/>
            <w:tcBorders>
              <w:bottom w:val="single" w:sz="8" w:color="CCEEFF"/>
            </w:tcBorders>
          </w:tcPr>
          <w:p>
            <w:pPr>
              <w:spacing w:after="0"/>
              <w:rPr>
                <w:sz w:val="21"/>
                <w:szCs w:val="21"/>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A3</w:t>
            </w:r>
          </w:p>
        </w:tc>
        <w:tc>
          <w:tcPr>
            <w:tcW w:w="100" w:type="dxa"/>
            <w:vAlign w:val="bottom"/>
            <w:shd w:val="clear" w:color="auto" w:fill="CCEEFF"/>
          </w:tcPr>
          <w:p>
            <w:pPr>
              <w:spacing w:after="0"/>
              <w:rPr>
                <w:sz w:val="21"/>
                <w:szCs w:val="21"/>
                <w:color w:val="auto"/>
              </w:rPr>
            </w:pPr>
          </w:p>
        </w:tc>
        <w:tc>
          <w:tcPr>
            <w:tcW w:w="4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final assembly</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0.6</w:t>
            </w:r>
          </w:p>
        </w:tc>
        <w:tc>
          <w:tcPr>
            <w:tcW w:w="150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21"/>
                <w:szCs w:val="21"/>
                <w:color w:val="auto"/>
              </w:rPr>
            </w:pPr>
          </w:p>
        </w:tc>
      </w:tr>
      <w:tr>
        <w:trPr>
          <w:trHeight w:val="243"/>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transit</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2.5</w:t>
            </w:r>
          </w:p>
        </w:tc>
        <w:tc>
          <w:tcPr>
            <w:tcW w:w="15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r>
      <w:tr>
        <w:trPr>
          <w:trHeight w:val="243"/>
        </w:trPr>
        <w:tc>
          <w:tcPr>
            <w:tcW w:w="4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A3</w:t>
            </w:r>
            <w:r>
              <w:rPr>
                <w:rFonts w:ascii="Times New Roman" w:cs="Times New Roman" w:eastAsia="Times New Roman" w:hAnsi="Times New Roman"/>
                <w:sz w:val="18"/>
                <w:szCs w:val="18"/>
                <w:color w:val="auto"/>
              </w:rPr>
              <w:t xml:space="preserve"> Deployed</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5.9</w:t>
            </w:r>
          </w:p>
        </w:tc>
        <w:tc>
          <w:tcPr>
            <w:tcW w:w="150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shd w:val="clear" w:color="auto" w:fill="CCEEFF"/>
          </w:tcPr>
          <w:p>
            <w:pPr>
              <w:spacing w:after="0"/>
              <w:rPr>
                <w:sz w:val="21"/>
                <w:szCs w:val="2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SEALMINER A2</w:t>
            </w:r>
          </w:p>
        </w:tc>
        <w:tc>
          <w:tcPr>
            <w:tcW w:w="10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final assembly</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1.8</w:t>
            </w:r>
          </w:p>
        </w:tc>
        <w:tc>
          <w:tcPr>
            <w:tcW w:w="15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r>
      <w:tr>
        <w:trPr>
          <w:trHeight w:val="243"/>
        </w:trPr>
        <w:tc>
          <w:tcPr>
            <w:tcW w:w="4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Ready for shipping</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0.1</w:t>
            </w:r>
          </w:p>
        </w:tc>
        <w:tc>
          <w:tcPr>
            <w:tcW w:w="150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r>
      <w:tr>
        <w:trPr>
          <w:trHeight w:val="243"/>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transit</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5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r>
      <w:tr>
        <w:trPr>
          <w:trHeight w:val="243"/>
        </w:trPr>
        <w:tc>
          <w:tcPr>
            <w:tcW w:w="4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Cumulative A2 external sales</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7.9</w:t>
            </w:r>
          </w:p>
        </w:tc>
        <w:tc>
          <w:tcPr>
            <w:tcW w:w="150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r>
      <w:tr>
        <w:trPr>
          <w:trHeight w:val="243"/>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A2</w:t>
            </w:r>
            <w:r>
              <w:rPr>
                <w:rFonts w:ascii="Times New Roman" w:cs="Times New Roman" w:eastAsia="Times New Roman" w:hAnsi="Times New Roman"/>
                <w:sz w:val="18"/>
                <w:szCs w:val="18"/>
                <w:color w:val="auto"/>
              </w:rPr>
              <w:t xml:space="preserve"> Deployed</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39.7</w:t>
            </w:r>
          </w:p>
        </w:tc>
        <w:tc>
          <w:tcPr>
            <w:tcW w:w="15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34.3</w:t>
            </w:r>
          </w:p>
        </w:tc>
        <w:tc>
          <w:tcPr>
            <w:tcW w:w="120" w:type="dxa"/>
            <w:vAlign w:val="bottom"/>
          </w:tcPr>
          <w:p>
            <w:pPr>
              <w:spacing w:after="0"/>
              <w:rPr>
                <w:sz w:val="21"/>
                <w:szCs w:val="21"/>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A1</w:t>
            </w:r>
          </w:p>
        </w:tc>
        <w:tc>
          <w:tcPr>
            <w:tcW w:w="10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A1</w:t>
            </w:r>
            <w:r>
              <w:rPr>
                <w:rFonts w:ascii="Times New Roman" w:cs="Times New Roman" w:eastAsia="Times New Roman" w:hAnsi="Times New Roman"/>
                <w:sz w:val="18"/>
                <w:szCs w:val="18"/>
                <w:color w:val="auto"/>
              </w:rPr>
              <w:t xml:space="preserve"> Deployed</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4.2</w:t>
            </w:r>
          </w:p>
        </w:tc>
        <w:tc>
          <w:tcPr>
            <w:tcW w:w="150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21"/>
                <w:szCs w:val="21"/>
                <w:color w:val="auto"/>
              </w:rPr>
            </w:pPr>
          </w:p>
        </w:tc>
      </w:tr>
      <w:tr>
        <w:trPr>
          <w:trHeight w:val="277"/>
        </w:trPr>
        <w:tc>
          <w:tcPr>
            <w:tcW w:w="410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Miners</w:t>
            </w:r>
          </w:p>
        </w:tc>
        <w:tc>
          <w:tcPr>
            <w:tcW w:w="10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Cumulative Deployed</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8.2</w:t>
            </w:r>
          </w:p>
        </w:tc>
        <w:tc>
          <w:tcPr>
            <w:tcW w:w="15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Pr>
          <w:p>
            <w:pPr>
              <w:spacing w:after="0"/>
              <w:rPr>
                <w:sz w:val="24"/>
                <w:szCs w:val="24"/>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Proprietary Hash Rate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Deployed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R&amp;D:</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two different chip designs of SEAL04 to ensure success, named SEAL04-1 and SEAL04-2 respectively.</w:t>
      </w:r>
    </w:p>
    <w:p>
      <w:pPr>
        <w:spacing w:after="0" w:line="2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SEAL04-1 chip’s latest verification demonstrated approximately 6-7 J/TH power efficiency at the chip level under low-voltage, ultra-power-saving mode. Targeting mass production in Q1 2026. This chip achieved improvements in overall yield and power efficiency compared to SEAL03.</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SEAL04-2 chip’s development continues.</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Manufacturing: </w:t>
      </w:r>
      <w:r>
        <w:rPr>
          <w:rFonts w:ascii="Times New Roman" w:cs="Times New Roman" w:eastAsia="Times New Roman" w:hAnsi="Times New Roman"/>
          <w:sz w:val="18"/>
          <w:szCs w:val="18"/>
          <w:color w:val="auto"/>
        </w:rPr>
        <w:t>Preparations for Bitdeer’s U.S. factory remain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 Cloud as of 12/31/2025: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external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8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GPU Amount Deployed</w:t>
            </w:r>
          </w:p>
        </w:tc>
        <w:tc>
          <w:tcPr>
            <w:tcW w:w="41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GPU Types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Utilization Rate</w:t>
            </w:r>
          </w:p>
        </w:tc>
        <w:tc>
          <w:tcPr>
            <w:tcW w:w="28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subscription</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ARR</w:t>
            </w:r>
          </w:p>
        </w:tc>
      </w:tr>
      <w:tr>
        <w:trPr>
          <w:trHeight w:val="216"/>
        </w:trPr>
        <w:tc>
          <w:tcPr>
            <w:tcW w:w="26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H100, H200, B200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 million</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right="1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units of GB200 systems were deployed and tested in Malaysia in December. Potential customers have commenced the proof-of-concept (POC) validation. The cloud service is expected to be officially launched on our website (https://www.bitdeer.ai) in January 2026 to support broad customer demand.</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evaluating U.S. data center leasing opportunities to deploy GPUs and bring AI cloud services online for U.S. customers as early as Q1 2026.</w:t>
      </w:r>
    </w:p>
    <w:p>
      <w:pPr>
        <w:spacing w:after="0" w:line="161"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IAM and SSO capabilities in the cloud platform, providing centralized identity management, role-based access control, secure authentication, and seamless integration with identity providers. These capabilities help customers strengthen security posture, simplify IT administration, and meet compliance requirements to support scalable AI workloads.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 colocation arrangements:</w:t>
      </w:r>
    </w:p>
    <w:p>
      <w:pPr>
        <w:spacing w:after="0" w:line="22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colocation arrangements for various sites are under evaluation. Multiple potential customers have expressed strong interest and active discussions are currently underway.</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 Summary: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220" w:type="dxa"/>
            <w:vAlign w:val="bottom"/>
          </w:tcPr>
          <w:p>
            <w:pPr>
              <w:spacing w:after="0"/>
              <w:rPr>
                <w:sz w:val="24"/>
                <w:szCs w:val="24"/>
                <w:color w:val="auto"/>
              </w:rPr>
            </w:pP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Datacenter Type</w:t>
            </w: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4</w:t>
            </w:r>
          </w:p>
        </w:tc>
      </w:tr>
      <w:tr>
        <w:trPr>
          <w:trHeight w:val="229"/>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198"/>
        </w:trPr>
        <w:tc>
          <w:tcPr>
            <w:tcW w:w="25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 Knoxville, Tennessee –</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2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phase 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20" w:type="dxa"/>
            <w:vAlign w:val="bottom"/>
          </w:tcPr>
          <w:p>
            <w:pPr>
              <w:spacing w:after="0"/>
              <w:rPr>
                <w:sz w:val="22"/>
                <w:szCs w:val="22"/>
                <w:color w:val="auto"/>
              </w:rPr>
            </w:pP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Crypto converting to AI</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Q4 2026</w:t>
            </w:r>
          </w:p>
        </w:tc>
      </w:tr>
      <w:tr>
        <w:trPr>
          <w:trHeight w:val="198"/>
        </w:trPr>
        <w:tc>
          <w:tcPr>
            <w:tcW w:w="25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Knoxville, Tennessee –</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25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phase 2</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Wenatchee, Washington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21"/>
                <w:szCs w:val="21"/>
                <w:color w:val="auto"/>
              </w:rPr>
            </w:pP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Crypto converting to AI</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Q4 2026</w:t>
            </w:r>
          </w:p>
        </w:tc>
      </w:tr>
      <w:tr>
        <w:trPr>
          <w:trHeight w:val="243"/>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Tydal - 1, Norway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1"/>
                <w:szCs w:val="21"/>
                <w:color w:val="auto"/>
              </w:rPr>
            </w:pP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- 2, Norway</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Crypto converting to AI</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Q4 2026</w:t>
            </w: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1"/>
                <w:szCs w:val="21"/>
                <w:color w:val="auto"/>
              </w:rPr>
            </w:pP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21"/>
                <w:szCs w:val="21"/>
                <w:color w:val="auto"/>
              </w:rPr>
            </w:pP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36"/>
        </w:trPr>
        <w:tc>
          <w:tcPr>
            <w:tcW w:w="25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22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64"/>
        </w:trPr>
        <w:tc>
          <w:tcPr>
            <w:tcW w:w="25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5"/>
              </w:rPr>
              <w:t>1,658</w:t>
            </w:r>
            <w:r>
              <w:rPr>
                <w:rFonts w:ascii="Times New Roman" w:cs="Times New Roman" w:eastAsia="Times New Roman" w:hAnsi="Times New Roman"/>
                <w:sz w:val="29"/>
                <w:szCs w:val="29"/>
                <w:b w:val="1"/>
                <w:bCs w:val="1"/>
                <w:color w:val="auto"/>
                <w:w w:val="95"/>
                <w:vertAlign w:val="superscript"/>
              </w:rPr>
              <w:t>5</w:t>
            </w:r>
          </w:p>
        </w:tc>
        <w:tc>
          <w:tcPr>
            <w:tcW w:w="22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29"/>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Pr>
          <w:p>
            <w:pPr>
              <w:spacing w:after="0"/>
              <w:rPr>
                <w:sz w:val="21"/>
                <w:szCs w:val="21"/>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Q1 2026</w:t>
            </w:r>
          </w:p>
        </w:tc>
      </w:tr>
      <w:tr>
        <w:trPr>
          <w:trHeight w:val="243"/>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148/26</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Q2 2026/TBD</w:t>
            </w: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Clarington, Ohio</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1"/>
                <w:szCs w:val="21"/>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HPC/AI</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Q2 2027</w:t>
            </w:r>
          </w:p>
        </w:tc>
      </w:tr>
      <w:tr>
        <w:trPr>
          <w:trHeight w:val="243"/>
        </w:trPr>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Niles, Ohio</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HPC/AI</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Q4 2028</w:t>
            </w:r>
          </w:p>
        </w:tc>
      </w:tr>
      <w:tr>
        <w:trPr>
          <w:trHeight w:val="243"/>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Rockdale, Texas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21"/>
                <w:szCs w:val="21"/>
                <w:color w:val="auto"/>
              </w:rPr>
            </w:pP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planning</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r>
      <w:tr>
        <w:trPr>
          <w:trHeight w:val="250"/>
        </w:trPr>
        <w:tc>
          <w:tcPr>
            <w:tcW w:w="25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Alberta, Canada</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planning</w:t>
            </w:r>
          </w:p>
        </w:tc>
        <w:tc>
          <w:tcPr>
            <w:tcW w:w="22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Crypto</w:t>
            </w:r>
          </w:p>
        </w:tc>
        <w:tc>
          <w:tcPr>
            <w:tcW w:w="2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Q2 2027</w:t>
            </w:r>
          </w:p>
        </w:tc>
      </w:tr>
      <w:tr>
        <w:trPr>
          <w:trHeight w:val="210"/>
        </w:trPr>
        <w:tc>
          <w:tcPr>
            <w:tcW w:w="2500" w:type="dxa"/>
            <w:vAlign w:val="bottom"/>
            <w:tcBorders>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92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1,344</w:t>
            </w:r>
          </w:p>
        </w:tc>
        <w:tc>
          <w:tcPr>
            <w:tcW w:w="2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0"/>
        </w:trPr>
        <w:tc>
          <w:tcPr>
            <w:tcW w:w="2500" w:type="dxa"/>
            <w:vAlign w:val="bottom"/>
            <w:gridSpan w:val="3"/>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Total global electrical</w:t>
            </w:r>
          </w:p>
        </w:tc>
        <w:tc>
          <w:tcPr>
            <w:tcW w:w="1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72"/>
        </w:trPr>
        <w:tc>
          <w:tcPr>
            <w:tcW w:w="2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3,002</w:t>
            </w:r>
          </w:p>
        </w:tc>
        <w:tc>
          <w:tcPr>
            <w:tcW w:w="2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64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Production and Operations Summary: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Metrics</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Total hash rate under management</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(EH/s)</w:t>
      </w:r>
    </w:p>
    <w:p>
      <w:pPr>
        <w:ind w:left="280" w:hanging="110"/>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hash rate</w:t>
      </w:r>
    </w:p>
    <w:p>
      <w:pPr>
        <w:spacing w:after="0" w:line="1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Hash Rate</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but not yet energized</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p>
      <w:pPr>
        <w:spacing w:after="0" w:line="10" w:lineRule="exact"/>
        <w:rPr>
          <w:sz w:val="20"/>
          <w:szCs w:val="20"/>
          <w:color w:val="auto"/>
        </w:rPr>
      </w:pPr>
    </w:p>
    <w:p>
      <w:pPr>
        <w:ind w:left="280" w:hanging="110"/>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Self-owned</w:t>
      </w:r>
      <w:r>
        <w:rPr>
          <w:rFonts w:ascii="Times New Roman" w:cs="Times New Roman" w:eastAsia="Times New Roman" w:hAnsi="Times New Roman"/>
          <w:sz w:val="29"/>
          <w:szCs w:val="29"/>
          <w:color w:val="auto"/>
          <w:vertAlign w:val="superscript"/>
        </w:rPr>
        <w:t>2</w:t>
      </w:r>
    </w:p>
    <w:p>
      <w:pPr>
        <w:ind w:left="280" w:hanging="110"/>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2025</w:t>
            </w:r>
          </w:p>
        </w:tc>
        <w:tc>
          <w:tcPr>
            <w:tcW w:w="20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November 2025</w:t>
            </w: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December 2024</w:t>
            </w:r>
          </w:p>
        </w:tc>
      </w:tr>
      <w:tr>
        <w:trPr>
          <w:trHeight w:val="283"/>
        </w:trPr>
        <w:tc>
          <w:tcPr>
            <w:tcW w:w="118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71.0</w:t>
            </w:r>
          </w:p>
        </w:tc>
        <w:tc>
          <w:tcPr>
            <w:tcW w:w="200" w:type="dxa"/>
            <w:vAlign w:val="bottom"/>
          </w:tcPr>
          <w:p>
            <w:pPr>
              <w:spacing w:after="0"/>
              <w:rPr>
                <w:sz w:val="24"/>
                <w:szCs w:val="24"/>
                <w:color w:val="auto"/>
              </w:rPr>
            </w:pPr>
          </w:p>
        </w:tc>
        <w:tc>
          <w:tcPr>
            <w:tcW w:w="1220" w:type="dxa"/>
            <w:vAlign w:val="bottom"/>
            <w:tcBorders>
              <w:top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60.3</w:t>
            </w:r>
          </w:p>
        </w:tc>
        <w:tc>
          <w:tcPr>
            <w:tcW w:w="220" w:type="dxa"/>
            <w:vAlign w:val="bottom"/>
          </w:tcPr>
          <w:p>
            <w:pPr>
              <w:spacing w:after="0"/>
              <w:rPr>
                <w:sz w:val="24"/>
                <w:szCs w:val="24"/>
                <w:color w:val="auto"/>
              </w:rPr>
            </w:pPr>
          </w:p>
        </w:tc>
        <w:tc>
          <w:tcPr>
            <w:tcW w:w="118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21.6</w:t>
            </w:r>
          </w:p>
        </w:tc>
      </w:tr>
      <w:tr>
        <w:trPr>
          <w:trHeight w:val="243"/>
        </w:trPr>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Pr>
          <w:p>
            <w:pPr>
              <w:spacing w:after="0"/>
              <w:rPr>
                <w:sz w:val="21"/>
                <w:szCs w:val="21"/>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47.3</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21"/>
                <w:szCs w:val="21"/>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45.7</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21"/>
                <w:szCs w:val="21"/>
                <w:color w:val="auto"/>
              </w:rPr>
            </w:pP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200" w:type="dxa"/>
            <w:vAlign w:val="bottom"/>
          </w:tcPr>
          <w:p>
            <w:pPr>
              <w:spacing w:after="0"/>
              <w:rPr>
                <w:sz w:val="21"/>
                <w:szCs w:val="21"/>
                <w:color w:val="auto"/>
              </w:rPr>
            </w:pP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0.5</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1"/>
                <w:szCs w:val="21"/>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293,000</w:t>
            </w:r>
          </w:p>
        </w:tc>
        <w:tc>
          <w:tcPr>
            <w:tcW w:w="200" w:type="dxa"/>
            <w:vAlign w:val="bottom"/>
          </w:tcPr>
          <w:p>
            <w:pPr>
              <w:spacing w:after="0"/>
              <w:rPr>
                <w:sz w:val="21"/>
                <w:szCs w:val="21"/>
                <w:color w:val="auto"/>
              </w:rPr>
            </w:pP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264,000</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175,000</w:t>
            </w:r>
          </w:p>
        </w:tc>
      </w:tr>
      <w:tr>
        <w:trPr>
          <w:trHeight w:val="284"/>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211,000</w:t>
            </w:r>
          </w:p>
        </w:tc>
        <w:tc>
          <w:tcPr>
            <w:tcW w:w="200" w:type="dxa"/>
            <w:vAlign w:val="bottom"/>
          </w:tcPr>
          <w:p>
            <w:pPr>
              <w:spacing w:after="0"/>
              <w:rPr>
                <w:sz w:val="24"/>
                <w:szCs w:val="24"/>
                <w:color w:val="auto"/>
              </w:rPr>
            </w:pP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182,000</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85,000</w:t>
            </w:r>
          </w:p>
        </w:tc>
      </w:tr>
      <w:tr>
        <w:trPr>
          <w:trHeight w:val="234"/>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82,000</w:t>
            </w:r>
          </w:p>
        </w:tc>
        <w:tc>
          <w:tcPr>
            <w:tcW w:w="200" w:type="dxa"/>
            <w:vAlign w:val="bottom"/>
          </w:tcPr>
          <w:p>
            <w:pPr>
              <w:spacing w:after="0"/>
              <w:rPr>
                <w:sz w:val="20"/>
                <w:szCs w:val="20"/>
                <w:color w:val="auto"/>
              </w:rPr>
            </w:pP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82,000</w:t>
            </w: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90,000</w:t>
            </w:r>
          </w:p>
        </w:tc>
      </w:tr>
      <w:tr>
        <w:trPr>
          <w:trHeight w:val="245"/>
        </w:trPr>
        <w:tc>
          <w:tcPr>
            <w:tcW w:w="10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636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526</w:t>
            </w:r>
          </w:p>
        </w:tc>
        <w:tc>
          <w:tcPr>
            <w:tcW w:w="320" w:type="dxa"/>
            <w:vAlign w:val="bottom"/>
            <w:gridSpan w:val="2"/>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63"/>
        </w:trPr>
        <w:tc>
          <w:tcPr>
            <w:tcW w:w="1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2,179</w:t>
            </w:r>
          </w:p>
        </w:tc>
        <w:tc>
          <w:tcPr>
            <w:tcW w:w="320" w:type="dxa"/>
            <w:vAlign w:val="bottom"/>
            <w:gridSpan w:val="2"/>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-1448435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-1139825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-830580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-496570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-187960</wp:posOffset>
            </wp:positionV>
            <wp:extent cx="71323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-1799590</wp:posOffset>
            </wp:positionV>
            <wp:extent cx="71323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6420" w:space="720"/>
            <w:col w:w="4060"/>
          </w:cols>
          <w:pgMar w:left="320" w:top="900" w:right="379" w:bottom="1440" w:gutter="0" w:footer="0" w:header="0"/>
        </w:sect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December 31, 2025 across Bitdeer’s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ind w:left="660" w:right="440" w:hanging="328"/>
        <w:spacing w:after="0" w:line="28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Bitdeer’s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54" w:lineRule="exact"/>
        <w:rPr>
          <w:rFonts w:ascii="Times New Roman" w:cs="Times New Roman" w:eastAsia="Times New Roman" w:hAnsi="Times New Roman"/>
          <w:sz w:val="18"/>
          <w:szCs w:val="18"/>
          <w:color w:val="auto"/>
        </w:rPr>
      </w:pPr>
    </w:p>
    <w:p>
      <w:pPr>
        <w:ind w:left="660" w:right="300" w:hanging="328"/>
        <w:spacing w:after="0" w:line="28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4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Bitdeer’s self-mining business and Cloud Hash Rate business.</w:t>
      </w:r>
    </w:p>
    <w:p>
      <w:pPr>
        <w:spacing w:after="0" w:line="194" w:lineRule="exact"/>
        <w:rPr>
          <w:sz w:val="20"/>
          <w:szCs w:val="20"/>
          <w:color w:val="auto"/>
        </w:rPr>
      </w:pPr>
    </w:p>
    <w:p>
      <w:pPr>
        <w:ind w:left="5580" w:right="1940" w:hanging="5572"/>
        <w:spacing w:after="0" w:line="627" w:lineRule="auto"/>
        <w:tabs>
          <w:tab w:leader="none" w:pos="333"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 not include the Bitcoins from deposits of the customers, include the Bitcoins that are pledged as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“SEALMINER mass production continues to accelerate the expansion of our self-mining operations, driving more than a fourfold increase in Bitcoin production year over year, and a 21% increase over November 2025” said Matt Kong, Chief Business Officer of Bitdeer. “We have now surpassed 55 EH/s, marking a significant operational milestone, with significant continued growth planned through 2026 as we deploy additional proprietary rigs. In parallel, we continue to scale our AI and high-performance computing infrastructure to meet strong demand, expanding GPU deployments and cloud capabilities to support a broad range of digital compute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Tydal, Norway AI data center conversion </w:t>
      </w:r>
      <w:r>
        <w:rPr>
          <w:rFonts w:ascii="Times New Roman" w:cs="Times New Roman" w:eastAsia="Times New Roman" w:hAnsi="Times New Roman"/>
          <w:sz w:val="18"/>
          <w:szCs w:val="18"/>
          <w:color w:val="auto"/>
        </w:rPr>
        <w:t>– Planning and design continue to advance. Orders for critical long-lead equipment have been placed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the targeted project timeline for completion around the end of 2026.</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Wenatchee, Washington </w:t>
      </w:r>
      <w:r>
        <w:rPr>
          <w:rFonts w:ascii="Times New Roman" w:cs="Times New Roman" w:eastAsia="Times New Roman" w:hAnsi="Times New Roman"/>
          <w:sz w:val="18"/>
          <w:szCs w:val="18"/>
          <w:color w:val="auto"/>
        </w:rPr>
        <w:t>– AI data center conversion is underway. Design of the data center was signed off in December 2025. Completion targeted for Q4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Knoxville, Tennessee </w:t>
      </w:r>
      <w:r>
        <w:rPr>
          <w:rFonts w:ascii="Times New Roman" w:cs="Times New Roman" w:eastAsia="Times New Roman" w:hAnsi="Times New Roman"/>
          <w:sz w:val="18"/>
          <w:szCs w:val="18"/>
          <w:color w:val="auto"/>
        </w:rPr>
        <w:t>– Phase 1 AI data center conversion design work initiated, targeting to complete by Q4 2026.</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–47 MW is currently online. The energization of approximately 26 MW in two fire-damaged buildings has been postponed, with a revised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timeline to be determined following further site assessment. The remaining 148 MW is expected to be energized in phases during Q2 2026.</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Clarington, Ohio </w:t>
      </w:r>
      <w:r>
        <w:rPr>
          <w:rFonts w:ascii="Times New Roman" w:cs="Times New Roman" w:eastAsia="Times New Roman" w:hAnsi="Times New Roman"/>
          <w:sz w:val="18"/>
          <w:szCs w:val="18"/>
          <w:color w:val="auto"/>
        </w:rPr>
        <w:t>– 570 MW of power under contract with local utility, expected to be available by end of Q3 2026. Design and other preparation work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Clarington AI data center continues.</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Fox Creek, Alberta </w:t>
      </w:r>
      <w:r>
        <w:rPr>
          <w:rFonts w:ascii="Times New Roman" w:cs="Times New Roman" w:eastAsia="Times New Roman" w:hAnsi="Times New Roman"/>
          <w:sz w:val="18"/>
          <w:szCs w:val="18"/>
          <w:color w:val="auto"/>
        </w:rPr>
        <w:t>– 101 MW site acquired, fully licensed and permitted for the construction of an on-site natural gas power plant. We have revised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scheme for the mining site to accommodate future AIDC requirements, as the energization date has been rescheduled for Q2 2027.</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color w:val="auto"/>
        </w:rPr>
        <w:t>– Construction of the 60 MW site has been completed, with 20 MW not yet energized and 40 MW undergoing energization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phases according to SEALMINER deliveries.</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Niles, Ohio </w:t>
      </w:r>
      <w:r>
        <w:rPr>
          <w:rFonts w:ascii="Times New Roman" w:cs="Times New Roman" w:eastAsia="Times New Roman" w:hAnsi="Times New Roman"/>
          <w:sz w:val="18"/>
          <w:szCs w:val="18"/>
          <w:color w:val="auto"/>
        </w:rPr>
        <w:t>– 300 MW grid-interconnected development site, with target energization date of Q4 2028. The project includes 41.8 acres of owned 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transmission line extension agreement with a local utility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January 13 – 16, 2026: </w:t>
      </w:r>
      <w:r>
        <w:rPr>
          <w:rFonts w:ascii="Times New Roman" w:cs="Times New Roman" w:eastAsia="Times New Roman" w:hAnsi="Times New Roman"/>
          <w:sz w:val="18"/>
          <w:szCs w:val="18"/>
          <w:color w:val="auto"/>
        </w:rPr>
        <w:t>28th Annual Needham Growth Conference in New York</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2 – 5, 2026: </w:t>
      </w:r>
      <w:r>
        <w:rPr>
          <w:rFonts w:ascii="Times New Roman" w:cs="Times New Roman" w:eastAsia="Times New Roman" w:hAnsi="Times New Roman"/>
          <w:sz w:val="18"/>
          <w:szCs w:val="18"/>
          <w:color w:val="auto"/>
        </w:rPr>
        <w:t>Morgan Stanley Technology, Media &amp; Telecom Conference in San Francisco</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10 – 11, 2026: </w:t>
      </w:r>
      <w:r>
        <w:rPr>
          <w:rFonts w:ascii="Times New Roman" w:cs="Times New Roman" w:eastAsia="Times New Roman" w:hAnsi="Times New Roman"/>
          <w:sz w:val="18"/>
          <w:szCs w:val="18"/>
          <w:color w:val="auto"/>
        </w:rPr>
        <w:t>2026 Cantor Global Technology &amp; Industrial Growth Conference in New York</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22 – 24, 2026: </w:t>
      </w:r>
      <w:r>
        <w:rPr>
          <w:rFonts w:ascii="Times New Roman" w:cs="Times New Roman" w:eastAsia="Times New Roman" w:hAnsi="Times New Roman"/>
          <w:sz w:val="18"/>
          <w:szCs w:val="18"/>
          <w:color w:val="auto"/>
        </w:rPr>
        <w:t>38th Annual Roth Conference in Laguna Niguel, CA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in the United States, Norway, and Bhutan. To learn more, visit https://ir.bitdeer.com/ or follow Bitdeer on X @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lvl w:ilvl="1">
      <w:lvlJc w:val="left"/>
      <w:lvlText w:val="●"/>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2026-01-12T15:54:14Z</dcterms:created>
  <dcterms:modified xsi:type="dcterms:W3CDTF">2026-01-12T15:54:14Z</dcterms:modified>
</cp:coreProperties>
</file>