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0" w:name="ea026527902-424b5_bitdeer.htm"/>
      <w:bookmarkStart w:id="1" w:name="ksea026527902424b5_bitdeer"/>
      <w:bookmarkEnd w:id="0"/>
      <w:bookmarkEnd w:id="1"/>
      <w:r>
        <w:rPr>
          <w:rFonts w:ascii="Times New Roman;Times;Serif" w:hAnsi="Times New Roman;Times;Serif"/>
          <w:b/>
          <w:i w:val="false"/>
          <w:caps w:val="false"/>
          <w:smallCaps w:val="false"/>
          <w:sz w:val="20"/>
        </w:rPr>
        <w:t>Filed Pursuant to Rule 424(b)(5)</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333-283732</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supplement and the accompanying prospectus is not complete and may be changed. A registration statement relating to the securities has become effective under the Securities Act of 1933, as amended. This preliminary prospectus supplement and the accompanying prospectus are not an offer to sell these securities and are not soliciting offers to buy these securities in any jurisdiction where the offer or sale is not permitted.</w:t>
      </w:r>
    </w:p>
    <w:p>
      <w:pPr>
        <w:pStyle w:val="TextBody"/>
        <w:bidi w:val="0"/>
        <w:spacing w:before="0" w:after="283"/>
        <w:jc w:val="left"/>
        <w:rPr/>
      </w:pPr>
      <w:r>
        <w:rPr/>
        <w:t> </w:t>
      </w:r>
    </w:p>
    <w:p>
      <w:pPr>
        <w:pStyle w:val="TextBody"/>
        <w:shd w:fill="FFFFFF" w:val="clear"/>
        <w:bidi w:val="0"/>
        <w:spacing w:before="0" w:after="0"/>
        <w:jc w:val="center"/>
        <w:rPr>
          <w:rFonts w:ascii="Times New Roman;Times;Serif" w:hAnsi="Times New Roman;Times;Serif"/>
          <w:b/>
          <w:i w:val="false"/>
          <w:caps/>
          <w:color w:val="FF0000"/>
          <w:sz w:val="20"/>
        </w:rPr>
      </w:pPr>
      <w:r>
        <w:rPr>
          <w:rFonts w:ascii="Times New Roman;Times;Serif" w:hAnsi="Times New Roman;Times;Serif"/>
          <w:b/>
          <w:i w:val="false"/>
          <w:caps/>
          <w:color w:val="FF0000"/>
          <w:sz w:val="20"/>
        </w:rPr>
        <w:t>Subject to Completion, dated November 12, 2025</w:t>
      </w:r>
    </w:p>
    <w:p>
      <w:pPr>
        <w:pStyle w:val="TextBody"/>
        <w:shd w:fill="FFFFFF" w:val="clear"/>
        <w:bidi w:val="0"/>
        <w:spacing w:before="0" w:after="0"/>
        <w:ind w:left="720" w:right="0" w:hanging="0"/>
        <w:jc w:val="left"/>
        <w:rPr>
          <w:caps/>
        </w:rPr>
      </w:pPr>
      <w:r>
        <w:rPr>
          <w:caps/>
        </w:rPr>
        <w:t> </w:t>
      </w:r>
    </w:p>
    <w:p>
      <w:pPr>
        <w:pStyle w:val="TextBody"/>
        <w:shd w:fill="FFFFFF" w:val="clear"/>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Preliminary Prospectus Supplement</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December 18, 2024)</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drawing>
          <wp:inline distT="0" distB="0" distL="0" distR="0">
            <wp:extent cx="19621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381000"/>
                    </a:xfrm>
                    <a:prstGeom prst="rect">
                      <a:avLst/>
                    </a:prstGeom>
                  </pic:spPr>
                </pic:pic>
              </a:graphicData>
            </a:graphic>
          </wp:inline>
        </w:drawing>
      </w:r>
    </w:p>
    <w:p>
      <w:pPr>
        <w:pStyle w:val="TextBody"/>
        <w:shd w:fill="FFFFFF" w:val="clear"/>
        <w:bidi w:val="0"/>
        <w:spacing w:before="0" w:after="0"/>
        <w:ind w:left="72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shd w:fill="FFFFFF" w:val="clear"/>
        <w:bidi w:val="0"/>
        <w:spacing w:before="0" w:after="0"/>
        <w:ind w:left="720" w:right="0" w:firstLine="40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Class A ordinary shares, par value US$0.0000001 per share (the “Class A ordinary shares”), in a registered direct offering to certain holders of our 5.25% Convertible Senior Notes due 2029 pursuant to this prospectus supplement and the accompanying prospectus at a price of US$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(“Nasdaq”) under the symbol “BTDR.” On November 11, 2025, the last reported sales price of our Class A ordinary shares was US$15.02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Class A ordinary shares involves a high degree of risk. See the “Risk Factors” beginning on page S-9 of this prospectus supplement and in our Securities and Exchange Commission (“SEC”) filings that are incorporated by reference into this prospectus supplement and the accompanying prospectus.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144" w:type="dxa"/>
        <w:jc w:val="left"/>
        <w:tblInd w:w="0" w:type="dxa"/>
        <w:tblLayout w:type="fixed"/>
        <w:tblCellMar>
          <w:top w:w="0" w:type="dxa"/>
          <w:left w:w="0" w:type="dxa"/>
          <w:bottom w:w="0" w:type="dxa"/>
          <w:right w:w="0" w:type="dxa"/>
        </w:tblCellMar>
      </w:tblPr>
      <w:tblGrid>
        <w:gridCol w:w="3095"/>
        <w:gridCol w:w="60"/>
        <w:gridCol w:w="680"/>
        <w:gridCol w:w="359"/>
        <w:gridCol w:w="60"/>
        <w:gridCol w:w="60"/>
        <w:gridCol w:w="455"/>
        <w:gridCol w:w="300"/>
        <w:gridCol w:w="75"/>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Registered direct offering price</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US$</w:t>
            </w:r>
          </w:p>
        </w:tc>
        <w:tc>
          <w:tcPr>
            <w:tcW w:w="3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US$</w:t>
            </w:r>
          </w:p>
        </w:tc>
        <w:tc>
          <w:tcPr>
            <w:tcW w:w="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Proceeds, before expenses, to us</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US$</w:t>
            </w:r>
          </w:p>
        </w:tc>
        <w:tc>
          <w:tcPr>
            <w:tcW w:w="3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US$</w:t>
            </w:r>
          </w:p>
        </w:tc>
        <w:tc>
          <w:tcPr>
            <w:tcW w:w="300"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offering, Barclays Capital Inc. will act as our exclusive placement agent (in such capacity, the “placement agent”) with respect to our Class A ordinary shares offered by this prospectus supplement. The placement agent is not required to sell any minimum number or dollar amount of our Class A ordinary shares, but will use their reasonable best efforts to solicit offers for the purchases of the Class A ordinary shares offered hereby. There is no assurance that any Class A ordinary shares will be sold.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U.S. Securities and Exchange Commission or any state securities commission has approved or disapproved of the securities or passed upon the adequacy or accuracy of this prospectus supplement or the accompanying prospectus. Any representation to the contrary is a criminal offense.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deliver the Class A ordinary shares to purchasers on or about November     , 2025, which will be the fourth trading day following the initial trade date for Class A ordinary shares offered hereby (this settlement cycle being referred to as “T+4”). Under Rule 15c6-1 under the Securities Exchange Act of 1934, as amended (the “Exchange Act”), trades in the secondary market generally are required to settle in one business day, unless the parties to any such trade expressly agree otherwise. Accordingly, purchasers who wish to trade shares prior to the business day preceding the settlement date will be required, by virtue of the fact that the shares initially will settle T+4, to specify an alternate settlement cycle at the time of any such trade to prevent a failed settlement. Purchasers of the shares who wish to trade the shares prior to the business day preceding the settlement date should consult their own advisors.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Sole Placement Agent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November           , 2025</w:t>
      </w:r>
    </w:p>
    <w:p>
      <w:pPr>
        <w:pStyle w:val="TextBody"/>
        <w:shd w:fill="FFFFFF" w:val="clear"/>
        <w:bidi w:val="0"/>
        <w:spacing w:before="0" w:after="0"/>
        <w:ind w:left="72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8840"/>
        <w:gridCol w:w="530"/>
      </w:tblGrid>
      <w:tr>
        <w:trPr/>
        <w:tc>
          <w:tcPr>
            <w:tcW w:w="8840" w:type="dxa"/>
            <w:tcBorders/>
            <w:shd w:fill="FFFFFF" w:val="clear"/>
            <w:vAlign w:val="center"/>
          </w:tcPr>
          <w:p>
            <w:pPr>
              <w:pStyle w:val="TableContents"/>
              <w:bidi w:val="0"/>
              <w:spacing w:before="0" w:after="283"/>
              <w:ind w:left="0" w:right="0" w:hanging="0"/>
              <w:jc w:val="left"/>
              <w:rPr/>
            </w:pPr>
            <w:r>
              <w:rPr/>
              <w:t> </w:t>
            </w:r>
          </w:p>
        </w:tc>
        <w:tc>
          <w:tcPr>
            <w:tcW w:w="530" w:type="dxa"/>
            <w:tcBorders>
              <w:bottom w:val="single" w:sz="12" w:space="0" w:color="000000"/>
            </w:tcBorders>
            <w:shd w:fill="FFFFFF" w:val="clear"/>
            <w:tcMar>
              <w:bottom w:w="28" w:type="dxa"/>
            </w:tcMar>
            <w:vAlign w:val="center"/>
          </w:tcPr>
          <w:p>
            <w:pPr>
              <w:pStyle w:val="TableContents"/>
              <w:bidi w:val="0"/>
              <w:spacing w:before="0" w:after="283"/>
              <w:ind w:left="0" w:right="0" w:hanging="0"/>
              <w:jc w:val="center"/>
              <w:rPr>
                <w:b/>
              </w:rPr>
            </w:pPr>
            <w:r>
              <w:rPr>
                <w:b/>
              </w:rPr>
              <w:t>Page</w:t>
            </w:r>
          </w:p>
        </w:tc>
      </w:tr>
      <w:tr>
        <w:trPr/>
        <w:tc>
          <w:tcPr>
            <w:tcW w:w="8840" w:type="dxa"/>
            <w:tcBorders/>
            <w:shd w:fill="CCEEFF" w:val="clear"/>
            <w:vAlign w:val="center"/>
          </w:tcPr>
          <w:p>
            <w:pPr>
              <w:pStyle w:val="TableContents"/>
              <w:bidi w:val="0"/>
              <w:spacing w:before="0" w:after="283"/>
              <w:jc w:val="left"/>
              <w:rPr/>
            </w:pPr>
            <w:hyperlink w:anchor="s_001">
              <w:r>
                <w:rPr>
                  <w:rStyle w:val="InternetLink"/>
                </w:rPr>
                <w:t>ABOUT THIS PROSPECTUS SUPPLEMENT</w:t>
              </w:r>
            </w:hyperlink>
          </w:p>
        </w:tc>
        <w:tc>
          <w:tcPr>
            <w:tcW w:w="530" w:type="dxa"/>
            <w:tcBorders/>
            <w:shd w:fill="CCEEFF" w:val="clear"/>
            <w:vAlign w:val="center"/>
          </w:tcPr>
          <w:p>
            <w:pPr>
              <w:pStyle w:val="TableContents"/>
              <w:bidi w:val="0"/>
              <w:spacing w:before="0" w:after="283"/>
              <w:ind w:left="0" w:right="0" w:hanging="0"/>
              <w:jc w:val="center"/>
              <w:rPr/>
            </w:pPr>
            <w:r>
              <w:rPr/>
              <w:t>S-ii</w:t>
            </w:r>
          </w:p>
        </w:tc>
      </w:tr>
      <w:tr>
        <w:trPr/>
        <w:tc>
          <w:tcPr>
            <w:tcW w:w="8840" w:type="dxa"/>
            <w:tcBorders/>
            <w:shd w:fill="FFFFFF" w:val="clear"/>
            <w:vAlign w:val="center"/>
          </w:tcPr>
          <w:p>
            <w:pPr>
              <w:pStyle w:val="TableContents"/>
              <w:bidi w:val="0"/>
              <w:spacing w:before="0" w:after="283"/>
              <w:jc w:val="left"/>
              <w:rPr/>
            </w:pPr>
            <w:hyperlink w:anchor="s_002">
              <w:r>
                <w:rPr>
                  <w:rStyle w:val="InternetLink"/>
                </w:rPr>
                <w:t>CAUTIONARY STATEMENT REGARDING FORWARD-LOOKING STATEMENTS</w:t>
              </w:r>
            </w:hyperlink>
          </w:p>
        </w:tc>
        <w:tc>
          <w:tcPr>
            <w:tcW w:w="530" w:type="dxa"/>
            <w:tcBorders/>
            <w:shd w:fill="FFFFFF" w:val="clear"/>
            <w:vAlign w:val="center"/>
          </w:tcPr>
          <w:p>
            <w:pPr>
              <w:pStyle w:val="TableContents"/>
              <w:bidi w:val="0"/>
              <w:spacing w:before="0" w:after="283"/>
              <w:ind w:left="0" w:right="0" w:hanging="0"/>
              <w:jc w:val="center"/>
              <w:rPr/>
            </w:pPr>
            <w:r>
              <w:rPr/>
              <w:t>S-iv</w:t>
            </w:r>
          </w:p>
        </w:tc>
      </w:tr>
      <w:tr>
        <w:trPr/>
        <w:tc>
          <w:tcPr>
            <w:tcW w:w="8840" w:type="dxa"/>
            <w:tcBorders/>
            <w:shd w:fill="CCEEFF" w:val="clear"/>
            <w:vAlign w:val="center"/>
          </w:tcPr>
          <w:p>
            <w:pPr>
              <w:pStyle w:val="TableContents"/>
              <w:bidi w:val="0"/>
              <w:spacing w:before="0" w:after="283"/>
              <w:jc w:val="left"/>
              <w:rPr/>
            </w:pPr>
            <w:hyperlink w:anchor="s_003">
              <w:r>
                <w:rPr>
                  <w:rStyle w:val="InternetLink"/>
                </w:rPr>
                <w:t>PROSPECTUS SUPPLEMENT SUMMARY</w:t>
              </w:r>
            </w:hyperlink>
          </w:p>
        </w:tc>
        <w:tc>
          <w:tcPr>
            <w:tcW w:w="530" w:type="dxa"/>
            <w:tcBorders/>
            <w:shd w:fill="CCEEFF" w:val="clear"/>
            <w:vAlign w:val="center"/>
          </w:tcPr>
          <w:p>
            <w:pPr>
              <w:pStyle w:val="TableContents"/>
              <w:bidi w:val="0"/>
              <w:spacing w:before="0" w:after="283"/>
              <w:ind w:left="0" w:right="0" w:hanging="0"/>
              <w:jc w:val="center"/>
              <w:rPr/>
            </w:pPr>
            <w:r>
              <w:rPr/>
              <w:t>S-1</w:t>
            </w:r>
          </w:p>
        </w:tc>
      </w:tr>
      <w:tr>
        <w:trPr/>
        <w:tc>
          <w:tcPr>
            <w:tcW w:w="8840" w:type="dxa"/>
            <w:tcBorders/>
            <w:shd w:fill="FFFFFF" w:val="clear"/>
            <w:vAlign w:val="center"/>
          </w:tcPr>
          <w:p>
            <w:pPr>
              <w:pStyle w:val="TableContents"/>
              <w:bidi w:val="0"/>
              <w:spacing w:before="0" w:after="283"/>
              <w:jc w:val="left"/>
              <w:rPr/>
            </w:pPr>
            <w:hyperlink w:anchor="s_004">
              <w:r>
                <w:rPr>
                  <w:rStyle w:val="InternetLink"/>
                </w:rPr>
                <w:t>CONCURRENT NOTES TRANSACTIONS</w:t>
              </w:r>
            </w:hyperlink>
          </w:p>
        </w:tc>
        <w:tc>
          <w:tcPr>
            <w:tcW w:w="530" w:type="dxa"/>
            <w:tcBorders/>
            <w:shd w:fill="FFFFFF" w:val="clear"/>
            <w:vAlign w:val="center"/>
          </w:tcPr>
          <w:p>
            <w:pPr>
              <w:pStyle w:val="TableContents"/>
              <w:bidi w:val="0"/>
              <w:spacing w:before="0" w:after="283"/>
              <w:ind w:left="0" w:right="0" w:hanging="0"/>
              <w:jc w:val="center"/>
              <w:rPr/>
            </w:pPr>
            <w:r>
              <w:rPr/>
              <w:t>S-6</w:t>
            </w:r>
          </w:p>
        </w:tc>
      </w:tr>
      <w:tr>
        <w:trPr/>
        <w:tc>
          <w:tcPr>
            <w:tcW w:w="8840" w:type="dxa"/>
            <w:tcBorders/>
            <w:shd w:fill="CCEEFF" w:val="clear"/>
            <w:vAlign w:val="center"/>
          </w:tcPr>
          <w:p>
            <w:pPr>
              <w:pStyle w:val="TableContents"/>
              <w:bidi w:val="0"/>
              <w:spacing w:before="0" w:after="283"/>
              <w:jc w:val="left"/>
              <w:rPr/>
            </w:pPr>
            <w:hyperlink w:anchor="s_005">
              <w:r>
                <w:rPr>
                  <w:rStyle w:val="InternetLink"/>
                </w:rPr>
                <w:t>DESCRIPTION OF CAPPED CALL TRANSACTIONS</w:t>
              </w:r>
            </w:hyperlink>
          </w:p>
        </w:tc>
        <w:tc>
          <w:tcPr>
            <w:tcW w:w="530" w:type="dxa"/>
            <w:tcBorders/>
            <w:shd w:fill="CCEEFF" w:val="clear"/>
            <w:vAlign w:val="center"/>
          </w:tcPr>
          <w:p>
            <w:pPr>
              <w:pStyle w:val="TableContents"/>
              <w:bidi w:val="0"/>
              <w:spacing w:before="0" w:after="283"/>
              <w:ind w:left="0" w:right="0" w:hanging="0"/>
              <w:jc w:val="center"/>
              <w:rPr/>
            </w:pPr>
            <w:r>
              <w:rPr/>
              <w:t>S-8</w:t>
            </w:r>
          </w:p>
        </w:tc>
      </w:tr>
      <w:tr>
        <w:trPr/>
        <w:tc>
          <w:tcPr>
            <w:tcW w:w="8840" w:type="dxa"/>
            <w:tcBorders/>
            <w:shd w:fill="FFFFFF" w:val="clear"/>
            <w:vAlign w:val="center"/>
          </w:tcPr>
          <w:p>
            <w:pPr>
              <w:pStyle w:val="TableContents"/>
              <w:bidi w:val="0"/>
              <w:spacing w:before="0" w:after="283"/>
              <w:jc w:val="left"/>
              <w:rPr/>
            </w:pPr>
            <w:hyperlink w:anchor="s_006">
              <w:r>
                <w:rPr>
                  <w:rStyle w:val="InternetLink"/>
                </w:rPr>
                <w:t>RISK FACTORS</w:t>
              </w:r>
            </w:hyperlink>
          </w:p>
        </w:tc>
        <w:tc>
          <w:tcPr>
            <w:tcW w:w="530" w:type="dxa"/>
            <w:tcBorders/>
            <w:shd w:fill="FFFFFF" w:val="clear"/>
            <w:vAlign w:val="center"/>
          </w:tcPr>
          <w:p>
            <w:pPr>
              <w:pStyle w:val="TableContents"/>
              <w:bidi w:val="0"/>
              <w:spacing w:before="0" w:after="283"/>
              <w:ind w:left="0" w:right="0" w:hanging="0"/>
              <w:jc w:val="center"/>
              <w:rPr/>
            </w:pPr>
            <w:r>
              <w:rPr/>
              <w:t>S-9</w:t>
            </w:r>
          </w:p>
        </w:tc>
      </w:tr>
      <w:tr>
        <w:trPr/>
        <w:tc>
          <w:tcPr>
            <w:tcW w:w="8840" w:type="dxa"/>
            <w:tcBorders/>
            <w:shd w:fill="CCEEFF" w:val="clear"/>
            <w:vAlign w:val="center"/>
          </w:tcPr>
          <w:p>
            <w:pPr>
              <w:pStyle w:val="TableContents"/>
              <w:bidi w:val="0"/>
              <w:spacing w:before="0" w:after="283"/>
              <w:jc w:val="left"/>
              <w:rPr/>
            </w:pPr>
            <w:hyperlink w:anchor="s_014">
              <w:r>
                <w:rPr>
                  <w:rStyle w:val="InternetLink"/>
                </w:rPr>
                <w:t>USE OF PROCEEDS</w:t>
              </w:r>
            </w:hyperlink>
          </w:p>
        </w:tc>
        <w:tc>
          <w:tcPr>
            <w:tcW w:w="530" w:type="dxa"/>
            <w:tcBorders/>
            <w:shd w:fill="CCEEFF" w:val="clear"/>
            <w:vAlign w:val="center"/>
          </w:tcPr>
          <w:p>
            <w:pPr>
              <w:pStyle w:val="TableContents"/>
              <w:bidi w:val="0"/>
              <w:spacing w:before="0" w:after="283"/>
              <w:ind w:left="0" w:right="0" w:hanging="0"/>
              <w:jc w:val="center"/>
              <w:rPr/>
            </w:pPr>
            <w:r>
              <w:rPr/>
              <w:t>S-13</w:t>
            </w:r>
          </w:p>
        </w:tc>
      </w:tr>
      <w:tr>
        <w:trPr/>
        <w:tc>
          <w:tcPr>
            <w:tcW w:w="8840" w:type="dxa"/>
            <w:tcBorders/>
            <w:shd w:fill="FFFFFF" w:val="clear"/>
            <w:vAlign w:val="center"/>
          </w:tcPr>
          <w:p>
            <w:pPr>
              <w:pStyle w:val="TableContents"/>
              <w:bidi w:val="0"/>
              <w:spacing w:before="0" w:after="283"/>
              <w:jc w:val="left"/>
              <w:rPr/>
            </w:pPr>
            <w:hyperlink w:anchor="s_007">
              <w:r>
                <w:rPr>
                  <w:rStyle w:val="InternetLink"/>
                </w:rPr>
                <w:t>CAPITALIZATION</w:t>
              </w:r>
            </w:hyperlink>
          </w:p>
        </w:tc>
        <w:tc>
          <w:tcPr>
            <w:tcW w:w="530" w:type="dxa"/>
            <w:tcBorders/>
            <w:shd w:fill="FFFFFF" w:val="clear"/>
            <w:vAlign w:val="center"/>
          </w:tcPr>
          <w:p>
            <w:pPr>
              <w:pStyle w:val="TableContents"/>
              <w:bidi w:val="0"/>
              <w:spacing w:before="0" w:after="283"/>
              <w:ind w:left="0" w:right="0" w:hanging="0"/>
              <w:jc w:val="center"/>
              <w:rPr/>
            </w:pPr>
            <w:r>
              <w:rPr/>
              <w:t>S-14</w:t>
            </w:r>
          </w:p>
        </w:tc>
      </w:tr>
      <w:tr>
        <w:trPr/>
        <w:tc>
          <w:tcPr>
            <w:tcW w:w="8840" w:type="dxa"/>
            <w:tcBorders/>
            <w:shd w:fill="CCEEFF" w:val="clear"/>
            <w:vAlign w:val="center"/>
          </w:tcPr>
          <w:p>
            <w:pPr>
              <w:pStyle w:val="TableContents"/>
              <w:bidi w:val="0"/>
              <w:spacing w:before="0" w:after="283"/>
              <w:jc w:val="left"/>
              <w:rPr/>
            </w:pPr>
            <w:hyperlink w:anchor="s_008">
              <w:r>
                <w:rPr>
                  <w:rStyle w:val="InternetLink"/>
                </w:rPr>
                <w:t>DILUTION</w:t>
              </w:r>
            </w:hyperlink>
          </w:p>
        </w:tc>
        <w:tc>
          <w:tcPr>
            <w:tcW w:w="530" w:type="dxa"/>
            <w:tcBorders/>
            <w:shd w:fill="CCEEFF" w:val="clear"/>
            <w:vAlign w:val="center"/>
          </w:tcPr>
          <w:p>
            <w:pPr>
              <w:pStyle w:val="TableContents"/>
              <w:bidi w:val="0"/>
              <w:spacing w:before="0" w:after="283"/>
              <w:ind w:left="0" w:right="0" w:hanging="0"/>
              <w:jc w:val="center"/>
              <w:rPr/>
            </w:pPr>
            <w:r>
              <w:rPr/>
              <w:t>S-15</w:t>
            </w:r>
          </w:p>
        </w:tc>
      </w:tr>
      <w:tr>
        <w:trPr/>
        <w:tc>
          <w:tcPr>
            <w:tcW w:w="8840" w:type="dxa"/>
            <w:tcBorders/>
            <w:shd w:fill="FFFFFF" w:val="clear"/>
            <w:vAlign w:val="center"/>
          </w:tcPr>
          <w:p>
            <w:pPr>
              <w:pStyle w:val="TableContents"/>
              <w:bidi w:val="0"/>
              <w:spacing w:before="0" w:after="283"/>
              <w:jc w:val="left"/>
              <w:rPr/>
            </w:pPr>
            <w:hyperlink w:anchor="s_009">
              <w:r>
                <w:rPr>
                  <w:rStyle w:val="InternetLink"/>
                </w:rPr>
                <w:t>PLAN OF DISTRIBUTION</w:t>
              </w:r>
            </w:hyperlink>
          </w:p>
        </w:tc>
        <w:tc>
          <w:tcPr>
            <w:tcW w:w="530" w:type="dxa"/>
            <w:tcBorders/>
            <w:shd w:fill="FFFFFF" w:val="clear"/>
            <w:vAlign w:val="center"/>
          </w:tcPr>
          <w:p>
            <w:pPr>
              <w:pStyle w:val="TableContents"/>
              <w:bidi w:val="0"/>
              <w:spacing w:before="0" w:after="283"/>
              <w:ind w:left="0" w:right="0" w:hanging="0"/>
              <w:jc w:val="center"/>
              <w:rPr/>
            </w:pPr>
            <w:r>
              <w:rPr/>
              <w:t>S-16</w:t>
            </w:r>
          </w:p>
        </w:tc>
      </w:tr>
      <w:tr>
        <w:trPr/>
        <w:tc>
          <w:tcPr>
            <w:tcW w:w="8840" w:type="dxa"/>
            <w:tcBorders/>
            <w:shd w:fill="CCEEFF" w:val="clear"/>
            <w:vAlign w:val="center"/>
          </w:tcPr>
          <w:p>
            <w:pPr>
              <w:pStyle w:val="TableContents"/>
              <w:bidi w:val="0"/>
              <w:spacing w:before="0" w:after="283"/>
              <w:jc w:val="left"/>
              <w:rPr/>
            </w:pPr>
            <w:hyperlink w:anchor="s_010">
              <w:r>
                <w:rPr>
                  <w:rStyle w:val="InternetLink"/>
                </w:rPr>
                <w:t>LEGAL MATTERS</w:t>
              </w:r>
            </w:hyperlink>
          </w:p>
        </w:tc>
        <w:tc>
          <w:tcPr>
            <w:tcW w:w="530" w:type="dxa"/>
            <w:tcBorders/>
            <w:shd w:fill="CCEEFF" w:val="clear"/>
            <w:vAlign w:val="center"/>
          </w:tcPr>
          <w:p>
            <w:pPr>
              <w:pStyle w:val="TableContents"/>
              <w:bidi w:val="0"/>
              <w:spacing w:before="0" w:after="283"/>
              <w:ind w:left="0" w:right="0" w:hanging="0"/>
              <w:jc w:val="center"/>
              <w:rPr/>
            </w:pPr>
            <w:r>
              <w:rPr/>
              <w:t>S-20</w:t>
            </w:r>
          </w:p>
        </w:tc>
      </w:tr>
      <w:tr>
        <w:trPr/>
        <w:tc>
          <w:tcPr>
            <w:tcW w:w="8840" w:type="dxa"/>
            <w:tcBorders/>
            <w:shd w:fill="FFFFFF" w:val="clear"/>
            <w:vAlign w:val="center"/>
          </w:tcPr>
          <w:p>
            <w:pPr>
              <w:pStyle w:val="TableContents"/>
              <w:bidi w:val="0"/>
              <w:spacing w:before="0" w:after="283"/>
              <w:jc w:val="left"/>
              <w:rPr/>
            </w:pPr>
            <w:hyperlink w:anchor="s_011">
              <w:r>
                <w:rPr>
                  <w:rStyle w:val="InternetLink"/>
                </w:rPr>
                <w:t>EXPERTS</w:t>
              </w:r>
            </w:hyperlink>
          </w:p>
        </w:tc>
        <w:tc>
          <w:tcPr>
            <w:tcW w:w="530" w:type="dxa"/>
            <w:tcBorders/>
            <w:shd w:fill="FFFFFF" w:val="clear"/>
            <w:vAlign w:val="center"/>
          </w:tcPr>
          <w:p>
            <w:pPr>
              <w:pStyle w:val="TableContents"/>
              <w:bidi w:val="0"/>
              <w:spacing w:before="0" w:after="283"/>
              <w:ind w:left="0" w:right="0" w:hanging="0"/>
              <w:jc w:val="center"/>
              <w:rPr/>
            </w:pPr>
            <w:r>
              <w:rPr/>
              <w:t>S-20</w:t>
            </w:r>
          </w:p>
        </w:tc>
      </w:tr>
      <w:tr>
        <w:trPr/>
        <w:tc>
          <w:tcPr>
            <w:tcW w:w="8840" w:type="dxa"/>
            <w:tcBorders/>
            <w:shd w:fill="CCEEFF" w:val="clear"/>
            <w:vAlign w:val="center"/>
          </w:tcPr>
          <w:p>
            <w:pPr>
              <w:pStyle w:val="TableContents"/>
              <w:bidi w:val="0"/>
              <w:spacing w:before="0" w:after="283"/>
              <w:jc w:val="left"/>
              <w:rPr/>
            </w:pPr>
            <w:hyperlink w:anchor="s_012">
              <w:r>
                <w:rPr>
                  <w:rStyle w:val="InternetLink"/>
                </w:rPr>
                <w:t>WHERE YOU CAN FIND MORE INFORMATION</w:t>
              </w:r>
            </w:hyperlink>
          </w:p>
        </w:tc>
        <w:tc>
          <w:tcPr>
            <w:tcW w:w="530" w:type="dxa"/>
            <w:tcBorders/>
            <w:shd w:fill="CCEEFF" w:val="clear"/>
            <w:vAlign w:val="center"/>
          </w:tcPr>
          <w:p>
            <w:pPr>
              <w:pStyle w:val="TableContents"/>
              <w:bidi w:val="0"/>
              <w:spacing w:before="0" w:after="283"/>
              <w:ind w:left="0" w:right="0" w:hanging="0"/>
              <w:jc w:val="center"/>
              <w:rPr/>
            </w:pPr>
            <w:r>
              <w:rPr/>
              <w:t>S-20</w:t>
            </w:r>
          </w:p>
        </w:tc>
      </w:tr>
      <w:tr>
        <w:trPr/>
        <w:tc>
          <w:tcPr>
            <w:tcW w:w="8840" w:type="dxa"/>
            <w:tcBorders/>
            <w:shd w:fill="FFFFFF" w:val="clear"/>
            <w:vAlign w:val="center"/>
          </w:tcPr>
          <w:p>
            <w:pPr>
              <w:pStyle w:val="TableContents"/>
              <w:bidi w:val="0"/>
              <w:spacing w:before="0" w:after="283"/>
              <w:jc w:val="left"/>
              <w:rPr/>
            </w:pPr>
            <w:hyperlink w:anchor="s_013">
              <w:r>
                <w:rPr>
                  <w:rStyle w:val="InternetLink"/>
                </w:rPr>
                <w:t>INFORMATION INCORPORATED BY REFERENCE</w:t>
              </w:r>
            </w:hyperlink>
          </w:p>
        </w:tc>
        <w:tc>
          <w:tcPr>
            <w:tcW w:w="530" w:type="dxa"/>
            <w:tcBorders/>
            <w:shd w:fill="FFFFFF" w:val="clear"/>
            <w:vAlign w:val="center"/>
          </w:tcPr>
          <w:p>
            <w:pPr>
              <w:pStyle w:val="TableContents"/>
              <w:bidi w:val="0"/>
              <w:spacing w:before="0" w:after="283"/>
              <w:jc w:val="center"/>
              <w:rPr/>
            </w:pPr>
            <w:r>
              <w:rPr/>
              <w:t>S-21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Prospectus</w:t>
      </w:r>
    </w:p>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8840"/>
        <w:gridCol w:w="275"/>
      </w:tblGrid>
      <w:tr>
        <w:trPr/>
        <w:tc>
          <w:tcPr>
            <w:tcW w:w="884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jc w:val="center"/>
              <w:rPr/>
            </w:pPr>
            <w:r>
              <w:rPr/>
              <w:t>ii</w:t>
            </w:r>
          </w:p>
        </w:tc>
      </w:tr>
      <w:tr>
        <w:trPr/>
        <w:tc>
          <w:tcPr>
            <w:tcW w:w="8840" w:type="dxa"/>
            <w:tcBorders/>
            <w:shd w:fill="FFFFFF" w:val="clear"/>
            <w:vAlign w:val="center"/>
          </w:tcPr>
          <w:p>
            <w:pPr>
              <w:pStyle w:val="TableContents"/>
              <w:bidi w:val="0"/>
              <w:spacing w:before="0" w:after="283"/>
              <w:jc w:val="left"/>
              <w:rPr/>
            </w:pPr>
            <w:hyperlink w:anchor="a_002">
              <w:r>
                <w:rPr>
                  <w:rStyle w:val="InternetLink"/>
                </w:rPr>
                <w:t>MARKET PRICE INFORMATION</w:t>
              </w:r>
            </w:hyperlink>
          </w:p>
        </w:tc>
        <w:tc>
          <w:tcPr>
            <w:tcW w:w="275" w:type="dxa"/>
            <w:tcBorders/>
            <w:shd w:fill="FFFFFF" w:val="clear"/>
            <w:vAlign w:val="center"/>
          </w:tcPr>
          <w:p>
            <w:pPr>
              <w:pStyle w:val="TableContents"/>
              <w:bidi w:val="0"/>
              <w:spacing w:before="0" w:after="283"/>
              <w:jc w:val="center"/>
              <w:rPr/>
            </w:pPr>
            <w:r>
              <w:rPr/>
              <w:t>iii</w:t>
            </w:r>
          </w:p>
        </w:tc>
      </w:tr>
      <w:tr>
        <w:trPr/>
        <w:tc>
          <w:tcPr>
            <w:tcW w:w="8840" w:type="dxa"/>
            <w:tcBorders/>
            <w:shd w:fill="CCEEFF" w:val="clear"/>
            <w:vAlign w:val="center"/>
          </w:tcPr>
          <w:p>
            <w:pPr>
              <w:pStyle w:val="TableContents"/>
              <w:bidi w:val="0"/>
              <w:spacing w:before="0" w:after="283"/>
              <w:jc w:val="left"/>
              <w:rPr/>
            </w:pPr>
            <w:hyperlink w:anchor="a_003">
              <w:r>
                <w:rPr>
                  <w:rStyle w:val="InternetLink"/>
                </w:rPr>
                <w:t>CAUTIONARY STATEMENT REGARDING FORWARD-LOOKING STATEMENTS</w:t>
              </w:r>
            </w:hyperlink>
          </w:p>
        </w:tc>
        <w:tc>
          <w:tcPr>
            <w:tcW w:w="275" w:type="dxa"/>
            <w:tcBorders/>
            <w:shd w:fill="CCEEFF" w:val="clear"/>
            <w:vAlign w:val="center"/>
          </w:tcPr>
          <w:p>
            <w:pPr>
              <w:pStyle w:val="TableContents"/>
              <w:bidi w:val="0"/>
              <w:spacing w:before="0" w:after="283"/>
              <w:jc w:val="center"/>
              <w:rPr/>
            </w:pPr>
            <w:r>
              <w:rPr/>
              <w:t>iv</w:t>
            </w:r>
          </w:p>
        </w:tc>
      </w:tr>
      <w:tr>
        <w:trPr/>
        <w:tc>
          <w:tcPr>
            <w:tcW w:w="8840" w:type="dxa"/>
            <w:tcBorders/>
            <w:shd w:fill="FFFFFF" w:val="clear"/>
            <w:vAlign w:val="center"/>
          </w:tcPr>
          <w:p>
            <w:pPr>
              <w:pStyle w:val="TableContents"/>
              <w:bidi w:val="0"/>
              <w:spacing w:before="0" w:after="283"/>
              <w:jc w:val="left"/>
              <w:rPr/>
            </w:pPr>
            <w:hyperlink w:anchor="a_004">
              <w:r>
                <w:rPr>
                  <w:rStyle w:val="InternetLink"/>
                </w:rPr>
                <w:t>PROSPECTUS SUMMARY</w:t>
              </w:r>
            </w:hyperlink>
          </w:p>
        </w:tc>
        <w:tc>
          <w:tcPr>
            <w:tcW w:w="275" w:type="dxa"/>
            <w:tcBorders/>
            <w:shd w:fill="FFFFFF" w:val="clear"/>
            <w:vAlign w:val="center"/>
          </w:tcPr>
          <w:p>
            <w:pPr>
              <w:pStyle w:val="TableContents"/>
              <w:bidi w:val="0"/>
              <w:spacing w:before="0" w:after="283"/>
              <w:jc w:val="center"/>
              <w:rPr/>
            </w:pPr>
            <w:r>
              <w:rPr/>
              <w:t>1</w:t>
            </w:r>
          </w:p>
        </w:tc>
      </w:tr>
      <w:tr>
        <w:trPr/>
        <w:tc>
          <w:tcPr>
            <w:tcW w:w="8840"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275" w:type="dxa"/>
            <w:tcBorders/>
            <w:shd w:fill="CCEEFF" w:val="clear"/>
            <w:vAlign w:val="center"/>
          </w:tcPr>
          <w:p>
            <w:pPr>
              <w:pStyle w:val="TableContents"/>
              <w:bidi w:val="0"/>
              <w:spacing w:before="0" w:after="283"/>
              <w:jc w:val="center"/>
              <w:rPr/>
            </w:pPr>
            <w:r>
              <w:rPr/>
              <w:t>6</w:t>
            </w:r>
          </w:p>
        </w:tc>
      </w:tr>
      <w:tr>
        <w:trPr/>
        <w:tc>
          <w:tcPr>
            <w:tcW w:w="884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275" w:type="dxa"/>
            <w:tcBorders/>
            <w:shd w:fill="FFFFFF" w:val="clear"/>
            <w:vAlign w:val="center"/>
          </w:tcPr>
          <w:p>
            <w:pPr>
              <w:pStyle w:val="TableContents"/>
              <w:bidi w:val="0"/>
              <w:spacing w:before="0" w:after="283"/>
              <w:jc w:val="center"/>
              <w:rPr/>
            </w:pPr>
            <w:r>
              <w:rPr/>
              <w:t>7</w:t>
            </w:r>
          </w:p>
        </w:tc>
      </w:tr>
      <w:tr>
        <w:trPr/>
        <w:tc>
          <w:tcPr>
            <w:tcW w:w="8840" w:type="dxa"/>
            <w:tcBorders/>
            <w:shd w:fill="CCEEFF" w:val="clear"/>
            <w:vAlign w:val="center"/>
          </w:tcPr>
          <w:p>
            <w:pPr>
              <w:pStyle w:val="TableContents"/>
              <w:bidi w:val="0"/>
              <w:spacing w:before="0" w:after="283"/>
              <w:jc w:val="left"/>
              <w:rPr/>
            </w:pPr>
            <w:hyperlink w:anchor="a_007">
              <w:r>
                <w:rPr>
                  <w:rStyle w:val="InternetLink"/>
                </w:rPr>
                <w:t>DIVIDEND POLICY</w:t>
              </w:r>
            </w:hyperlink>
          </w:p>
        </w:tc>
        <w:tc>
          <w:tcPr>
            <w:tcW w:w="275" w:type="dxa"/>
            <w:tcBorders/>
            <w:shd w:fill="CCEEFF" w:val="clear"/>
            <w:vAlign w:val="center"/>
          </w:tcPr>
          <w:p>
            <w:pPr>
              <w:pStyle w:val="TableContents"/>
              <w:bidi w:val="0"/>
              <w:spacing w:before="0" w:after="283"/>
              <w:jc w:val="center"/>
              <w:rPr/>
            </w:pPr>
            <w:r>
              <w:rPr/>
              <w:t>8</w:t>
            </w:r>
          </w:p>
        </w:tc>
      </w:tr>
      <w:tr>
        <w:trPr/>
        <w:tc>
          <w:tcPr>
            <w:tcW w:w="8840" w:type="dxa"/>
            <w:tcBorders/>
            <w:shd w:fill="FFFFFF" w:val="clear"/>
            <w:vAlign w:val="center"/>
          </w:tcPr>
          <w:p>
            <w:pPr>
              <w:pStyle w:val="TableContents"/>
              <w:bidi w:val="0"/>
              <w:spacing w:before="0" w:after="283"/>
              <w:jc w:val="left"/>
              <w:rPr/>
            </w:pPr>
            <w:hyperlink w:anchor="a_008">
              <w:r>
                <w:rPr>
                  <w:rStyle w:val="InternetLink"/>
                </w:rPr>
                <w:t>DESCRIPTION OF SECURITIES</w:t>
              </w:r>
            </w:hyperlink>
          </w:p>
        </w:tc>
        <w:tc>
          <w:tcPr>
            <w:tcW w:w="275" w:type="dxa"/>
            <w:tcBorders/>
            <w:shd w:fill="FFFFFF" w:val="clear"/>
            <w:vAlign w:val="center"/>
          </w:tcPr>
          <w:p>
            <w:pPr>
              <w:pStyle w:val="TableContents"/>
              <w:bidi w:val="0"/>
              <w:spacing w:before="0" w:after="283"/>
              <w:jc w:val="center"/>
              <w:rPr/>
            </w:pPr>
            <w:r>
              <w:rPr/>
              <w:t>9</w:t>
            </w:r>
          </w:p>
        </w:tc>
      </w:tr>
      <w:tr>
        <w:trPr/>
        <w:tc>
          <w:tcPr>
            <w:tcW w:w="8840" w:type="dxa"/>
            <w:tcBorders/>
            <w:shd w:fill="CCEEFF" w:val="clear"/>
            <w:vAlign w:val="center"/>
          </w:tcPr>
          <w:p>
            <w:pPr>
              <w:pStyle w:val="TableContents"/>
              <w:bidi w:val="0"/>
              <w:spacing w:before="0" w:after="283"/>
              <w:jc w:val="left"/>
              <w:rPr/>
            </w:pPr>
            <w:hyperlink w:anchor="a_009">
              <w:r>
                <w:rPr>
                  <w:rStyle w:val="InternetLink"/>
                </w:rPr>
                <w:t>FORMS OF SECURITIES</w:t>
              </w:r>
            </w:hyperlink>
          </w:p>
        </w:tc>
        <w:tc>
          <w:tcPr>
            <w:tcW w:w="275" w:type="dxa"/>
            <w:tcBorders/>
            <w:shd w:fill="CCEEFF" w:val="clear"/>
            <w:vAlign w:val="center"/>
          </w:tcPr>
          <w:p>
            <w:pPr>
              <w:pStyle w:val="TableContents"/>
              <w:bidi w:val="0"/>
              <w:spacing w:before="0" w:after="283"/>
              <w:jc w:val="center"/>
              <w:rPr/>
            </w:pPr>
            <w:r>
              <w:rPr/>
              <w:t>19</w:t>
            </w:r>
          </w:p>
        </w:tc>
      </w:tr>
      <w:tr>
        <w:trPr/>
        <w:tc>
          <w:tcPr>
            <w:tcW w:w="8840" w:type="dxa"/>
            <w:tcBorders/>
            <w:shd w:fill="FFFFFF" w:val="clear"/>
            <w:vAlign w:val="center"/>
          </w:tcPr>
          <w:p>
            <w:pPr>
              <w:pStyle w:val="TableContents"/>
              <w:bidi w:val="0"/>
              <w:spacing w:before="0" w:after="283"/>
              <w:jc w:val="left"/>
              <w:rPr/>
            </w:pPr>
            <w:hyperlink w:anchor="a_010">
              <w:r>
                <w:rPr>
                  <w:rStyle w:val="InternetLink"/>
                </w:rPr>
                <w:t>PLAN OF DISTRIBUTION</w:t>
              </w:r>
            </w:hyperlink>
          </w:p>
        </w:tc>
        <w:tc>
          <w:tcPr>
            <w:tcW w:w="275" w:type="dxa"/>
            <w:tcBorders/>
            <w:shd w:fill="FFFFFF" w:val="clear"/>
            <w:vAlign w:val="center"/>
          </w:tcPr>
          <w:p>
            <w:pPr>
              <w:pStyle w:val="TableContents"/>
              <w:bidi w:val="0"/>
              <w:spacing w:before="0" w:after="283"/>
              <w:jc w:val="center"/>
              <w:rPr/>
            </w:pPr>
            <w:r>
              <w:rPr/>
              <w:t>21</w:t>
            </w:r>
          </w:p>
        </w:tc>
      </w:tr>
      <w:tr>
        <w:trPr/>
        <w:tc>
          <w:tcPr>
            <w:tcW w:w="8840" w:type="dxa"/>
            <w:tcBorders/>
            <w:shd w:fill="CCEEFF" w:val="clear"/>
            <w:vAlign w:val="center"/>
          </w:tcPr>
          <w:p>
            <w:pPr>
              <w:pStyle w:val="TableContents"/>
              <w:bidi w:val="0"/>
              <w:spacing w:before="0" w:after="283"/>
              <w:jc w:val="left"/>
              <w:rPr/>
            </w:pPr>
            <w:hyperlink w:anchor="a_011">
              <w:r>
                <w:rPr>
                  <w:rStyle w:val="InternetLink"/>
                </w:rPr>
                <w:t>EXPENSES RELATED TO THE OFFERING</w:t>
              </w:r>
            </w:hyperlink>
          </w:p>
        </w:tc>
        <w:tc>
          <w:tcPr>
            <w:tcW w:w="275" w:type="dxa"/>
            <w:tcBorders/>
            <w:shd w:fill="CCEEFF" w:val="clear"/>
            <w:vAlign w:val="center"/>
          </w:tcPr>
          <w:p>
            <w:pPr>
              <w:pStyle w:val="TableContents"/>
              <w:bidi w:val="0"/>
              <w:spacing w:before="0" w:after="283"/>
              <w:jc w:val="center"/>
              <w:rPr/>
            </w:pPr>
            <w:r>
              <w:rPr/>
              <w:t>23</w:t>
            </w:r>
          </w:p>
        </w:tc>
      </w:tr>
      <w:tr>
        <w:trPr/>
        <w:tc>
          <w:tcPr>
            <w:tcW w:w="8840" w:type="dxa"/>
            <w:tcBorders/>
            <w:shd w:fill="FFFFFF" w:val="clear"/>
            <w:vAlign w:val="center"/>
          </w:tcPr>
          <w:p>
            <w:pPr>
              <w:pStyle w:val="TableContents"/>
              <w:bidi w:val="0"/>
              <w:spacing w:before="0" w:after="283"/>
              <w:jc w:val="left"/>
              <w:rPr/>
            </w:pPr>
            <w:hyperlink w:anchor="a_012">
              <w:r>
                <w:rPr>
                  <w:rStyle w:val="InternetLink"/>
                </w:rPr>
                <w:t>TAX CONSIDERATIONS</w:t>
              </w:r>
            </w:hyperlink>
          </w:p>
        </w:tc>
        <w:tc>
          <w:tcPr>
            <w:tcW w:w="275" w:type="dxa"/>
            <w:tcBorders/>
            <w:shd w:fill="FFFFFF" w:val="clear"/>
            <w:vAlign w:val="center"/>
          </w:tcPr>
          <w:p>
            <w:pPr>
              <w:pStyle w:val="TableContents"/>
              <w:bidi w:val="0"/>
              <w:spacing w:before="0" w:after="283"/>
              <w:jc w:val="center"/>
              <w:rPr/>
            </w:pPr>
            <w:r>
              <w:rPr/>
              <w:t>24</w:t>
            </w:r>
          </w:p>
        </w:tc>
      </w:tr>
      <w:tr>
        <w:trPr/>
        <w:tc>
          <w:tcPr>
            <w:tcW w:w="8840" w:type="dxa"/>
            <w:tcBorders/>
            <w:shd w:fill="CCEEFF" w:val="clear"/>
            <w:vAlign w:val="center"/>
          </w:tcPr>
          <w:p>
            <w:pPr>
              <w:pStyle w:val="TableContents"/>
              <w:bidi w:val="0"/>
              <w:spacing w:before="0" w:after="283"/>
              <w:jc w:val="left"/>
              <w:rPr/>
            </w:pPr>
            <w:hyperlink w:anchor="a_013">
              <w:r>
                <w:rPr>
                  <w:rStyle w:val="InternetLink"/>
                </w:rPr>
                <w:t>LEGAL MATTERS</w:t>
              </w:r>
            </w:hyperlink>
          </w:p>
        </w:tc>
        <w:tc>
          <w:tcPr>
            <w:tcW w:w="275" w:type="dxa"/>
            <w:tcBorders/>
            <w:shd w:fill="CCEEFF" w:val="clear"/>
            <w:vAlign w:val="center"/>
          </w:tcPr>
          <w:p>
            <w:pPr>
              <w:pStyle w:val="TableContents"/>
              <w:bidi w:val="0"/>
              <w:spacing w:before="0" w:after="283"/>
              <w:jc w:val="center"/>
              <w:rPr/>
            </w:pPr>
            <w:r>
              <w:rPr/>
              <w:t>29</w:t>
            </w:r>
          </w:p>
        </w:tc>
      </w:tr>
      <w:tr>
        <w:trPr/>
        <w:tc>
          <w:tcPr>
            <w:tcW w:w="8840" w:type="dxa"/>
            <w:tcBorders/>
            <w:shd w:fill="FFFFFF" w:val="clear"/>
            <w:vAlign w:val="center"/>
          </w:tcPr>
          <w:p>
            <w:pPr>
              <w:pStyle w:val="TableContents"/>
              <w:bidi w:val="0"/>
              <w:spacing w:before="0" w:after="283"/>
              <w:jc w:val="left"/>
              <w:rPr/>
            </w:pPr>
            <w:hyperlink w:anchor="a_014">
              <w:r>
                <w:rPr>
                  <w:rStyle w:val="InternetLink"/>
                </w:rPr>
                <w:t>EXPERTS</w:t>
              </w:r>
            </w:hyperlink>
          </w:p>
        </w:tc>
        <w:tc>
          <w:tcPr>
            <w:tcW w:w="275" w:type="dxa"/>
            <w:tcBorders/>
            <w:shd w:fill="FFFFFF" w:val="clear"/>
            <w:vAlign w:val="center"/>
          </w:tcPr>
          <w:p>
            <w:pPr>
              <w:pStyle w:val="TableContents"/>
              <w:bidi w:val="0"/>
              <w:spacing w:before="0" w:after="283"/>
              <w:jc w:val="center"/>
              <w:rPr/>
            </w:pPr>
            <w:r>
              <w:rPr/>
              <w:t>30</w:t>
            </w:r>
          </w:p>
        </w:tc>
      </w:tr>
      <w:tr>
        <w:trPr/>
        <w:tc>
          <w:tcPr>
            <w:tcW w:w="8840" w:type="dxa"/>
            <w:tcBorders/>
            <w:shd w:fill="CCEEFF" w:val="clear"/>
            <w:vAlign w:val="center"/>
          </w:tcPr>
          <w:p>
            <w:pPr>
              <w:pStyle w:val="TableContents"/>
              <w:bidi w:val="0"/>
              <w:spacing w:before="0" w:after="283"/>
              <w:jc w:val="left"/>
              <w:rPr/>
            </w:pPr>
            <w:hyperlink w:anchor="a_015">
              <w:r>
                <w:rPr>
                  <w:rStyle w:val="InternetLink"/>
                </w:rPr>
                <w:t>ENFORCEABILITY OF CIVIL LIABILITY</w:t>
              </w:r>
            </w:hyperlink>
          </w:p>
        </w:tc>
        <w:tc>
          <w:tcPr>
            <w:tcW w:w="275" w:type="dxa"/>
            <w:tcBorders/>
            <w:shd w:fill="CCEEFF" w:val="clear"/>
            <w:vAlign w:val="center"/>
          </w:tcPr>
          <w:p>
            <w:pPr>
              <w:pStyle w:val="TableContents"/>
              <w:bidi w:val="0"/>
              <w:spacing w:before="0" w:after="283"/>
              <w:jc w:val="center"/>
              <w:rPr/>
            </w:pPr>
            <w:r>
              <w:rPr/>
              <w:t>31</w:t>
            </w:r>
          </w:p>
        </w:tc>
      </w:tr>
      <w:tr>
        <w:trPr/>
        <w:tc>
          <w:tcPr>
            <w:tcW w:w="8840" w:type="dxa"/>
            <w:tcBorders/>
            <w:shd w:fill="FFFFFF" w:val="clear"/>
            <w:vAlign w:val="center"/>
          </w:tcPr>
          <w:p>
            <w:pPr>
              <w:pStyle w:val="TableContents"/>
              <w:bidi w:val="0"/>
              <w:spacing w:before="0" w:after="283"/>
              <w:jc w:val="left"/>
              <w:rPr/>
            </w:pPr>
            <w:hyperlink w:anchor="a_016">
              <w:r>
                <w:rPr>
                  <w:rStyle w:val="InternetLink"/>
                </w:rPr>
                <w:t>WHERE YOU CAN FIND MORE INFORMATION</w:t>
              </w:r>
            </w:hyperlink>
          </w:p>
        </w:tc>
        <w:tc>
          <w:tcPr>
            <w:tcW w:w="275" w:type="dxa"/>
            <w:tcBorders/>
            <w:shd w:fill="FFFFFF" w:val="clear"/>
            <w:vAlign w:val="center"/>
          </w:tcPr>
          <w:p>
            <w:pPr>
              <w:pStyle w:val="TableContents"/>
              <w:bidi w:val="0"/>
              <w:spacing w:before="0" w:after="283"/>
              <w:jc w:val="center"/>
              <w:rPr/>
            </w:pPr>
            <w:r>
              <w:rPr/>
              <w:t>32</w:t>
            </w:r>
          </w:p>
        </w:tc>
      </w:tr>
      <w:tr>
        <w:trPr/>
        <w:tc>
          <w:tcPr>
            <w:tcW w:w="8840" w:type="dxa"/>
            <w:tcBorders/>
            <w:shd w:fill="CCEEFF" w:val="clear"/>
            <w:vAlign w:val="center"/>
          </w:tcPr>
          <w:p>
            <w:pPr>
              <w:pStyle w:val="TableContents"/>
              <w:bidi w:val="0"/>
              <w:spacing w:before="0" w:after="283"/>
              <w:jc w:val="left"/>
              <w:rPr/>
            </w:pPr>
            <w:hyperlink w:anchor="a_017">
              <w:r>
                <w:rPr>
                  <w:rStyle w:val="InternetLink"/>
                </w:rPr>
                <w:t>INFORMATION INCORPORATED BY REFERENCE</w:t>
              </w:r>
            </w:hyperlink>
          </w:p>
        </w:tc>
        <w:tc>
          <w:tcPr>
            <w:tcW w:w="275" w:type="dxa"/>
            <w:tcBorders/>
            <w:shd w:fill="CCEEFF" w:val="clear"/>
            <w:vAlign w:val="center"/>
          </w:tcPr>
          <w:p>
            <w:pPr>
              <w:pStyle w:val="TableContents"/>
              <w:bidi w:val="0"/>
              <w:spacing w:before="0" w:after="283"/>
              <w:jc w:val="center"/>
              <w:rPr/>
            </w:pPr>
            <w:r>
              <w:rPr/>
              <w:t>33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 w:name="s_001"/>
      <w:bookmarkEnd w:id="2"/>
      <w:r>
        <w:rPr>
          <w:rFonts w:ascii="Times New Roman;Times;Serif" w:hAnsi="Times New Roman;Times;Serif"/>
          <w:b/>
          <w:i w:val="false"/>
          <w:caps/>
          <w:sz w:val="20"/>
        </w:rPr>
        <w:t>ABOUT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provides you with a general description of the securities that may be offered by us, some of which may not apply to this offering. This prospectus supplement and the information incorporated by reference in this prospectus supplement adds to, updates and, where applicable, modifies and supersedes information contained or incorporated by reference in the accompanying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buying any of the securities that are offered by this prospectus supplement, you should carefully read both this prospectus supplement and the accompanying prospectus with all of the information incorporated by reference in this prospectus supplement, as well as the additional information described under the heading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placement agent have authorized anyone to provide any information or to make any representations other than those contained in this prospectus supplement, any accompanying prospectus or any free writing prospectus we have prepared. Neither we nor the placement agent take responsibility for or provide assurance as to the reliability of, any other information that others may give you. This prospectus supplement is an offer to sell only the securities offered hereby and only under circumstances and in jurisdictions where it is lawful to do so. No dealer, salesperson or other person is authorized to give any information or to represent anything not contained in this prospectus supplement, any applicable prospectus or any related free writing prospectus. This prospectus supplement is not an offer to sell securities, and it is not soliciting an offer to buy securities, in any jurisdiction where the offer or sale is not permitted. You should assume that the information appearing in this prospectus supplement is accurate only as of the date on the front cover of those documents only, regardless of the time of delivery of this prospectus supplement, or any sale of a security. Our business, financial condition, results of operations and prospects may have changed since those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proprietary rights to trademarks used in this prospectus supplement that are important to our business, many of which are registered (or pending registration) under applicable intellectual property laws. This prospectus supplement contains references to trademarks, trade names and service marks belonging to other entities. Solely for convenience, trademarks, trade names and service marks referred to in this prospectus supplement may appear without the ® or TM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supplement, unless otherwise indicated or unless the context otherwise requires,</w:t>
      </w:r>
    </w:p>
    <w:p>
      <w:pPr>
        <w:pStyle w:val="TextBody"/>
        <w:bidi w:val="0"/>
        <w:spacing w:before="0" w:after="0"/>
        <w:ind w:left="720" w:right="0" w:hanging="36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pPr>
            <w:r>
              <w:rPr/>
              <w:t>“</w:t>
            </w:r>
            <w:r>
              <w:rPr>
                <w:rFonts w:ascii="Times New Roman;Times;Serif" w:hAnsi="Times New Roman;Times;Serif"/>
              </w:rPr>
              <w:t>Class A ordinary shares” refers to our Class A ordinary shares, par value US$0.0000001 per share;</w:t>
            </w:r>
          </w:p>
        </w:tc>
      </w:tr>
    </w:tbl>
    <w:p>
      <w:pPr>
        <w:pStyle w:val="TextBody"/>
        <w:bidi w:val="0"/>
        <w:spacing w:before="0" w:after="0"/>
        <w:ind w:left="720" w:right="0" w:hanging="36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pPr>
            <w:r>
              <w:rPr/>
              <w:t>“</w:t>
            </w:r>
            <w:r>
              <w:rPr>
                <w:rFonts w:ascii="Times New Roman;Times;Serif" w:hAnsi="Times New Roman;Times;Serif"/>
              </w:rPr>
              <w:t>Class V ordinary shares” refers to our Class V ordinary shares, par value US$0.0000001 per share;</w:t>
            </w:r>
          </w:p>
        </w:tc>
      </w:tr>
    </w:tbl>
    <w:p>
      <w:pPr>
        <w:pStyle w:val="TextBody"/>
        <w:bidi w:val="0"/>
        <w:spacing w:before="0" w:after="0"/>
        <w:ind w:left="720" w:right="0" w:hanging="36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17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pPr>
            <w:r>
              <w:rPr/>
              <w:t>“</w:t>
            </w:r>
            <w:r>
              <w:rPr>
                <w:rFonts w:ascii="Times New Roman;Times;Serif" w:hAnsi="Times New Roman;Times;Serif"/>
              </w:rPr>
              <w:t>existing notes” refers to the July 2031 notes and the November 2029 notes;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Financing Facility” refers to the financing facility that we entered into in January 2025 with a commercial bank and which in September 2025, we increased to US$26.0 million;</w:t>
            </w:r>
          </w:p>
        </w:tc>
      </w:tr>
    </w:tbl>
    <w:p>
      <w:pPr>
        <w:pStyle w:val="TextBody"/>
        <w:bidi w:val="0"/>
        <w:spacing w:before="0" w:after="0"/>
        <w:ind w:left="720" w:right="0" w:hanging="36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w:t>
            </w:r>
            <w:r>
              <w:rPr>
                <w:rFonts w:ascii="Times New Roman;Times;Serif" w:hAnsi="Times New Roman;Times;Serif"/>
              </w:rPr>
              <w:t>July 2031 notes” refer to our 4.875% Convertible Senior Notes due 2031;</w:t>
            </w:r>
          </w:p>
        </w:tc>
      </w:tr>
    </w:tbl>
    <w:p>
      <w:pPr>
        <w:pStyle w:val="TextBody"/>
        <w:bidi w:val="0"/>
        <w:spacing w:before="0" w:after="0"/>
        <w:ind w:left="720" w:right="0" w:hanging="360"/>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pPr>
            <w:r>
              <w:rPr/>
              <w:t>“</w:t>
            </w:r>
            <w:r>
              <w:rPr>
                <w:rFonts w:ascii="Times New Roman;Times;Serif" w:hAnsi="Times New Roman;Times;Serif"/>
              </w:rPr>
              <w:t>Matrixport” refers to Matrix Finance and Technology Holding Company;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Matrixport Loans” refer, collectively, to the loan agreements that we entered into with Matrixport in April 2025 (as amended) providing for a financing facility of up to US$400,000,000 (the “April 2025 Matrixport Loan”), in September 2025 providing for a financing facility of up to US$400,000,000 (the “September 2025 Matrixport Loan”) and the October 2025 Matrixport Loan;</w:t>
            </w:r>
          </w:p>
        </w:tc>
      </w:tr>
    </w:tbl>
    <w:p>
      <w:pPr>
        <w:pStyle w:val="TextBody"/>
        <w:bidi w:val="0"/>
        <w:spacing w:before="0" w:after="0"/>
        <w:ind w:left="720" w:right="0" w:hanging="36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17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pPr>
            <w:r>
              <w:rPr/>
              <w:t>“</w:t>
            </w:r>
            <w:r>
              <w:rPr>
                <w:rFonts w:ascii="Times New Roman;Times;Serif" w:hAnsi="Times New Roman;Times;Serif"/>
              </w:rPr>
              <w:t>November 2029 notes” refer to our 5.25% Convertible Senior Notes due 2029;</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our Form 20-F” refers to our annual report on Form 20-F for the year ended December 31, 2024, filed with the SEC on April 21, 2025;</w:t>
            </w:r>
          </w:p>
        </w:tc>
      </w:tr>
    </w:tbl>
    <w:p>
      <w:pPr>
        <w:pStyle w:val="TextBody"/>
        <w:bidi w:val="0"/>
        <w:spacing w:before="0" w:after="0"/>
        <w:ind w:left="720" w:right="0" w:hanging="360"/>
        <w:jc w:val="both"/>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pPr>
            <w:r>
              <w:rPr/>
              <w:t>“</w:t>
            </w:r>
            <w:r>
              <w:rPr>
                <w:rFonts w:ascii="Times New Roman;Times;Serif" w:hAnsi="Times New Roman;Times;Serif"/>
              </w:rPr>
              <w:t>shares” or “ordinary shares” refers to our Class A ordinary shares and our Class V ordinary shares;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we,” “us,” “the company,” “our group,” “our” or “Bitdeer” refers to Bitdeer Technologies Group, a Cayman Islands exempted company, and its subsidiaries.</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dr w:val="single" w:sz="12" w:space="1" w:color="000000"/>
        </w:rPr>
      </w:pPr>
      <w:r>
        <w:rPr>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3" w:name="s_002"/>
      <w:bookmarkEnd w:id="3"/>
      <w:r>
        <w:rPr>
          <w:rFonts w:ascii="Times New Roman;Times;Serif" w:hAnsi="Times New Roman;Times;Serif"/>
          <w:b/>
          <w:i w:val="false"/>
          <w:caps/>
          <w:sz w:val="20"/>
        </w:rPr>
        <w:t>CAUTIONARY STATEMENT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information incorporated by reference herein and therein contain forward-looking statements that involve risks and uncertainties. All statements other than statements of current or historical facts are forward-looking statements. These forward-looking statements are made under the “safe harbor” provisions of the U.S. Private Securities Litigation Reform Act of 1995. These statements involve known and unknown risks, uncertainties and other factors, including those listed under “Risk Factors” in this prospectus supplement, the accompanying prospectus and in our Form 20-F incorporated herein by reference, and the other documents incorporated by reference herein, that may cause our actual results, performance or achievements to be materially different from those expressed or implied by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these forward-looking statements by words or phrases such as “may,” “could,” “will,” “expect,” “anticipate,” “aim,” “estimate,” “intend,” “plan,” “believe,” “likely to,” “potential”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pStyle w:val="TextBody"/>
        <w:bidi w:val="0"/>
        <w:spacing w:before="0" w:after="0"/>
        <w:ind w:left="720" w:right="0" w:hanging="360"/>
        <w:jc w:val="both"/>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price and volatility of Bitcoin and other cryptocurrencies;</w:t>
            </w:r>
          </w:p>
        </w:tc>
      </w:tr>
    </w:tbl>
    <w:p>
      <w:pPr>
        <w:pStyle w:val="TextBody"/>
        <w:bidi w:val="0"/>
        <w:spacing w:before="0" w:after="0"/>
        <w:ind w:left="720" w:right="0" w:hanging="36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maintain competitive positions in proprietary hash rate;</w:t>
            </w:r>
          </w:p>
        </w:tc>
      </w:tr>
    </w:tbl>
    <w:p>
      <w:pPr>
        <w:pStyle w:val="TextBody"/>
        <w:bidi w:val="0"/>
        <w:spacing w:before="0" w:after="0"/>
        <w:ind w:left="720" w:right="0" w:hanging="36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procure and/or manufacture mining rigs at a lower cost;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expand mining datacenters or begin or complete any project that is “in the pipeline,” contracted or negotiated but not yet under active construction;</w:t>
            </w:r>
          </w:p>
        </w:tc>
      </w:tr>
    </w:tbl>
    <w:p>
      <w:pPr>
        <w:pStyle w:val="TextBody"/>
        <w:bidi w:val="0"/>
        <w:spacing w:before="0" w:after="0"/>
        <w:ind w:left="720" w:right="0" w:hanging="36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develop and deploy new generations of mining rigs;</w:t>
            </w:r>
          </w:p>
        </w:tc>
      </w:tr>
    </w:tbl>
    <w:p>
      <w:pPr>
        <w:pStyle w:val="TextBody"/>
        <w:bidi w:val="0"/>
        <w:spacing w:before="0" w:after="0"/>
        <w:ind w:left="720" w:right="0" w:hanging="36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control electricity cost;</w:t>
            </w:r>
          </w:p>
        </w:tc>
      </w:tr>
    </w:tbl>
    <w:p>
      <w:pPr>
        <w:pStyle w:val="TextBody"/>
        <w:bidi w:val="0"/>
        <w:spacing w:before="0" w:after="0"/>
        <w:ind w:left="720" w:right="0" w:hanging="36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make effective judgments regarding pricing strategy and resource allocation;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upgrade and expand product offerings and to successfully develop our ASIC and mining rig and HPC and AI cloud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regulatory changes or actions that may restrict the use of cryptocurrencies or the operation of cryptocurrency networks in a manner that may require us to cease certain or all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risks to our business of earthquakes, fires, floods, and other natural catastrophic events and interruptions by man-made issues such as strikes and terrorist attacks;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volatility of the market price of our Class A ordinary shares, which could cause the value of your investment to decline;</w:t>
            </w:r>
          </w:p>
        </w:tc>
      </w:tr>
    </w:tbl>
    <w:p>
      <w:pPr>
        <w:pStyle w:val="TextBody"/>
        <w:bidi w:val="0"/>
        <w:spacing w:before="0" w:after="0"/>
        <w:ind w:left="720" w:right="0" w:hanging="360"/>
        <w:jc w:val="both"/>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risk that an active trading market for our Class A ordinary shares may not be sustained;</w:t>
            </w:r>
          </w:p>
        </w:tc>
      </w:tr>
    </w:tbl>
    <w:p>
      <w:pPr>
        <w:pStyle w:val="TextBody"/>
        <w:bidi w:val="0"/>
        <w:spacing w:before="0" w:after="0"/>
        <w:ind w:left="720" w:right="0" w:hanging="36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maintain the listing of our Class A ordinary shares on Nasdaq;</w:t>
            </w:r>
          </w:p>
        </w:tc>
      </w:tr>
    </w:tbl>
    <w:p>
      <w:pPr>
        <w:pStyle w:val="TextBody"/>
        <w:bidi w:val="0"/>
        <w:spacing w:before="0" w:after="0"/>
        <w:ind w:left="720" w:right="0" w:hanging="36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trading price of our securities, which has been and may continue to be volatile;</w:t>
            </w:r>
          </w:p>
        </w:tc>
      </w:tr>
    </w:tbl>
    <w:p>
      <w:pPr>
        <w:pStyle w:val="TextBody"/>
        <w:bidi w:val="0"/>
        <w:spacing w:before="0" w:after="0"/>
        <w:ind w:left="720" w:right="0" w:hanging="36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unexpected costs or expenses;</w:t>
            </w:r>
          </w:p>
        </w:tc>
      </w:tr>
    </w:tbl>
    <w:p>
      <w:pPr>
        <w:pStyle w:val="TextBody"/>
        <w:bidi w:val="0"/>
        <w:spacing w:before="0" w:after="0"/>
        <w:ind w:left="720" w:right="0" w:hanging="36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future issuances, sales or resales of our Class A ordinary shares;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bdr w:val="single" w:sz="12" w:space="1" w:color="000000"/>
        </w:rPr>
      </w:pPr>
      <w:r>
        <w:rPr>
          <w:bdr w:val="single" w:sz="12" w:space="1" w:color="000000"/>
        </w:rPr>
        <w:t>S-iv</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expectation regarding the use of proceeds from our financing activities, including this offering;</w:t>
            </w:r>
          </w:p>
        </w:tc>
      </w:tr>
    </w:tbl>
    <w:p>
      <w:pPr>
        <w:pStyle w:val="TextBody"/>
        <w:bidi w:val="0"/>
        <w:spacing w:before="0" w:after="0"/>
        <w:ind w:left="720" w:right="0" w:hanging="36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expectations regarding our cash runway;</w:t>
            </w:r>
          </w:p>
        </w:tc>
      </w:tr>
    </w:tbl>
    <w:p>
      <w:pPr>
        <w:pStyle w:val="TextBody"/>
        <w:bidi w:val="0"/>
        <w:spacing w:before="0" w:after="0"/>
        <w:ind w:left="720" w:right="0" w:hanging="360"/>
        <w:jc w:val="both"/>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economic and business conditions in our markets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consummate this offering and the Concurrent Note Offering and the potential effects of the Concurrent Note Offering on the trading price of our Class A ordinary shares;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anticipated use of the net proceeds from this offering and the net proceeds of the Concurrent Note Offering;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risk factors discussed in the section titled “Risk Factors” in this prospectus supplement and in the documents incorporated by reference herein.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statements that “we believe” and similar statements reflect our beliefs and opinions on the relevant subject. These statements are based upon information available to us as of the date of the document in which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the accompanying prospectus and the information incorporated by reference herein and therein with the understanding that our actual future results may be materially different from and worse than what we expect. Other sections of this prospectus supplement (including our Form 20-F and the other information incorporated herein by reference)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 These forward-looking statements are made only as of the date of this prospectus supplement and we do not undertake any obligation, other than as may be required by law, to update or revise any forward-looking statements to reflect future events or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S-v</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4" w:name="s_003"/>
      <w:bookmarkEnd w:id="4"/>
      <w:r>
        <w:rPr>
          <w:rFonts w:ascii="Times New Roman;Times;Serif" w:hAnsi="Times New Roman;Times;Serif"/>
          <w:b/>
          <w:i w:val="false"/>
          <w:caps/>
          <w:sz w:val="20"/>
          <w:bdr w:val="single" w:sz="12" w:space="5" w:color="000000"/>
        </w:rPr>
        <w:t>PROSPECTUS SUPPLEMENT SUMMARY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from this prospectus supplement or the information incorporated by reference in this prospectus supplement and does not contain all of the information that is important to you. You should carefully read this entire prospectus supplement and the accompanying prospectus and the documents incorporated by reference in this prospectus supplement carefully, including the information presented under the sections titled “Risk Factors,” “Cautionary Statement Regarding Forward Looking Statements,” and our financial statements before making an investment decision.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Our Company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world-leading technology company for Bitcoin mining and AI cloud. We are committed to providing comprehensive computing solutions for our customers. We handle complex processes involved in computing, such as equipment procurement, transport logistics, datacenter design and construction, equipment management, and daily operations. Additionally, we offer advanced cloud capabilities to support customers with high demand for artificial intelligence (AI).</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Headquartered in Singapore, we currently operate eight mining datacenters in the United States, Norway, Bhutan and Ethiopia with an aggregate electrical capacity of 1,611 MW as of October 31, 2025. From these mining datacenters, we generate hash rate under management which is categorized into proprietary and hosting hash rate. As of October 31, 2025, our proprietary hash rate was 41.3 EH/s. Together with the 14.2 EH/s hosting hash rate generated from mining rigs hosted in our mining datacenters, we possessed a total of 55.5 EH/s of hash rate under management as of October 31, 2025. We expect to continue increasing our hash rate through 2025 and beyond through conversion of our existing hosting capacity, executing on pipeline capacity, and pursuing expansion opportunities on a global scale. As of October 31, 2025, we possessed an aggregate pipeline capacity of 1,381 MW in the United States, Canada and Ethiopia.</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primarily operate three business lines – “self-mining,” “hash rate sharing” and “hosting.” Self-mining refers to cryptocurrency mining for our own account, which allows us to directly capture the high appreciation potential of cryptocurrency. We offer two types of hash rate sharing solutions – Cloud Hash Rate and Hash Rate Marketplace. Through Cloud Hash Rate, our primary hash rate sharing solution, we sell our proprietary hash rate to customers, offering hash rate subscription plans at fixed prices and sharing mining income with them under certain arrangements. Through our Hash Rate Marketplace solution, we connect reliable third-party hash rate suppliers with hash rate users to facilitate hash rate sales and generate revenue from charging service fees. Our hosting services offer customers one-stop mining rig hosting solutions encompassing deployment, maintenance and management services for efficient cryptocurrency mining. Among a wide selection of hosting services, customers can either subscribe to our Cloud Hosting service for the specified mining rigs from which they derive computing power under a “group-buying” model, or send their mining rigs to our mining datacenters for hosting under the General Hosting option or the Membership Hosting option. All of our three business lines are supported by our self-developed integrated intelligent software platform, which offers software support to significantly reduce time needed for daily maintenance and mining rig upgrade and substantially decrease operations and maintenance headcount.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we are developing two new business lines to supplement and support our existing business lines – “application-specific integrated circuit (ASIC) and mining rig business” and “HPC and AI cloud business.” In our ASIC and mining rig business, we leverage proprietary ASIC technology to develop, manufacture, and commercialize our SEALMINER mining rigs to diversify our revenue streams and accelerate the growth of our self-mining operations. We began generating sales revenue from our ASIC and mining rig business in 2025 and deployed some rigs to our mining datacenters to expand our self-mining operations. We believe our ASIC technology platform will allow vertical integration and enable us to capture the upside ASIC margins via self-mining and sales of mining rigs to third parties, such as rapid hash rate development, a lower cost structure, enhanced capital efficiency, and an improved supply chain compared to the broader industry. In our HPC and AI cloud business, we offer advanced cloud capabilities and HPC services to customers with high demand for AI and computing. We operate one of the first cloud service platforms in Asia that offers AI cloud services powered by NVIDIA DGX SuperPOD H100 system, as well as HGX H200 and B200 systems. Our AI cloud services help customers accelerate their development of generative AI, large language models (LLMs), and other AI workloads.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bdr w:val="single" w:sz="12" w:space="1" w:color="000000"/>
        </w:rPr>
      </w:pPr>
      <w:r>
        <w:rPr>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Concurrent Notes Transactions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Concurrently with this offering, we intend to offer, subject to market and other conditions, convertible senior notes due 2031 (the “New Convertible Notes” and such offering, the “Concurrent Note Offering”), in an aggregate principal amount of US$400,000,000. We also intend to grant the initial purchasers in the Concurrent Note Offering an option to purchase, for settlement during a 13-day period beginning on, and including, the first date on which the New Convertible Notes are issued, up to an additional US$60,000,000 aggregate principal amount of New Convertible Notes. The Concurrent Note Offering will be made pursuant to a confidential offering memorandum (and not pursuant to this prospectus supplement or the accompanying prospectus) only to persons reasonably believed to be qualified institutional buyers (as defined in Rule 144A under the Securities Act) in transactions that are exempt from the registration and prospectus-delivery requirements of the Securities Act. This prospectus supplement and the accompanying prospectus do not constitute an offer to sell, or the solicitation of an offer to buy, any of the New Convertible Notes, or the Class A ordinary shares, if any, issuable upon conversion of the New Convertible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we intend to use the net proceeds from this offering, plus a portion of the net proceeds from the Concurrent Note Offering, to repurchase for cash approximately US$           million in aggregate principal amount of the November 2029 notes for approximately US$           million (including accrued and unpaid interest) in privately negotiated transactions effected through Barclays Capital Inc. or one of its affiliates (each, a “Concurrent Note Repurchase”). The terms of each Concurrent Note Repurchase will depend on a variety of factors. No assurance can be given as to how much, if any, of the November 2029 notes will be repurchased or the terms on which they will be repurchased. This prospectus supplement and the accompanying prospectus do not constitute an offer to buy, or the solicitation of an offer to sell, any of the November 2029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completion of this offering is contingent on the completion of the Concurrent Note Offering and the Concurrent Note Repurchases, and the completion of the Concurrent Note Repurchases is contingent on the completion of this offering and the Concurrent Note Offering.</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See the section titled “The Concurrent Notes Transactions” for additional information.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Recent Developments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October 2025, we entered into a loan agreement with Matrixport for a financing facility of up to US$100,000,000 (the “October 2025 Matrixport Loan”). Loans drawn under the October 2025 Matrixport Loan bear a variable interest rate of 9.0% plus a market-based reference rate. Each drawdown is repayable in fixed monthly installments over a 24-month term and is secured by a security interest in: (a) mining rigs; (b) inventories; (c) data centre assets; and (d) such other collateral as may be mutually agreed between the parties thereto, maintained based on a loan-to-value ratio. As of November 10, 2025, we have fully drawn down US$100.0 million under the facility.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Foreign Private Issuer</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a “foreign private issuer,” we are subject to different U.S. securities laws than domestic U.S. issuers. The rules governing the information that we must disclose differ from those governing U.S. companies pursuant to the Exchange Act. We are exempt from the rules under the Exchange Act prescribing the furnishing and content of proxy statements to shareholders. Those proxy statements are not expected to conform to Schedule 14A of the proxy rules promulgated under the Exchange Act.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as a “foreign private issuer,” our officers and directors and holders of more than 10% of the issued and outstanding Class A ordinary shares, are exempt from the rules under the Exchange Act requiring insiders to report purchases and sales of ordinary shares as well as from Section 16 short swing profit reporting and liability. See the section titled “Item 3.D. Key Information—Risk Factors—Risks Related to Our Securities—We are a foreign private issuer within the meaning of the rules under the Exchange Act, and as such we are exempt from certain provisions applicable to domestic public companies in the United States” in our Form 20-F incorporated herein by reference.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bdr w:val="single" w:sz="12" w:space="1" w:color="000000"/>
        </w:rPr>
      </w:pPr>
      <w:r>
        <w:rPr>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Controlled Company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Mr. Jihan Wu currently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we conduct an annual performance evaluation of the nominating and corporate governance and compensation committees;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we have a nominating and corporate governance committee that is composed entirely of independent directors with a written charter addressing the committee’s purpose and responsibilities;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we have a compensation committee that is composed entirely of independent directors with a written charter addressing the committee’s purpose and responsibility; and</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director nomination be selected, or recommended for selection by our board of directors, by (i) a majority of our independent directors in a vote in which only our independent directors participate or (ii) a nominations committee composed solely of independent directors.</w:t>
            </w:r>
          </w:p>
        </w:tc>
      </w:tr>
    </w:tbl>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the date of this prospectus supplement, we have elected not to comply with any of the requirements listed above, except that our nominating and corporate governance committee and compensation committee have written charters addressing their respective purposes and responsibilities. We may continue to use all or some of these exemptions in the future. As a result, you may not have the same protections afforded to shareholders of companies that are subject to all of the Nasdaq corporate governance requirements.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offices are located at 08 Kallang Avenue, Aperia tower 1, #09-03/04, Singapore 339509. Our telephone number at this address is +65 6282-8220. Our registered office in the Cayman Islands is Ogier Global (Cayman) Limited, 89 Nexus Way, Camana Bay, Grand Cayman, KY1-9009, Cayman Islands. Our agent for service of process in the United States is Cogency Global Inc. located at 122 East 42nd Street, 18th Floor, New York, New York 10168. Our corporate website is www.bitdeer.com. The information contained in, or accessible through, our website is not incorporated by reference in or part of this prospectus supplement or the accompanying prospectus.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bdr w:val="single" w:sz="12" w:space="1" w:color="000000"/>
        </w:rPr>
      </w:pPr>
      <w:r>
        <w:rPr>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bdr w:val="single" w:sz="12" w:space="5" w:color="000000"/>
        </w:rPr>
      </w:pPr>
      <w:r>
        <w:rPr>
          <w:caps/>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739"/>
        <w:gridCol w:w="60"/>
        <w:gridCol w:w="8406"/>
      </w:tblGrid>
      <w:tr>
        <w:trPr/>
        <w:tc>
          <w:tcPr>
            <w:tcW w:w="1739"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Offered by Us</w:t>
            </w:r>
          </w:p>
        </w:tc>
        <w:tc>
          <w:tcPr>
            <w:tcW w:w="60" w:type="dxa"/>
            <w:tcBorders/>
            <w:vAlign w:val="center"/>
          </w:tcPr>
          <w:p>
            <w:pPr>
              <w:pStyle w:val="TableContents"/>
              <w:bidi w:val="0"/>
              <w:spacing w:before="0" w:after="283"/>
              <w:ind w:left="0" w:right="0" w:hanging="0"/>
              <w:jc w:val="left"/>
              <w:rPr/>
            </w:pPr>
            <w:r>
              <w:rPr/>
              <w:t> </w:t>
            </w:r>
          </w:p>
        </w:tc>
        <w:tc>
          <w:tcPr>
            <w:tcW w:w="8406" w:type="dxa"/>
            <w:tcBorders/>
            <w:vAlign w:val="center"/>
          </w:tcPr>
          <w:p>
            <w:pPr>
              <w:pStyle w:val="TableContents"/>
              <w:bidi w:val="0"/>
              <w:spacing w:before="0" w:after="283"/>
              <w:ind w:left="0" w:right="0" w:hanging="0"/>
              <w:jc w:val="both"/>
              <w:rPr/>
            </w:pPr>
            <w:r>
              <w:rPr/>
              <w:t>                  </w:t>
            </w:r>
            <w:r>
              <w:rPr>
                <w:sz w:val="20"/>
              </w:rPr>
              <w:t>Class A ordinary shares.</w:t>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06" w:type="dxa"/>
            <w:tcBorders/>
            <w:vAlign w:val="center"/>
          </w:tcPr>
          <w:p>
            <w:pPr>
              <w:pStyle w:val="TableContents"/>
              <w:bidi w:val="0"/>
              <w:spacing w:before="0" w:after="283"/>
              <w:ind w:left="0" w:right="0" w:hanging="0"/>
              <w:jc w:val="both"/>
              <w:rPr/>
            </w:pPr>
            <w:r>
              <w:rPr/>
              <w:t> </w:t>
            </w:r>
          </w:p>
        </w:tc>
      </w:tr>
      <w:tr>
        <w:trPr/>
        <w:tc>
          <w:tcPr>
            <w:tcW w:w="1739" w:type="dxa"/>
            <w:tcBorders/>
            <w:vAlign w:val="center"/>
          </w:tcPr>
          <w:p>
            <w:pPr>
              <w:pStyle w:val="TableContents"/>
              <w:bidi w:val="0"/>
              <w:spacing w:before="0" w:after="283"/>
              <w:jc w:val="left"/>
              <w:rPr>
                <w:b/>
                <w:sz w:val="20"/>
              </w:rPr>
            </w:pPr>
            <w:r>
              <w:rPr>
                <w:b/>
                <w:sz w:val="20"/>
              </w:rPr>
              <w:t>Class A Ordinary Shares Outstanding After This Offering</w:t>
            </w:r>
          </w:p>
        </w:tc>
        <w:tc>
          <w:tcPr>
            <w:tcW w:w="60" w:type="dxa"/>
            <w:tcBorders/>
            <w:vAlign w:val="center"/>
          </w:tcPr>
          <w:p>
            <w:pPr>
              <w:pStyle w:val="TableContents"/>
              <w:bidi w:val="0"/>
              <w:spacing w:before="0" w:after="283"/>
              <w:ind w:left="0" w:right="0" w:hanging="0"/>
              <w:jc w:val="left"/>
              <w:rPr/>
            </w:pPr>
            <w:r>
              <w:rPr/>
              <w:t> </w:t>
            </w:r>
          </w:p>
        </w:tc>
        <w:tc>
          <w:tcPr>
            <w:tcW w:w="8406" w:type="dxa"/>
            <w:tcBorders/>
            <w:vAlign w:val="center"/>
          </w:tcPr>
          <w:p>
            <w:pPr>
              <w:pStyle w:val="TableContents"/>
              <w:bidi w:val="0"/>
              <w:spacing w:before="0" w:after="283"/>
              <w:ind w:left="0" w:right="0" w:hanging="0"/>
              <w:jc w:val="both"/>
              <w:rPr/>
            </w:pPr>
            <w:r>
              <w:rPr/>
              <w:t>                  </w:t>
            </w:r>
            <w:r>
              <w:rPr>
                <w:sz w:val="20"/>
              </w:rPr>
              <w:t>Class A ordinary shares.</w:t>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06" w:type="dxa"/>
            <w:tcBorders/>
            <w:vAlign w:val="center"/>
          </w:tcPr>
          <w:p>
            <w:pPr>
              <w:pStyle w:val="TableContents"/>
              <w:bidi w:val="0"/>
              <w:spacing w:before="0" w:after="283"/>
              <w:ind w:left="0" w:right="0" w:hanging="0"/>
              <w:jc w:val="both"/>
              <w:rPr/>
            </w:pPr>
            <w:r>
              <w:rPr/>
              <w:t> </w:t>
            </w:r>
          </w:p>
        </w:tc>
      </w:tr>
      <w:tr>
        <w:trPr/>
        <w:tc>
          <w:tcPr>
            <w:tcW w:w="1739" w:type="dxa"/>
            <w:tcBorders/>
            <w:vAlign w:val="center"/>
          </w:tcPr>
          <w:p>
            <w:pPr>
              <w:pStyle w:val="TableContents"/>
              <w:bidi w:val="0"/>
              <w:spacing w:before="0" w:after="283"/>
              <w:jc w:val="left"/>
              <w:rPr>
                <w:b/>
                <w:sz w:val="20"/>
              </w:rPr>
            </w:pPr>
            <w:r>
              <w:rPr>
                <w:b/>
                <w:sz w:val="20"/>
              </w:rPr>
              <w:t>Use of Proceeds</w:t>
            </w:r>
          </w:p>
        </w:tc>
        <w:tc>
          <w:tcPr>
            <w:tcW w:w="60" w:type="dxa"/>
            <w:tcBorders/>
            <w:vAlign w:val="center"/>
          </w:tcPr>
          <w:p>
            <w:pPr>
              <w:pStyle w:val="TableContents"/>
              <w:bidi w:val="0"/>
              <w:spacing w:before="0" w:after="283"/>
              <w:ind w:left="0" w:right="0" w:hanging="0"/>
              <w:jc w:val="left"/>
              <w:rPr/>
            </w:pPr>
            <w:r>
              <w:rPr/>
              <w:t> </w:t>
            </w:r>
          </w:p>
        </w:tc>
        <w:tc>
          <w:tcPr>
            <w:tcW w:w="8406" w:type="dxa"/>
            <w:tcBorders/>
            <w:vAlign w:val="center"/>
          </w:tcPr>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this offering of our Class A ordinary shares will be approximately US$         million, after deducting the estimated offering expenses payable by us. We estimate that the net proceeds from the Concurrent Note Offering will be approximately US$            million (or approximately US$            million if the initial purchasers in the Concurrent Note Offering fully exercise their option to purchase additional New Convertible Notes), after deducting the initial purchasers’ discounts and estimated offering expenses payable by us.</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and the Concurrent Note Offering: (i) to pay the approximately US$          million cost of the capped call transactions that we will enter into with one or more option counterparties (as defined in this prospectus supplement); and (ii) to pay the approximately US$      million cost of repurchasing for cash approximately US$      million aggregate principal amount of the November 2029 notes in the Concurrent Note Repurchases. We intend to use the remaining net proceeds from this offering and the Concurrent Note Offering for datacenter expansion, ASIC-based mining rig development and manufacture, expansion of our HPC and AI cloud business, as well as working capital and other general corporate purposes.</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initial purchasers in the Concurrent Note Offering exercise their option to purchase additional New Convertible Notes (as defined below), we intend to use net proceeds from the sale of the additional New Convertible Notes to enter into additional capped call transactions with the option counterparties and the remaining net proceeds for datacenter expansion, ASIC-based mining rig development and manufacture, expansion of our HPC and AI cloud business, as well as working capital and other general corporate purposes as described above.</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“Use of Proceeds” for additional information.</w:t>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06" w:type="dxa"/>
            <w:tcBorders/>
            <w:vAlign w:val="center"/>
          </w:tcPr>
          <w:p>
            <w:pPr>
              <w:pStyle w:val="TableContents"/>
              <w:bidi w:val="0"/>
              <w:spacing w:before="0" w:after="283"/>
              <w:ind w:left="0" w:right="0" w:hanging="0"/>
              <w:jc w:val="left"/>
              <w:rPr/>
            </w:pPr>
            <w:r>
              <w:rPr/>
              <w:t> </w:t>
            </w:r>
          </w:p>
        </w:tc>
      </w:tr>
      <w:tr>
        <w:trPr/>
        <w:tc>
          <w:tcPr>
            <w:tcW w:w="1739" w:type="dxa"/>
            <w:tcBorders/>
            <w:vAlign w:val="center"/>
          </w:tcPr>
          <w:p>
            <w:pPr>
              <w:pStyle w:val="TableContents"/>
              <w:bidi w:val="0"/>
              <w:spacing w:before="0" w:after="283"/>
              <w:jc w:val="left"/>
              <w:rPr>
                <w:b/>
                <w:sz w:val="20"/>
              </w:rPr>
            </w:pPr>
            <w:r>
              <w:rPr>
                <w:b/>
                <w:sz w:val="20"/>
              </w:rPr>
              <w:t>Capped Call Transactions in Connection with the Concurrent Note Offering</w:t>
            </w:r>
          </w:p>
        </w:tc>
        <w:tc>
          <w:tcPr>
            <w:tcW w:w="60" w:type="dxa"/>
            <w:tcBorders/>
            <w:vAlign w:val="center"/>
          </w:tcPr>
          <w:p>
            <w:pPr>
              <w:pStyle w:val="TableContents"/>
              <w:bidi w:val="0"/>
              <w:spacing w:before="0" w:after="283"/>
              <w:ind w:left="0" w:right="0" w:hanging="0"/>
              <w:jc w:val="left"/>
              <w:rPr/>
            </w:pPr>
            <w:r>
              <w:rPr/>
              <w:t> </w:t>
            </w:r>
          </w:p>
        </w:tc>
        <w:tc>
          <w:tcPr>
            <w:tcW w:w="8406" w:type="dxa"/>
            <w:tcBorders/>
            <w:vAlign w:val="center"/>
          </w:tcPr>
          <w:p>
            <w:pPr>
              <w:pStyle w:val="TableContents"/>
              <w:bidi w:val="0"/>
              <w:spacing w:before="0" w:after="283"/>
              <w:ind w:left="0" w:right="0" w:hanging="0"/>
              <w:jc w:val="both"/>
              <w:rPr/>
            </w:pPr>
            <w:r>
              <w:rPr/>
              <w:t>In connection with the pricing of the Concurrent Note Offering, we intend to enter into privately negotiated capped call transactions with the option counterparties. The capped call transactions will cover, subject to customary adjustments, the number of Class A ordinary shares that initially underlie the New Convertible Notes.</w:t>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06" w:type="dxa"/>
            <w:tcBorders/>
            <w:vAlign w:val="center"/>
          </w:tcPr>
          <w:p>
            <w:pPr>
              <w:pStyle w:val="TableContents"/>
              <w:bidi w:val="0"/>
              <w:spacing w:before="0" w:after="283"/>
              <w:ind w:left="0" w:right="0" w:hanging="0"/>
              <w:jc w:val="left"/>
              <w:rPr/>
            </w:pPr>
            <w:r>
              <w:rPr/>
              <w:t> </w:t>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06" w:type="dxa"/>
            <w:tcBorders/>
            <w:vAlign w:val="center"/>
          </w:tcPr>
          <w:p>
            <w:pPr>
              <w:pStyle w:val="TableContents"/>
              <w:bidi w:val="0"/>
              <w:spacing w:before="0" w:after="283"/>
              <w:jc w:val="both"/>
              <w:rPr/>
            </w:pPr>
            <w:r>
              <w:rPr/>
              <w:t>The capped call transactions are expected to offset the potential dilution to our Class A ordinary shares as a result of any conversion of the New Convertible Notes in the manner described in “Description of Capped Call Transactions.”</w:t>
            </w:r>
          </w:p>
        </w:tc>
      </w:tr>
    </w:tbl>
    <w:p>
      <w:pPr>
        <w:pStyle w:val="TextBody"/>
        <w:bidi w:val="0"/>
        <w:jc w:val="left"/>
        <w:rPr>
          <w:bdr w:val="single" w:sz="12" w:space="5" w:color="000000"/>
        </w:rPr>
      </w:pPr>
      <w:r>
        <w:rPr>
          <w:bdr w:val="single" w:sz="12" w:space="5" w:color="000000"/>
        </w:rPr>
        <w:t> </w:t>
      </w:r>
    </w:p>
    <w:p>
      <w:pPr>
        <w:pStyle w:val="TextBody"/>
        <w:bidi w:val="0"/>
        <w:spacing w:before="0" w:after="0"/>
        <w:jc w:val="center"/>
        <w:rPr>
          <w:bdr w:val="single" w:sz="12" w:space="1" w:color="000000"/>
        </w:rPr>
      </w:pPr>
      <w:r>
        <w:rPr>
          <w:bdr w:val="single" w:sz="12" w:space="1" w:color="000000"/>
        </w:rPr>
        <w:t>S-4</w:t>
      </w:r>
    </w:p>
    <w:p>
      <w:pPr>
        <w:pStyle w:val="TextBody"/>
        <w:bidi w:val="0"/>
        <w:spacing w:before="0" w:after="0"/>
        <w:ind w:left="0" w:right="0" w:hanging="0"/>
        <w:jc w:val="left"/>
        <w:rPr/>
      </w:pPr>
      <w:r>
        <w:rPr/>
        <w:t> </w:t>
      </w:r>
    </w:p>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895"/>
        <w:gridCol w:w="60"/>
        <w:gridCol w:w="9250"/>
      </w:tblGrid>
      <w:tr>
        <w:trPr/>
        <w:tc>
          <w:tcPr>
            <w:tcW w:w="8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283"/>
              <w:ind w:left="0" w:right="0" w:hanging="0"/>
              <w:jc w:val="left"/>
              <w:rPr/>
            </w:pPr>
            <w:r>
              <w:rPr/>
              <w:t> </w:t>
            </w:r>
          </w:p>
        </w:tc>
        <w:tc>
          <w:tcPr>
            <w:tcW w:w="9250" w:type="dxa"/>
            <w:tcBorders/>
            <w:vAlign w:val="center"/>
          </w:tcPr>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initial purchasers in the Concurrent Note Offering exercise their option to purchase additional New Convertible Notes, we expect to use a portion of the net proceeds from the sale of the additional New Convertible Notes to enter into additional capped call transactions with the option counterparties.</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establishing their initial hedges of the capped call transactions, we expect that the option counterparties and/or their respective affiliates may enter into various derivative transactions with respect to our Class A ordinary shares concurrently with or shortly after the pricing of the New Convertible Notes, including with certain investors in the New Convertible Notes. This activity could increase (or reduce the size of any decrease in) the market price of our Class A ordinary shares at that time.</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that the option counterparties and/or their respective affiliates may modify or unwind their hedge positions by entering into or unwinding various derivative transactions and/or purchasing or selling our Class A ordinary shares or other securities of ours in secondary market transactions following the pricing of the New Convertible Notes and prior to the maturity of the New Convertible Notes (and are likely to do so during the 40 trading day period beginning on the 41st scheduled trading day prior to the maturity date of the New Convertible Notes, or, to the extent we exercise the relevant election under the capped call transactions, following any repurchase, redemption or conversion of the New Convertible Notes). This activity could also cause or avoid an increase or a decrease in the market price of our Class A ordinary shares.</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potential impact of any market making or other activity by the option counterparties or their respective affiliates in connection with these capped call transactions, see “Risk Factors—Risks Related to the Concurrent Note Offering and the Existing Notes—The capped call transactions may affect the value of our Class A ordinary shares and may result in market activity in our Class A ordinary shares” and “Plan of Distribution—Capped Call Transactions.”</w:t>
            </w:r>
          </w:p>
        </w:tc>
      </w:tr>
      <w:tr>
        <w:trPr/>
        <w:tc>
          <w:tcPr>
            <w:tcW w:w="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50" w:type="dxa"/>
            <w:tcBorders/>
            <w:vAlign w:val="center"/>
          </w:tcPr>
          <w:p>
            <w:pPr>
              <w:pStyle w:val="TableContents"/>
              <w:bidi w:val="0"/>
              <w:spacing w:before="0" w:after="283"/>
              <w:ind w:left="0" w:right="0" w:hanging="0"/>
              <w:jc w:val="left"/>
              <w:rPr/>
            </w:pPr>
            <w:r>
              <w:rPr/>
              <w:t> </w:t>
            </w:r>
          </w:p>
        </w:tc>
      </w:tr>
      <w:tr>
        <w:trPr/>
        <w:tc>
          <w:tcPr>
            <w:tcW w:w="895" w:type="dxa"/>
            <w:tcBorders/>
            <w:vAlign w:val="center"/>
          </w:tcPr>
          <w:p>
            <w:pPr>
              <w:pStyle w:val="TableContents"/>
              <w:bidi w:val="0"/>
              <w:spacing w:before="0" w:after="283"/>
              <w:jc w:val="left"/>
              <w:rPr>
                <w:b/>
                <w:sz w:val="20"/>
              </w:rPr>
            </w:pPr>
            <w:r>
              <w:rPr>
                <w:b/>
                <w:sz w:val="20"/>
              </w:rPr>
              <w:t>Risk Factors</w:t>
            </w:r>
          </w:p>
        </w:tc>
        <w:tc>
          <w:tcPr>
            <w:tcW w:w="60" w:type="dxa"/>
            <w:tcBorders/>
            <w:vAlign w:val="center"/>
          </w:tcPr>
          <w:p>
            <w:pPr>
              <w:pStyle w:val="TableContents"/>
              <w:bidi w:val="0"/>
              <w:spacing w:before="0" w:after="283"/>
              <w:ind w:left="0" w:right="0" w:hanging="0"/>
              <w:jc w:val="left"/>
              <w:rPr/>
            </w:pPr>
            <w:r>
              <w:rPr/>
              <w:t> </w:t>
            </w:r>
          </w:p>
        </w:tc>
        <w:tc>
          <w:tcPr>
            <w:tcW w:w="9250" w:type="dxa"/>
            <w:tcBorders/>
            <w:vAlign w:val="center"/>
          </w:tcPr>
          <w:p>
            <w:pPr>
              <w:pStyle w:val="TableContents"/>
              <w:bidi w:val="0"/>
              <w:spacing w:before="0" w:after="283"/>
              <w:ind w:left="0" w:right="0" w:hanging="0"/>
              <w:jc w:val="both"/>
              <w:rPr>
                <w:sz w:val="20"/>
              </w:rPr>
            </w:pPr>
            <w:r>
              <w:rPr>
                <w:sz w:val="20"/>
              </w:rPr>
              <w:t>See “Risk Factors” and the other information included in this prospectus supplement and in the documents incorporated by reference in this prospectus supplement and the accompanying prospectus for a discussion of factors you should consider carefully before deciding to invest in our Class A ordinary shares.</w:t>
            </w:r>
          </w:p>
        </w:tc>
      </w:tr>
      <w:tr>
        <w:trPr/>
        <w:tc>
          <w:tcPr>
            <w:tcW w:w="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50" w:type="dxa"/>
            <w:tcBorders/>
            <w:vAlign w:val="center"/>
          </w:tcPr>
          <w:p>
            <w:pPr>
              <w:pStyle w:val="TableContents"/>
              <w:bidi w:val="0"/>
              <w:spacing w:before="0" w:after="283"/>
              <w:ind w:left="0" w:right="0" w:hanging="0"/>
              <w:jc w:val="both"/>
              <w:rPr/>
            </w:pPr>
            <w:r>
              <w:rPr/>
              <w:t> </w:t>
            </w:r>
          </w:p>
        </w:tc>
      </w:tr>
      <w:tr>
        <w:trPr/>
        <w:tc>
          <w:tcPr>
            <w:tcW w:w="895" w:type="dxa"/>
            <w:tcBorders/>
            <w:vAlign w:val="center"/>
          </w:tcPr>
          <w:p>
            <w:pPr>
              <w:pStyle w:val="TableContents"/>
              <w:bidi w:val="0"/>
              <w:spacing w:before="0" w:after="283"/>
              <w:jc w:val="left"/>
              <w:rPr>
                <w:b/>
                <w:sz w:val="20"/>
              </w:rPr>
            </w:pPr>
            <w:r>
              <w:rPr>
                <w:b/>
                <w:sz w:val="20"/>
              </w:rPr>
              <w:t>Nasdaq Stock Market symbol</w:t>
            </w:r>
          </w:p>
        </w:tc>
        <w:tc>
          <w:tcPr>
            <w:tcW w:w="60" w:type="dxa"/>
            <w:tcBorders/>
            <w:vAlign w:val="center"/>
          </w:tcPr>
          <w:p>
            <w:pPr>
              <w:pStyle w:val="TableContents"/>
              <w:bidi w:val="0"/>
              <w:spacing w:before="0" w:after="283"/>
              <w:ind w:left="0" w:right="0" w:hanging="0"/>
              <w:jc w:val="left"/>
              <w:rPr/>
            </w:pPr>
            <w:r>
              <w:rPr/>
              <w:t> </w:t>
            </w:r>
          </w:p>
        </w:tc>
        <w:tc>
          <w:tcPr>
            <w:tcW w:w="9250" w:type="dxa"/>
            <w:tcBorders/>
            <w:vAlign w:val="center"/>
          </w:tcPr>
          <w:p>
            <w:pPr>
              <w:pStyle w:val="TableContents"/>
              <w:bidi w:val="0"/>
              <w:spacing w:before="0" w:after="283"/>
              <w:jc w:val="both"/>
              <w:rPr>
                <w:sz w:val="20"/>
              </w:rPr>
            </w:pPr>
            <w:r>
              <w:rPr>
                <w:sz w:val="20"/>
              </w:rPr>
              <w:t>Class A ordinary shares: “BTDR”</w:t>
            </w:r>
          </w:p>
        </w:tc>
      </w:tr>
    </w:tbl>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The number of Class A ordinary shares to be outstanding after this offering is based on 177,344,567 </w:t>
      </w:r>
      <w:r>
        <w:rPr>
          <w:rFonts w:ascii="Times New Roman;Times;Serif" w:hAnsi="Times New Roman;Times;Serif"/>
          <w:b w:val="false"/>
          <w:i w:val="false"/>
          <w:caps w:val="false"/>
          <w:smallCaps w:val="false"/>
          <w:sz w:val="20"/>
          <w:bdr w:val="single" w:sz="12" w:space="5" w:color="000000"/>
          <w:shd w:fill="FFFFFF" w:val="clear"/>
        </w:rPr>
        <w:t xml:space="preserve">Class A ordinary shares outstanding as of September 30, 2025, </w:t>
      </w:r>
      <w:r>
        <w:rPr>
          <w:rFonts w:ascii="Times New Roman;Times;Serif" w:hAnsi="Times New Roman;Times;Serif"/>
          <w:b w:val="false"/>
          <w:i w:val="false"/>
          <w:caps w:val="false"/>
          <w:smallCaps w:val="false"/>
          <w:sz w:val="20"/>
          <w:bdr w:val="single" w:sz="12" w:space="5" w:color="000000"/>
        </w:rPr>
        <w:t>and excludes:</w:t>
      </w:r>
    </w:p>
    <w:p>
      <w:pPr>
        <w:pStyle w:val="TextBody"/>
        <w:shd w:fill="FFFFFF" w:val="clear"/>
        <w:bidi w:val="0"/>
        <w:spacing w:before="0" w:after="0"/>
        <w:ind w:left="850" w:right="0" w:hanging="360"/>
        <w:jc w:val="both"/>
        <w:rPr>
          <w:caps w:val="false"/>
          <w:smallCaps w:val="false"/>
          <w:bdr w:val="single" w:sz="12" w:space="5" w:color="000000"/>
        </w:rPr>
      </w:pPr>
      <w:r>
        <w:rPr>
          <w:caps w:val="false"/>
          <w:smallCaps w:val="false"/>
          <w:bdr w:val="single" w:sz="12" w:space="5" w:color="000000"/>
        </w:rPr>
        <w:t> </w:t>
      </w:r>
    </w:p>
    <w:tbl>
      <w:tblPr>
        <w:tblW w:w="7563" w:type="dxa"/>
        <w:jc w:val="left"/>
        <w:tblInd w:w="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pPr>
            <w:r>
              <w:rPr/>
              <w:t>72,200 Class A ordinary shares that have been repurchased but not cancelled;</w:t>
            </w:r>
          </w:p>
        </w:tc>
      </w:tr>
    </w:tbl>
    <w:p>
      <w:pPr>
        <w:pStyle w:val="TextBody"/>
        <w:shd w:fill="FFFFFF" w:val="clear"/>
        <w:bidi w:val="0"/>
        <w:spacing w:before="0" w:after="0"/>
        <w:ind w:left="85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6,884,232 Class A ordinary shares reserved for future issuance upon the exercise of awards granted under our 2023 Share Incentive Plan outstanding as of September 30, 2025;</w:t>
            </w:r>
          </w:p>
        </w:tc>
      </w:tr>
    </w:tbl>
    <w:p>
      <w:pPr>
        <w:pStyle w:val="TextBody"/>
        <w:shd w:fill="FFFFFF" w:val="clear"/>
        <w:bidi w:val="0"/>
        <w:spacing w:before="0" w:after="0"/>
        <w:ind w:left="85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3,695,313 Class A ordinary shares reserved for future issuance under our 2023 Share Incentive Plan as of September 30, 2025;</w:t>
            </w:r>
          </w:p>
        </w:tc>
      </w:tr>
    </w:tbl>
    <w:p>
      <w:pPr>
        <w:pStyle w:val="TextBody"/>
        <w:shd w:fill="FFFFFF" w:val="clear"/>
        <w:bidi w:val="0"/>
        <w:spacing w:before="0" w:after="0"/>
        <w:ind w:left="85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4,415,116 Class A ordinary shares that we sold after September 30, 2025 and prior to the date of this prospectus supplement, pursuant to that certain At Market Issuance Sales Agreement, dated as January 3, 2025 (the “Sales Agreement”), by and among us, </w:t>
            </w:r>
            <w:r>
              <w:rPr>
                <w:shd w:fill="FFFFFF" w:val="clear"/>
              </w:rPr>
              <w:t xml:space="preserve">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w:t>
            </w:r>
            <w:r>
              <w:rPr/>
              <w:t>for gross proceeds of US$102.2 million; and</w:t>
            </w:r>
          </w:p>
        </w:tc>
      </w:tr>
    </w:tbl>
    <w:p>
      <w:pPr>
        <w:pStyle w:val="TextBody"/>
        <w:shd w:fill="FFFFFF" w:val="clear"/>
        <w:bidi w:val="0"/>
        <w:spacing w:before="0" w:after="0"/>
        <w:ind w:left="85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any </w:t>
            </w:r>
            <w:r>
              <w:rPr>
                <w:shd w:fill="FFFFFF" w:val="clear"/>
              </w:rPr>
              <w:t>Class</w:t>
            </w:r>
            <w:r>
              <w:rPr/>
              <w:t xml:space="preserve"> A ordinary shares that become available subsequent to this offering under our 2023 Share Incentive Plan and 2023 Performance Share Plan pursuant to provisions thereof that automatically increase the share reserves under such plans each year.</w:t>
            </w:r>
          </w:p>
        </w:tc>
      </w:tr>
    </w:tbl>
    <w:p>
      <w:pPr>
        <w:pStyle w:val="TextBody"/>
        <w:bidi w:val="0"/>
        <w:jc w:val="left"/>
        <w:rPr>
          <w:bdr w:val="single" w:sz="12" w:space="5" w:color="000000"/>
        </w:rPr>
      </w:pPr>
      <w:r>
        <w:rPr>
          <w:bdr w:val="single" w:sz="12" w:space="5" w:color="000000"/>
        </w:rPr>
        <w:t> </w:t>
      </w:r>
    </w:p>
    <w:p>
      <w:pPr>
        <w:pStyle w:val="TextBody"/>
        <w:bidi w:val="0"/>
        <w:spacing w:before="0" w:after="0"/>
        <w:jc w:val="center"/>
        <w:rPr>
          <w:bdr w:val="single" w:sz="12" w:space="1" w:color="000000"/>
        </w:rPr>
      </w:pPr>
      <w:r>
        <w:rPr>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jc w:val="center"/>
        <w:rPr>
          <w:rFonts w:ascii="Times New Roman;Times;Serif" w:hAnsi="Times New Roman;Times;Serif"/>
          <w:b/>
          <w:i w:val="false"/>
          <w:caps/>
          <w:sz w:val="20"/>
          <w:bdr w:val="single" w:sz="12" w:space="5" w:color="000000"/>
        </w:rPr>
      </w:pPr>
      <w:bookmarkStart w:id="5" w:name="s_004"/>
      <w:bookmarkEnd w:id="5"/>
      <w:r>
        <w:rPr>
          <w:rFonts w:ascii="Times New Roman;Times;Serif" w:hAnsi="Times New Roman;Times;Serif"/>
          <w:b/>
          <w:i w:val="false"/>
          <w:caps/>
          <w:sz w:val="20"/>
          <w:bdr w:val="single" w:sz="12" w:space="5" w:color="000000"/>
        </w:rPr>
        <w:t>CONCURRENT NOTES TRANSACTIONS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Convertible Note Offering</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Concurrently with this offering, we intend to offer, subject to market and other conditions, convertible senior notes due 2031 in an aggregate principal amount of US$400,000,000. We also intend to grant the initial purchasers in the Concurrent Note Offering an option to purchase, for settlement during a 13-day period beginning on, and including, the first date on which the New Convertible Notes are issued, up to an additional US$60,000,000 aggregate principal amount of New Convertible Notes. The Concurrent Note Offering will be made pursuant to a confidential offering memorandum (and not pursuant to this prospectus supplement or the accompanying prospectus) only to persons reasonably believed to be qualified institutional buyers (as defined in Rule 144A under the Securities Act) in transactions that are exempt from the registration and prospectus-delivery requirements of the Securities Act. This prospectus supplement and the accompanying prospectus do not constitute an offer to sell, or the solicitation of an offer to buy, any of the New Convertible Notes, or the Class A ordinary shares, if any, issuable upon conversion of the New Convertible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New Convertible Notes will be our general senior unsecured obligations and will rank senior in right of payment to all of our indebtedness that is expressly subordinated in right of payment to the New Convertible Notes, will rank equal in right of payment with all of our liabilities that are not so subordinated, including our 4.875% Convertible Senior Notes due 2031 (the “July 2031 notes”) and 5.25% Convertible Senior Notes due 2029 (the “November 2029 notes” and, together with the July 2031 notes, the “existing notes”) and the Financing Facility (as defined in this prospectus supplement), will rank effectively junior in right of payment to any of our secured indebtedness to the extent of the value of the assets securing such indebtedness, including the Matrixport Loans, and will rank structurally junior to all indebtedness and other liabilities (including trade payables) of our subsidiaries. The New Convertible Notes will bear interest at a rate of                % per year. Interest on the New Convertible Notes will accrue from November          , 2025 and will be payable semiannually in arrears on May 15 and November 15 of each year, beginning on May 15, 2026. The New Convertible Notes will mature on November 15, 2031, unless earlier converted, redeemed or repurchased.</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Prior to the close of business on the business day immediately preceding August 15, 2031, noteholders will have the right to convert their New Convertible Notes only upon the satisfaction of specified conditions and during certain periods. On or after August 15, 2031 and until the close of business on the second scheduled trading day immediately preceding November 15, 2031, noteholders may convert their New Convertible Notes, in integral multiples of US$1,000 principal amount, at any time regardless of these conditions. The initial conversion rate will be            Class A ordinary shares per US$1,000 principal amount of New Convertible Notes (equivalent to an initial conversion price of approximately US$           per Class A ordinary share, which represents a premium of approximately      % over the last reported sales price of US$                per Class A ordinary share on Nasdaq on November         , 2025, subject to adjustment in certain circumstances). In addition, following certain corporate events that occur prior November 15, 2031 or if we deliver a notice of redemption, we will, in certain circumstances, increase the conversion rate for a noteholder who elects to convert its New Convertible Notes in connection with such corporate events or convert its New Convertible Notes in connection with such notice of redemption, as the case may be. We will settle conversions of any New Convertible Notes by paying or delivering, as the case may be, cash, Class A ordinary shares or a combination of cash and Class A ordinary shares, at our election.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redeem for cash all or any portion of the New Convertible Notes (subject to certain limitations), at its option, on or after November 20, 2028 and prior to the 41st scheduled trading day immediately preceding the maturity date, if (i) the last reported sale price of our Class A ordinary shares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optional redemption, and (ii) certain liquidity conditions are satisfied, at a redemption price equal to 100% of the principal amount of the New Convertible Notes to be redeemed, plus accrued and unpaid interest to, but excluding, the redemption date. In addition, we may redeem for cash all but not part of the New Convertible Notes at any time prior to the 41st scheduled trading day immediately preceding the maturity date if less than US$50 million aggregate principal amount of New Convertible Notes remains outstanding at such time, at a redemption price equal to 100% of the principal amount of the New Convertible Notes to be redeemed, plus accrued and unpaid interest to, but excluding, the redemption date. We may also redeem for cash all but not part of the New Convertible Notes in the event of certain tax law changes.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bdr w:val="single" w:sz="12" w:space="1" w:color="000000"/>
        </w:rPr>
      </w:pPr>
      <w:r>
        <w:rPr>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20, 2029 and if we undergo a fundamental change (as defined in the indenture governing the New Convertible Notes), subject to certain conditions and a limited exception set forth in the indenture governing the New Convertible Notes, noteholders may require us to repurchase for cash all or any portion of their New Convertible Notes at a specified repurchase date repurchase price or fundamental change repurchase price, as applicable, equal to 100% of the principal amount of the New Convertible Notes to be repurchased, plus accrued and unpaid interest to, but excluding, the relevant repurchase date.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Concurrent Note Repurchases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Concurrently with the pricing of this offering, we expect to repurchase for cash approximately US$         million in aggregate principal amount of the November 2029 notes for approximately US$         million (including accrued and unpaid interest) in the Concurrent Note Repurchases. The terms of each Concurrent Note Repurchase will depend on a variety of factors. No assurance can be given as to how much, if any, of the November 2029 notes will be repurchased or the terms on which they will be repurchased. This prospectus supplement and the accompanying prospectus do not constitute an offer to buy, or the solicitation of an offer to sell, any of the November 2029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connection with the Concurrent Note Repurchases, we expect that holders of the November 2029 notes who agree to have their November 2029 notes repurchased and who have hedged their equity price risk with respect to such notes (the “hedged holders”) will unwind all or part of their hedge positions by buying our Class A ordinary shares and/or entering into or unwinding various derivative transactions with respect to our Class A ordinary shares. The amount of our Class A ordinary shares to be purchased by the hedged holders or in connection with such derivative transactions may be substantial in relation to the historic average daily trading volume of our Class A ordinary shares. This activity by the hedged holders could increase (or reduce the size of any decrease in) the market price of our Class A ordinary shares, including concurrently with the pricing of this offering. We cannot predict the magnitude of such market activity or the overall effect it will have on the price of the shares offered hereby or our Class A ordinary shares. See the section titled “Risk Factors—Risks Related to the Concurrent Note Offering and the Existing Notes— Any repurchases of the November 2029 notes may affect the value of our Class A ordinary shares.”</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jc w:val="center"/>
        <w:rPr>
          <w:bdr w:val="single" w:sz="12" w:space="1" w:color="000000"/>
        </w:rPr>
      </w:pPr>
      <w:r>
        <w:rPr>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6" w:name="s_005"/>
      <w:bookmarkEnd w:id="6"/>
      <w:r>
        <w:rPr>
          <w:rFonts w:ascii="Times New Roman;Times;Serif" w:hAnsi="Times New Roman;Times;Serif"/>
          <w:b/>
          <w:i w:val="false"/>
          <w:caps/>
          <w:sz w:val="20"/>
          <w:bdr w:val="single" w:sz="12" w:space="5" w:color="000000"/>
        </w:rPr>
        <w:t>DESCRIPTION OF CAPPED CALL TRANSACTIONS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connection with the pricing of the Concurrent Note Offering, we intend to enter into privately negotiated capped call transactions with the option counterparties. The capped call transactions will cover, subject to customary adjustments, the number of Class A ordinary shares that initially underlie the New Convertible Notes. We anticipate that the cap price of the capped call transactions will initially represent a premium of approximately % over the last reported sale price of our Class A ordinary shares on the pricing date of the Concurrent Note Offering.</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capped call transactions are separate transactions that will be entered into by us and the option counterparties, are not part of the terms of the New Convertible Notes and will not affect the holders’ rights under the New Convertible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If the capped call transactions (or portions thereof) are exercised and the market value per Class A ordinary share, as measured under the terms of the capped call transactions at the time of exercise, is greater than the strike price of the capped call transactions but not greater than the cap price of the capped call transactions, we expect to receive from the option counterparties a number of Class A ordinary shares or, at our election (subject to certain conditions), cash and/or Class A ordinary shares, with an aggregate market value (or, in the case of cash settlement, in an amount) approximately equal to the product of such excess times the number of Class A ordinary shares relating to the capped call transactions (or the portions thereof) being exercised. As a result, the capped call transactions are expected to offset the potential dilution as a result of conversion of the New Convertible Notes unless we elect, at our option and subject to certain condition specified under the capped call transactions, to change the default settlement under the capped call transactions from Class A ordinary shares to cash or a combination of cash and Class A ordinary shares. If, however, the market value per Class A ordinary share, as measured under the terms of the capped call transactions at the time of exercise, exceeds the cap price of the capped call transactions, the number of Class A ordinary shares and/or the amount of cash we expect to receive upon the exercise of the capped call transaction (or portions thereof) will be capped based on (x) the excess of the cap price of the capped call transactions over the strike price of the capped call transactions times (y) the number of Class A ordinary shares relating to the capped call transactions (or the portions thereof) being exercised, and the dilution mitigation under the capped call transactions will be limited to such capped number of Class A ordinary shares we expect to receive.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Additionally, to the extent that the market value per Class A ordinary share exceeds the conversion price of the New Convertible Notes but does not exceed the strike price of the capped call transactions, we will not be entitled to receive any Class A ordinary shares or cash under the capped call transactions. In connection with establishing their initial hedges of the capped call transactions, we expect that the option counterparties and/or their respective affiliates may enter into various derivative transactions with respect to our Class A ordinary shares concurrently with or shortly after the pricing of the New Convertible Notes, including with certain investors in the notes. This activity could increase (or reduce the size of any decrease in) the market price of our Class A ordinary shares or the New Convertible Notes at that time.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we expect that the option counterparties and/or their respective affiliates described above may modify or unwind their hedge positions by entering into or unwinding various derivative transactions and/or purchasing or selling our Class A ordinary shares or other securities of ours in secondary market transactions following the pricing of the New Convertible Notes and prior to the maturity of the New Convertible Notes (and are likely to do so during the 40 trading day period beginning on the 41st scheduled trading day prior to the maturity date of the New Convertible Notes, or, to the extent we exercise the relevant election under the capped call transactions, following any repurchase, redemption or conversion of the New Convertible Notes). This activity could also cause or prevent an increase or decrease in the market price of our Class A ordinary shares.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a discussion of the potential impact of any market making or other activity by the option counterparties and/ or their respective affiliates in connection with these capped call transactions, see “Plan of Distribution—Capped Call Transactions” and “Risk Factors—Risks Related to the Concurrent Note Offering and the Existing Notes—The capped call transactions may affect the value of our Class A ordinary shares and may result in market activity in our Class A ordinary shares.”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bdr w:val="single" w:sz="12" w:space="1" w:color="000000"/>
        </w:rPr>
      </w:pPr>
      <w:r>
        <w:rPr>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7" w:name="s_006"/>
      <w:bookmarkEnd w:id="7"/>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 Before making a decision to invest in our securities, you should carefully consider the following risks and those in our Form 20-F, and any updates to those risk factors in our reports on Form 6-K incorporated by reference in this prospectus supplement, together with all of the other information appearing or incorporated by reference in this prospectus supplement and the accompanying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Purchasers of Class A ordinary shares in this offering will experience immediate and substantial dilution in the book value of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price per Class A ordinary share being offered in this offering is substantially higher than our net tangible book deficit per share of our outstanding Class A ordinary shares prior to this offering, you will suffer substantial dilution with respect to the net tangible book value of the Class A ordinary shares you purchase in this offering. Based on the offering price of US$      per share, and our net tangible book deficit as of September 30, 2025, if you purchase shares in this offering, you will suffer immediate and substantial dilution of US$       per share with respect to the net tangible book value of the Class A ordinary shares you purchase in this offering. For a more detailed discussion of the foregoing, see the section titled “Dilution”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raise additional funds through the issuance of additional Class A ordinary shares or other securities convertible into or exchangeable for Class A ordinary shares. From time to time, we engage in discussions with various financing sources to enhance liquidity. Concurrently with this offering, we intend to offer, subject to market and other conditions, New Convertible Notes in the Concurrent Note Offering, in an aggregate principal amount of US$400,000,000. We also intend to grant the initial purchasers in the Concurrent Note Offering an option to purchase, for settlement during a 13-day period beginning on, and including, the first date on which the New Convertible Notes are issued, up to an additional US$60,000,000 aggregate principal amount of New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Class A ordinary shares or other securities convertible into or exchangeable for Class A ordinary shares. For example, pursuant to our At Market Issuance Sales Agreement, dated January 3, 2025, with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(each, a “Sales Agent”), and a prospectus supplement dated January 3, 2025, as amended as of November 12, 2025, we may offer and sell, after the date of this prospectus supplement, up to US$647.8 million of our Class A ordinary shares from time to time through or to the Sales Agents, as agent or principal. We cannot assure you that we will be able to sell Class A ordinary shares or other securities in any other offering at a price per Class A ordinary share that is equal to or greater than the price per Class A ordinary share paid by investors in this offering, and investors purchasing Class A ordinary shares or other securities in the future could have rights superior to existing shareholders. The price per Class A ordinary share at which we sell additional Class A ordinary shares or other securities convertible into or exchangeable for Class A ordinary shares in future transactions may be higher or lower than the price per Class A ordinary share in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Class A ordinary shares or equity-linked securities in the public market could lower the trading price for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sell additional Class A ordinary shares or equity-linked securities to raise capital. In addition, a substantial number of Class A ordinary shares are reserved for issuance upon conversion of our debt securities and Class V ordinary shares as well as in connection with the exercise or vesting of awards under our equity incentive plans. We cannot predict the size of future issuances or the effect, if any, that they may have on the market price for our Class A ordinary shares or equity-linked securities in the public market. The issuance and/or sale of substantial amounts of our Class A ordinary shares, or the perception that such issuances and sales may occur (including due to anticipated conversion of our debt securities, depending on the prevailing trading price of our Class A ordinary shares at the time), could adversely affect the trading price of the Class A ordinary shares and impair our ability to raise capital through the sale of additional equity or equity-linked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Concurrent Note Offering and the Existing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repurchases of the November 2029 notes may affect the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the net proceeds from this offering, together with a portion of the proceeds from the Concurrent Note Offering, to repurchase approximately US$         million in aggregate principal amount of our November 2029 notes for cash in the Concurrent Note Repurchases. These transactions are expected to occur concurrently with the pricing of this offering and may affect the market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Concurrent Note Repurchases, we expect that hedged holders will unwind all or part of their hedge positions by buying our Class A ordinary shares and/or entering into or unwinding various derivative transactions with respect to our Class A ordinary shares. The amount of our Class A ordinary shares to be purchased by the hedged holders or in connection with such derivative transactions may be substantial in relation to the historic average daily trading volume of our Class A ordinary shares. This activity by the hedged holders could increase (or reduce the size of any decrease in) the market price of our Class A ordinary shares, including concurrently with the pricing of the shares offered in this offering. We cannot predict the magnitude of such market activity or the overall effect it will have on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the New Convertible Notes or the existing notes may dilute the ownership interest of the holders of our Class A ordinary shares or may otherwise depress the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some or all of the New Convertible Notes or the existing notes may dilute the ownership interests of the holders of our Class A ordinary shares. Upon conversion of the New Convertible or the existing notes, we have the option to pay or deliver, as the case may be, cash, Class A ordinary shares, or a combination of cash and Class A ordinary shares. If we elect to settle our conversion obligation in Class A ordinary shares or a combination of cash and Class A ordinary shares, any sales in the public market of our Class A ordinary shares issuable upon such conversion could adversely affect prevailing market prices of our Class A ordinary shares. In addition, the existence of the New Convertible Notes or the existing notes may encourage short selling by market participants because the conversion of the New Convertible Notes or the existing notes could be used to satisfy short positions, or anticipated conversion of the New Convertible Notes or the existing notes into Class A ordinary shares could depress the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conditional conversion feature of the New Convertible Notes, if triggered, may adversely affect our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conditional conversion feature of the New Convertible Notes is triggered, holders of New Convertible Notes will be entitled to convert their notes at any time during specified periods at their option. If one or more holders elect to convert their New Convertible Notes, unless we elect to satisfy our conversion obligation by delivering solely Class A ordinary shares (other than paying cash in lieu of delivering any fractional share), we would be required to settle a portion or all of our conversion obligation through the payment of cash, which could adversely affect our liquidity. In addition, even if holders do not elect to convert their New Convertible Notes, we could be required under applicable accounting rules to reclassify all or a portion of the outstanding principal of the New Convertible Notes as a current rather than long-term liability, which would result in a material reduction of our net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the ability to raise the funds necessary to settle conversions of the New Convertible Notes or the existing notes, to repurchase the New Convertible Notes on November 20, 2029, to repurchase the New Convertible Notes upon a fundamental change or to repurchase the existing notes when required and our future debt may contain limitations on our ability to pay cash upon conversion or to repurchase the New Convertible Notes or the existing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New Convertible Notes will have the right, subject to certain conditions and except as described in this offering memorandum, to require us to repurchase all or any portion of their New Convertible Notes on November 20, 2029 or upon the occurrence of a fundamental change, in each case, at a specified repurchase date repurchase price or fundamental change repurchase price, as applicable, equal to 100% of the principal amount of the notes to be repurchased, plus accrued and unpaid interest to, but excluding, the applicable repurchase date. In addition, upon conversion of the New Convertible Notes, unless we elect to deliver solely Class A ordinary shares to settle such conversion (other than paying cash in lieu of delivering any fractional share), we will be required to make cash payments in respect of the New Convertible Notes being converted. The indentures governing the existing notes contain similar provisions requiring us to offer to repurchase the existing notes on specified repurchase dates or upon the occurrence of a “fundamental change” (as defined in such indenture) and giving us the option to pay cash to settle conversions of the existing notes. The indenture governing the July 2031 notes grants holders of the July 2031 notes the right, subject to certain conditions and except as described therein, to require us to repurchase all or any portion of their July 2031 notes on July 6, 2029. The indenture governing the November 2029 notes also grants holders of the November 2029 notes the right, subject to certain conditions and except as described therein, to require us to repurchase all or any portion of their November 2029 notes on December 6, 2027. However, we may not have enough available cash or be able to obtain financing at the time we are required to make repurchases of the New Convertible Notes or the existing notes or settle in cash the New Convertible Notes or the existing notes being converted. In addition, our ability to repurchase the New Convertible Notes or the existing notes or to pay cash upon conversions of the notes may be limited by law, by regulatory authority or by agreements governing our future indebtedness. Our failure to repurchase the New Convertible Notes or the existing notes at a time when the repurchase is required by the applicable indenture or to pay any cash payable on future conversions of the New Convertible Notes or the existing notes as required by the applicable indenture would constitute a default under such indenture. A default under the indenture governing the New Convertible Notes or the existing notes could also be a default under our other future outstanding indebtedness (and vice versa) or the fundamental change itself could also lead to a default under agreements governing our existing or any outstanding future indebtedness. If the repayment of our other indebtedness or any outstanding future indebtedness were to be accelerated after any applicable notice or grace periods, we may not have sufficient funds to repay the indebtedness and repurchase or redeem the New Convertible Notes or the existing notes or make cash payments upon conversions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accounting method for the New Convertible Notes and the existing notes could have a material adverse effect on our reported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method for reflecting the New Convertible Notes and the existing notes on our consolidated balance sheet, accruing interest expense for the New Convertible Notes and the existing notes and reflecting the underlying Class A ordinary shares in our reported diluted earnings per share may adversely affect our reported earnings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consistent with the existing notes, the New Convertible Notes will be reflected as a liability on our consolidated balance sheet. Our full accounting assessment may conclude that we are required to separately account for the conversion option or other features as embedded derivatives. Alternatively, we may elect the fair value option to account for the entire instrument at fair value. In either case, we will need to record, on a quarterly basis, gains and losses related to such changes in fair value, which could have a material impact on our net income or loss. It could also depress the trading price of our Class A ordinary shares, the New Convertible Notes and the existing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accounting method for reflecting the Class A ordinary shares underlying the New Convertible Notes in our diluted earnings per share may adversely affect our reported earnings and financial condition. We expect that, under applicable accounting principles and consistent with the existing notes, the Class A ordinary shares underlying the New Convertible Notes will be reflected in our diluted earnings per share assuming that all the New Convertible Notes were converted into Class A ordinary shares at the beginning of the reporting period (or, if later, the date the New Convertible Notes are first issued), unless the result would be anti-dilutive. Accounting for the New Convertible Notes in this manner may reduce our diluted earnings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in the indentures governing the New Convertible Notes and the existing notes may delay or prevent an otherwise beneficial takeover attempt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in the indenture governing the New Convertible Notes may make it more difficult or expensive for a third party to acquire us. For example, the indenture governing the New Convertible Notes will require us to repurchase the New Convertible Notes for cash upon the occurrence of a fundamental change and, in certain circumstances, to increase the conversion rate for a holder that converts its New Convertible Notes in connection with a make-whole fundamental change. A takeover of us may trigger the requirement that we repurchase the New Convertible Notes and/or increase the conversion rate, which could make it more costly for a potential acquirer to engage in such takeover. Such additional costs may have the effect of delaying or preventing a takeover of us that would otherwise be beneficial to investors. The indentures governing the existing notes contain similar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capped call transactions may affect the value of our Class A ordinary shares and may result in market activity in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pricing of the New Convertible Notes, we intend to enter into privately negotiated capped call transactions with the option counterparties. The capped call transactions will cover, subject to customary adjustments, the number of Class A ordinary shares that initially underlie the New Convertible Notes. The capped call transactions are expected to offset the potential dilution as a result of any conversion of New Convertible Notes. If the initial purchasers of the New Convertible Notes exercise their option to purchase additional notes, we expect to use a portion of the net proceeds from the sale of the additional New Convertible Notes to enter into additional capped call transactions with the option counterparties.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establishing their initial hedges of the capped call transactions, we expect that the option counterparties and/or their respective affiliates may enter into various derivative transactions with respect to our Class A ordinary shares concurrently with or shortly after the pricing of the New Convertible Notes, including with certain investors in the New Convertible Notes. This activity could increase (or reduce the size of any decrease in) the market price of our Class A ordinary shares at that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that the option counterparties and/or their respective affiliates may modify or unwind their hedge positions by entering into or unwinding various derivative transactions and/or purchasing or selling our Class A ordinary shares or other securities of ours in secondary market transactions following the pricing of the New Convertible Notes and prior to the maturity of the notes (and are likely to do so during the 40 trading day period beginning on the 41st scheduled trading day prior to the maturity date of the New Convertible Notes, or, to the extent we exercise the relevant election under the capped call transactions, following any repurchase, redemption or conversion of the New Convertible Notes). This activity could also cause or avoid an increase or a decrease in the market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any such capped call transactions fail to become effective, whether or not the offering of New Convertible Notes is completed, the option counterparties or their respective affiliates may unwind their hedge positions with respect to our Class A ordinary shares, which could adversely affect the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effect, if any, of these transactions and activities on the market price of our Class A ordinary shares will depend in part on market conditions and cannot be ascertained at this time. Any of these activities could adversely affect the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make any representation or prediction as to the direction or magnitude of any potential effect that the transactions described above may have on the Class A ordinary shares. In addition, we do not make any representation that the option counterparties or their respective affiliates will engage in these transactions or that these transactions, once commenced, will not be discontinued without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counterparty risk with respect to the capped call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counterparties are financial institutions, and we will be subject to the risk that one or more of the option counterparties may become insolvent, default or otherwise fail to perform its obligations under the capped call transactions. Our exposure to the credit risk of the option counterparties will not be secured by any collateral and will depend on many factors but, generally, will increase if the market price of our Class A ordinary shares increases. If an option counterparty were to become insolvent, default or otherwise fail to perform its obligations under the capped call transactions, we may suffer more dilution than we currently anticipate with respect to the Class A ordinary shares. We can provide no assurance as to the financial stability or viability of the option counterparties.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s_014"/>
      <w:bookmarkEnd w:id="8"/>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this offering of our Class A ordinary shares will be approximately US$            million, after deducting the estimated offering expenses payable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the Concurrent Note Offering will be approximately US$          million (or approximately US$        million if the initial purchasers in the Concurrent Note Offering fully exercise their option to purchase additional New Convertible Notes), after deducting the initial purchasers’ discounts and estimated offering expenses payable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and the Concurrent Note Offering:: (i) to pay the approximately US$ million cost of the capped call transactions that we will enter into with one or more of the initial purchasers or affiliates thereof and/or other financial institutions (the “option counterparties”) as described under “Description of Capped Call Transactions;” and (ii) to pay the approximately US$      million cost of repurchasing for cash approximately US$       million aggregate principal amount of the November 2029 notes in the Concurrent Note Repurchases described in “Concurrent Notes Transactions—Concurrent Note Repurchases.” We intend to use the remaining net proceeds from this offering and the Concurrent Note Offering for datacenter expansion, ASIC-based mining rig development and manufacture, expansion of our HPC and AI cloud business, as well as working capital and other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initial purchasers in the Concurrent Note Offering exercise their option to purchase additional New Convertible Notes, we intend to use net proceeds from the sale of the additional New Convertible Notes to enter into additional capped call transactions with the option counterparties and the remaining net proceeds for datacenter expansion, ASIC-based mining rig development and manufacture, expansion of our HPC and AI cloud business, as well as working capital and other general corporate purposes as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2029 notes bear interest at a rate of 5.25% per annum and mature on December 1, 2029, unless earlier converted, redeemed or repurchased by us. The net proceeds from the offering of the November 2029 notes were used to pay the cash consideration for the concurrent exchanges of our 8.50% Convertible Senior Notes due 2029 and the remainder for datacenter expansion, ASIC-based mining rig development and manufacture, as well as working capital and other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represents our current intentions based upon our present plans and business conditions to use and allocate the net proceeds of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s_007"/>
      <w:bookmarkEnd w:id="9"/>
      <w:r>
        <w:rPr>
          <w:rFonts w:ascii="Times New Roman;Times;Serif" w:hAnsi="Times New Roman;Times;Serif"/>
          <w:b/>
          <w:i w:val="false"/>
          <w:caps/>
          <w:sz w:val="20"/>
        </w:rPr>
        <w:t>CAPITALIZATION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as of September 30, 2025:</w:t>
      </w:r>
    </w:p>
    <w:p>
      <w:pPr>
        <w:pStyle w:val="TextBody"/>
        <w:bidi w:val="0"/>
        <w:spacing w:before="0" w:after="0"/>
        <w:ind w:left="0" w:right="0" w:firstLine="36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both"/>
              <w:rPr/>
            </w:pPr>
            <w:r>
              <w:rPr/>
              <w:t>on an actual basis;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an as adjusted basis to give effect to the sale of our Class A ordinary shares in this offering and the Concurrent Note Offering (assuming the initial purchasers do not exercise their option to purchase additional New Convertible Notes, and after deducting the initial purchasers’ discounts and commissions and the estimated offering expenses payable by us), but without giving effect to the use of proceeds from this offering.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together with our audited consolidated financial statements and the related notes incorporated by reference in this prospectus supplement and the information under “Financial MD&amp;A” and our Unaudited Interim Condensed Consolidated Financial Statements, both as of and for the nine months ended September 30, 2024 and 2025, incorporated by reference in this prospectus supplement.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46"/>
        <w:gridCol w:w="60"/>
        <w:gridCol w:w="66"/>
        <w:gridCol w:w="1091"/>
        <w:gridCol w:w="105"/>
        <w:gridCol w:w="66"/>
        <w:gridCol w:w="67"/>
        <w:gridCol w:w="1115"/>
        <w:gridCol w:w="89"/>
      </w:tblGrid>
      <w:tr>
        <w:trPr/>
        <w:tc>
          <w:tcPr>
            <w:tcW w:w="75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September 30, 2025</w:t>
            </w:r>
          </w:p>
        </w:tc>
        <w:tc>
          <w:tcPr>
            <w:tcW w:w="89" w:type="dxa"/>
            <w:tcBorders/>
            <w:vAlign w:val="center"/>
          </w:tcPr>
          <w:p>
            <w:pPr>
              <w:pStyle w:val="TableContents"/>
              <w:bidi w:val="0"/>
              <w:spacing w:before="0" w:after="283"/>
              <w:jc w:val="left"/>
              <w:rPr/>
            </w:pPr>
            <w:r>
              <w:rPr/>
              <w:t> </w:t>
            </w:r>
          </w:p>
        </w:tc>
      </w:tr>
      <w:tr>
        <w:trPr/>
        <w:tc>
          <w:tcPr>
            <w:tcW w:w="75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r>
          </w:p>
        </w:tc>
        <w:tc>
          <w:tcPr>
            <w:tcW w:w="89" w:type="dxa"/>
            <w:tcBorders/>
            <w:vAlign w:val="center"/>
          </w:tcPr>
          <w:p>
            <w:pPr>
              <w:pStyle w:val="TableContents"/>
              <w:bidi w:val="0"/>
              <w:spacing w:before="0" w:after="283"/>
              <w:jc w:val="left"/>
              <w:rPr/>
            </w:pPr>
            <w:r>
              <w:rPr/>
              <w:t> </w:t>
            </w:r>
          </w:p>
        </w:tc>
      </w:tr>
      <w:tr>
        <w:trPr/>
        <w:tc>
          <w:tcPr>
            <w:tcW w:w="75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vAlign w:val="center"/>
          </w:tcPr>
          <w:p>
            <w:pPr>
              <w:pStyle w:val="TableContents"/>
              <w:bidi w:val="0"/>
              <w:spacing w:before="0" w:after="283"/>
              <w:jc w:val="center"/>
              <w:rPr>
                <w:b/>
              </w:rPr>
            </w:pPr>
            <w:r>
              <w:rPr>
                <w:b/>
              </w:rPr>
              <w:t xml:space="preserve">(unaudited) </w:t>
              <w:br/>
              <w:t xml:space="preserve">(US$ in thousands, except par </w:t>
              <w:br/>
              <w:t>value and share amounts)</w:t>
            </w:r>
          </w:p>
        </w:tc>
        <w:tc>
          <w:tcPr>
            <w:tcW w:w="89" w:type="dxa"/>
            <w:tcBorders/>
            <w:vAlign w:val="center"/>
          </w:tcPr>
          <w:p>
            <w:pPr>
              <w:pStyle w:val="TableContents"/>
              <w:bidi w:val="0"/>
              <w:spacing w:before="0" w:after="283"/>
              <w:jc w:val="left"/>
              <w:rPr/>
            </w:pPr>
            <w:r>
              <w:rPr/>
              <w:t> </w:t>
            </w:r>
          </w:p>
        </w:tc>
      </w:tr>
      <w:tr>
        <w:trPr/>
        <w:tc>
          <w:tcPr>
            <w:tcW w:w="75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82"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754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196,252</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sz w:val="4"/>
                <w:szCs w:val="4"/>
              </w:rPr>
            </w:pPr>
            <w:r>
              <w:rPr>
                <w:sz w:val="4"/>
                <w:szCs w:val="4"/>
              </w:rPr>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 of           % Convertible Senior Notes due 2031 offered in the Concurrent Note Offering</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400,000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 of 4.875% Convertible Senior Notes due 2031</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375,000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375,000</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 of 5.25% Convertible Senior Notes due 2029</w:t>
            </w:r>
            <w:r>
              <w:rPr>
                <w:rFonts w:ascii="Times New Roman;Times;Serif" w:hAnsi="Times New Roman;Times;Serif"/>
                <w:position w:val="7"/>
                <w:sz w:val="16"/>
                <w:sz w:val="20"/>
              </w:rPr>
              <w:t>(1) (2)</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400,000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400,000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Matrixport Loans</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461,625</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461,625</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 Facility</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12" w:space="0" w:color="000000"/>
            </w:tcBorders>
            <w:shd w:fill="CCEEFF" w:val="clear"/>
            <w:tcMar>
              <w:bottom w:w="28" w:type="dxa"/>
            </w:tcMar>
            <w:vAlign w:val="center"/>
          </w:tcPr>
          <w:p>
            <w:pPr>
              <w:pStyle w:val="TableContents"/>
              <w:bidi w:val="0"/>
              <w:spacing w:before="0" w:after="283"/>
              <w:jc w:val="right"/>
              <w:rPr/>
            </w:pPr>
            <w:r>
              <w:rPr/>
              <w:t>26,487</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26,487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46" w:type="dxa"/>
            <w:tcBorders/>
            <w:shd w:fill="FFFFFF" w:val="clear"/>
            <w:vAlign w:val="center"/>
          </w:tcPr>
          <w:p>
            <w:pPr>
              <w:pStyle w:val="TableContents"/>
              <w:bidi w:val="0"/>
              <w:spacing w:before="0" w:after="283"/>
              <w:jc w:val="left"/>
              <w:rPr/>
            </w:pPr>
            <w:r>
              <w:rPr/>
              <w:t>Total debt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1" w:type="dxa"/>
            <w:tcBorders>
              <w:bottom w:val="single" w:sz="12" w:space="0" w:color="000000"/>
            </w:tcBorders>
            <w:shd w:fill="FFFFFF" w:val="clear"/>
            <w:tcMar>
              <w:bottom w:w="28" w:type="dxa"/>
            </w:tcMar>
            <w:vAlign w:val="center"/>
          </w:tcPr>
          <w:p>
            <w:pPr>
              <w:pStyle w:val="TableContents"/>
              <w:bidi w:val="0"/>
              <w:spacing w:before="0" w:after="283"/>
              <w:jc w:val="right"/>
              <w:rPr/>
            </w:pPr>
            <w:r>
              <w:rPr/>
              <w:t>1,263,112</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1,663,112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Shareholders’ equity</w:t>
            </w:r>
            <w:r>
              <w:rPr>
                <w:rFonts w:ascii="Times New Roman;Times;Serif" w:hAnsi="Times New Roman;Times;Serif"/>
                <w:b/>
                <w:position w:val="7"/>
                <w:sz w:val="16"/>
                <w:sz w:val="20"/>
              </w:rPr>
              <w:t>(3)</w:t>
            </w: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46" w:type="dxa"/>
            <w:tcBorders/>
            <w:shd w:fill="CCEEFF" w:val="clear"/>
            <w:vAlign w:val="center"/>
          </w:tcPr>
          <w:p>
            <w:pPr>
              <w:pStyle w:val="TableContents"/>
              <w:bidi w:val="0"/>
              <w:spacing w:before="0" w:after="283"/>
              <w:jc w:val="left"/>
              <w:rPr/>
            </w:pPr>
            <w:r>
              <w:rPr/>
              <w:t>Class A ordinary shares (par value of $0.0000001 per share; authorized: 499,600,000,000 shares, actual and as adjusted; issued and outstanding: 177,344,567 shares, actual, and                      shares, as adjusted)</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46" w:type="dxa"/>
            <w:tcBorders/>
            <w:shd w:fill="FFFFFF" w:val="clear"/>
            <w:vAlign w:val="center"/>
          </w:tcPr>
          <w:p>
            <w:pPr>
              <w:pStyle w:val="TableContents"/>
              <w:bidi w:val="0"/>
              <w:spacing w:before="0" w:after="283"/>
              <w:jc w:val="left"/>
              <w:rPr/>
            </w:pPr>
            <w:r>
              <w:rPr/>
              <w:t>Class V ordinary shares (par value of $0.0000001 per share; authorized: 200,000,000 shares; issued and outstanding: 44,399,922 shares)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46" w:type="dxa"/>
            <w:tcBorders/>
            <w:shd w:fill="CCEEFF" w:val="clear"/>
            <w:vAlign w:val="center"/>
          </w:tcPr>
          <w:p>
            <w:pPr>
              <w:pStyle w:val="TableContents"/>
              <w:bidi w:val="0"/>
              <w:spacing w:before="0" w:after="283"/>
              <w:jc w:val="left"/>
              <w:rPr/>
            </w:pPr>
            <w:r>
              <w:rPr/>
              <w:t>Treasury equity</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(290,607</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(290,607</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7546" w:type="dxa"/>
            <w:tcBorders/>
            <w:shd w:fill="FFFFFF" w:val="clear"/>
            <w:vAlign w:val="center"/>
          </w:tcPr>
          <w:p>
            <w:pPr>
              <w:pStyle w:val="TableContents"/>
              <w:bidi w:val="0"/>
              <w:spacing w:before="0" w:after="283"/>
              <w:jc w:val="left"/>
              <w:rPr/>
            </w:pPr>
            <w:r>
              <w:rPr/>
              <w:t>Reserves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1,518,367</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1,518,367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46"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(653,949</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(653,949</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7546"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1" w:type="dxa"/>
            <w:tcBorders>
              <w:bottom w:val="single" w:sz="12" w:space="0" w:color="000000"/>
            </w:tcBorders>
            <w:shd w:fill="FFFFFF" w:val="clear"/>
            <w:tcMar>
              <w:bottom w:w="28" w:type="dxa"/>
            </w:tcMar>
            <w:vAlign w:val="center"/>
          </w:tcPr>
          <w:p>
            <w:pPr>
              <w:pStyle w:val="TableContents"/>
              <w:bidi w:val="0"/>
              <w:spacing w:before="0" w:after="283"/>
              <w:jc w:val="right"/>
              <w:rPr/>
            </w:pPr>
            <w:r>
              <w:rPr/>
              <w:t>573,811</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573,811</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46" w:type="dxa"/>
            <w:tcBorders/>
            <w:shd w:fill="CCEEFF" w:val="clear"/>
            <w:vAlign w:val="center"/>
          </w:tcPr>
          <w:p>
            <w:pPr>
              <w:pStyle w:val="TableContents"/>
              <w:bidi w:val="0"/>
              <w:spacing w:before="0" w:after="283"/>
              <w:jc w:val="left"/>
              <w:rPr/>
            </w:pPr>
            <w:r>
              <w:rPr/>
              <w:t>Total capitalization</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double" w:sz="10" w:space="0" w:color="000000"/>
            </w:tcBorders>
            <w:shd w:fill="CCEEFF" w:val="clear"/>
            <w:tcMar>
              <w:bottom w:w="28" w:type="dxa"/>
            </w:tcMar>
            <w:vAlign w:val="center"/>
          </w:tcPr>
          <w:p>
            <w:pPr>
              <w:pStyle w:val="TableContents"/>
              <w:bidi w:val="0"/>
              <w:spacing w:before="0" w:after="283"/>
              <w:jc w:val="right"/>
              <w:rPr/>
            </w:pPr>
            <w:r>
              <w:rPr/>
              <w:t>2,033,175</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3580" w:type="dxa"/>
        <w:jc w:val="left"/>
        <w:tblInd w:w="0" w:type="dxa"/>
        <w:tblLayout w:type="fixed"/>
        <w:tblCellMar>
          <w:top w:w="0" w:type="dxa"/>
          <w:left w:w="0" w:type="dxa"/>
          <w:bottom w:w="0" w:type="dxa"/>
          <w:right w:w="0" w:type="dxa"/>
        </w:tblCellMar>
      </w:tblPr>
      <w:tblGrid>
        <w:gridCol w:w="155"/>
        <w:gridCol w:w="3425"/>
      </w:tblGrid>
      <w:tr>
        <w:trPr/>
        <w:tc>
          <w:tcPr>
            <w:tcW w:w="155"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pPr>
            <w:r>
              <w:rPr/>
              <w:t>denotes amount less than US$1,000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w:t>
            </w:r>
          </w:p>
        </w:tc>
        <w:tc>
          <w:tcPr>
            <w:tcW w:w="9913" w:type="dxa"/>
            <w:tcBorders/>
            <w:vAlign w:val="center"/>
          </w:tcPr>
          <w:p>
            <w:pPr>
              <w:pStyle w:val="TableContents"/>
              <w:bidi w:val="0"/>
              <w:spacing w:before="0" w:after="283"/>
              <w:jc w:val="both"/>
              <w:rPr/>
            </w:pPr>
            <w:r>
              <w:rPr/>
              <w:t>Reflects the aggregate principal amount without reflecting debt discount or issuance costs that we are required to recognize.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283"/>
              <w:jc w:val="both"/>
              <w:rPr/>
            </w:pPr>
            <w:r>
              <w:rPr/>
              <w:t>As adjusted, does not reflect the repurchase of any November 2029 notes that we expect to repurchase in the Concurrent Note Repurchases.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(3)</w:t>
            </w:r>
          </w:p>
        </w:tc>
        <w:tc>
          <w:tcPr>
            <w:tcW w:w="9970" w:type="dxa"/>
            <w:tcBorders/>
            <w:vAlign w:val="center"/>
          </w:tcPr>
          <w:p>
            <w:pPr>
              <w:pStyle w:val="TableContents"/>
              <w:bidi w:val="0"/>
              <w:spacing w:before="0" w:after="283"/>
              <w:jc w:val="both"/>
              <w:rPr/>
            </w:pPr>
            <w:r>
              <w:rPr/>
              <w:t xml:space="preserve">The outstanding share information is as of September 30, 2025 and excludes as of that date (i) 72,200 Class A ordinary shares that have been repurchased but not cancelled, (ii) 6,884,232 Class A ordinary shares reserved for future issuance upon the exercise of awards granted under our 2023 Share Incentive Plan; (iii) 3,695,313 Class A ordinary shares reserved for future issuance under our 2023 Share Incentive Plan; (iv) 4,415,116 Class A ordinary shares that we sold after September 30, 2025 and prior to the date of this prospectus supplement, pursuant to Sales Agreement; (v) any </w:t>
            </w:r>
            <w:r>
              <w:rPr>
                <w:shd w:fill="FFFFFF" w:val="clear"/>
              </w:rPr>
              <w:t>Class</w:t>
            </w:r>
            <w:r>
              <w:rPr/>
              <w:t xml:space="preserve"> A ordinary shares that become available subsequent to this offering under our 2023 Share Incentive Plan and 2023 Performance Share Plan pursuant to provisions thereof that automatically increase the share reserves under such plans each year; and (vi) the Class A ordinary shares reserved for issuance upon conversion of the New Convertible Notes. Additionally, the figures in the above table do not reflect (a) Class A ordinary shares issued upon exercise or vesting of share incentive awards under the 2023 Share Incentive Plan and the 2023 Performance Share Plan after September 30, 2025; and (b) the effect of shareholding changes in certain subsidiaries after September 30,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s_008"/>
      <w:bookmarkEnd w:id="10"/>
      <w:r>
        <w:rPr>
          <w:rFonts w:ascii="Times New Roman;Times;Serif" w:hAnsi="Times New Roman;Times;Serif"/>
          <w:b/>
          <w:i w:val="false"/>
          <w:caps/>
          <w:sz w:val="20"/>
        </w:rPr>
        <w:t>DILUTION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our Class A ordinary shares in this offering, your ownership interest will be immediately diluted to the extent of the difference between the offering price per share and the pro forma as adjusted net tangible book value per ordinary share after this offering and the Concurrent Notes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net tangible book value (deficit) of our ordinary shares as of September 30, 2025 was approximately US$(375.6) million, or approximately US$(1.69) per ordinary share, based upon 221,744,489 ordinary shares outstanding, including </w:t>
      </w:r>
      <w:r>
        <w:rPr>
          <w:rFonts w:ascii="Times New Roman;Times;Serif" w:hAnsi="Times New Roman;Times;Serif"/>
          <w:b w:val="false"/>
          <w:i w:val="false"/>
          <w:caps w:val="false"/>
          <w:smallCaps w:val="false"/>
          <w:sz w:val="20"/>
          <w:shd w:fill="FFFFFF" w:val="clear"/>
        </w:rPr>
        <w:t>177,344,567</w:t>
      </w:r>
      <w:r>
        <w:rPr>
          <w:rFonts w:ascii="Times New Roman;Times;Serif" w:hAnsi="Times New Roman;Times;Serif"/>
          <w:b w:val="false"/>
          <w:i w:val="false"/>
          <w:caps w:val="false"/>
          <w:smallCaps w:val="false"/>
          <w:sz w:val="20"/>
        </w:rPr>
        <w:t xml:space="preserve"> Class A ordinary shares and </w:t>
      </w:r>
      <w:r>
        <w:rPr>
          <w:rFonts w:ascii="Times New Roman;Times;Serif" w:hAnsi="Times New Roman;Times;Serif"/>
          <w:b w:val="false"/>
          <w:i w:val="false"/>
          <w:caps w:val="false"/>
          <w:smallCaps w:val="false"/>
          <w:sz w:val="20"/>
          <w:shd w:fill="FFFFFF" w:val="clear"/>
        </w:rPr>
        <w:t>44,399,922</w:t>
      </w:r>
      <w:r>
        <w:rPr>
          <w:rFonts w:ascii="Times New Roman;Times;Serif" w:hAnsi="Times New Roman;Times;Serif"/>
          <w:b w:val="false"/>
          <w:i w:val="false"/>
          <w:caps w:val="false"/>
          <w:smallCaps w:val="false"/>
          <w:sz w:val="20"/>
        </w:rPr>
        <w:t xml:space="preserve"> Class V ordinary shares. Net tangible book value per ordinary share is equal to our total tangible assets, less our total liabilities, divided by the total number of ordinary shares outstanding as of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 forma net tangible book value (deficit) as of September 30, 2025 was US$          million, or US$            per ordinary share. Pro forma net tangible book value (deficit) represents the amount of our total tangible assets, less our total liabilities, after giving effect to the Concurrent Note Offering, assuming we sell an aggregate of US$460.0 million of New Convertible Notes in the Concurrent Note Offering (which assumes the exercise in full by the initial purchasers of their option to purchase additional New Convertible Notes). Pro forma net tangible book value (deficit) per ordinary share represents pro forma net tangible book value (deficit) divided by the total number of ordinary shares outstanding as of September 30, 2025, after giving effect to the pro forma adjustment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further effect to (i) the sale of              Class A ordinary shares in this offering at the offering price of US$           per share, after deducting estimated offering expenses payable by us, and (ii) the concurrent repurchase for cash of an aggregate of US$                 million of November 2029 notes in the Concurrent Note Repurchases, our pro forma as adjusted net tangible book value (deficit) as of September 30, 2025 would have been US$(        ) million, or US$(          ) per ordinary share. This amount represents an immediate increase in pro forma net tangible book value of US$        per ordinary share to our existing shareholders and immediate dilution of US$         per ordinary share to new investors in this offering. We determine dilution by subtracting the pro forma as adjusted net tangible book value (deficit) per ordinary share after this offering and the Concurrent Notes Transactions from the amount of cash that a new investor paid for a Class A ordinary share in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on a per share basis: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43"/>
        <w:gridCol w:w="60"/>
        <w:gridCol w:w="455"/>
        <w:gridCol w:w="740"/>
        <w:gridCol w:w="95"/>
        <w:gridCol w:w="60"/>
        <w:gridCol w:w="396"/>
        <w:gridCol w:w="180"/>
        <w:gridCol w:w="76"/>
      </w:tblGrid>
      <w:tr>
        <w:trPr/>
        <w:tc>
          <w:tcPr>
            <w:tcW w:w="8143" w:type="dxa"/>
            <w:tcBorders/>
            <w:shd w:fill="CCEEFF" w:val="clear"/>
            <w:vAlign w:val="center"/>
          </w:tcPr>
          <w:p>
            <w:pPr>
              <w:pStyle w:val="TableContents"/>
              <w:bidi w:val="0"/>
              <w:spacing w:before="0" w:after="283"/>
              <w:ind w:left="0" w:right="0" w:hanging="180"/>
              <w:jc w:val="left"/>
              <w:rPr/>
            </w:pPr>
            <w:r>
              <w:rPr/>
              <w:t>Offering price per Class A ordinary share</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US$</w:t>
            </w:r>
          </w:p>
        </w:tc>
        <w:tc>
          <w:tcPr>
            <w:tcW w:w="1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8143" w:type="dxa"/>
            <w:tcBorders/>
            <w:shd w:fill="FFFFFF" w:val="clear"/>
            <w:vAlign w:val="center"/>
          </w:tcPr>
          <w:p>
            <w:pPr>
              <w:pStyle w:val="TableContents"/>
              <w:bidi w:val="0"/>
              <w:spacing w:before="0" w:after="283"/>
              <w:jc w:val="left"/>
              <w:rPr/>
            </w:pPr>
            <w:r>
              <w:rPr/>
              <w:t>Historical net tangible book deficit per ordinary share as of September 30, 2025</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$US</w:t>
            </w:r>
          </w:p>
        </w:tc>
        <w:tc>
          <w:tcPr>
            <w:tcW w:w="74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8143" w:type="dxa"/>
            <w:tcBorders/>
            <w:shd w:fill="CCEEFF" w:val="clear"/>
            <w:vAlign w:val="center"/>
          </w:tcPr>
          <w:p>
            <w:pPr>
              <w:pStyle w:val="TableContents"/>
              <w:bidi w:val="0"/>
              <w:spacing w:before="0" w:after="283"/>
              <w:jc w:val="left"/>
              <w:rPr/>
            </w:pPr>
            <w:r>
              <w:rPr/>
              <w:t>Pro forma increase in historical net tangible book value per ordinary share attributable to the pro forma transactions described in the preceding paragraphs</w:t>
            </w:r>
          </w:p>
        </w:tc>
        <w:tc>
          <w:tcPr>
            <w:tcW w:w="60" w:type="dxa"/>
            <w:tcBorders/>
            <w:shd w:fill="CCEEFF" w:val="cle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8143" w:type="dxa"/>
            <w:tcBorders/>
            <w:shd w:fill="FFFFFF" w:val="clear"/>
            <w:vAlign w:val="center"/>
          </w:tcPr>
          <w:p>
            <w:pPr>
              <w:pStyle w:val="TableContents"/>
              <w:bidi w:val="0"/>
              <w:spacing w:before="0" w:after="283"/>
              <w:jc w:val="left"/>
              <w:rPr/>
            </w:pPr>
            <w:r>
              <w:rPr/>
              <w:t>Pro forma net tangible book deficit per ordinary share as of September 30, 2025</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8143" w:type="dxa"/>
            <w:tcBorders/>
            <w:shd w:fill="CCEEFF" w:val="clear"/>
            <w:vAlign w:val="center"/>
          </w:tcPr>
          <w:p>
            <w:pPr>
              <w:pStyle w:val="TableContents"/>
              <w:bidi w:val="0"/>
              <w:spacing w:before="0" w:after="283"/>
              <w:jc w:val="left"/>
              <w:rPr/>
            </w:pPr>
            <w:r>
              <w:rPr/>
              <w:t>Increase in pro forma net tangible book value per ordinary share attributable to this offering and the Concurrent Notes Transactions</w:t>
            </w:r>
          </w:p>
        </w:tc>
        <w:tc>
          <w:tcPr>
            <w:tcW w:w="60" w:type="dxa"/>
            <w:tcBorders/>
            <w:shd w:fill="CCEEFF" w:val="cle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81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8143" w:type="dxa"/>
            <w:tcBorders/>
            <w:shd w:fill="CCEEFF" w:val="clear"/>
            <w:vAlign w:val="center"/>
          </w:tcPr>
          <w:p>
            <w:pPr>
              <w:pStyle w:val="TableContents"/>
              <w:bidi w:val="0"/>
              <w:spacing w:before="0" w:after="283"/>
              <w:jc w:val="left"/>
              <w:rPr/>
            </w:pPr>
            <w:r>
              <w:rPr/>
              <w:t>Pro forma as adjusted net tangible book deficit per ordinary share immediately after this offering and the Concurrent Notes Transactions</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81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8143" w:type="dxa"/>
            <w:tcBorders/>
            <w:shd w:fill="CCEEFF" w:val="clear"/>
            <w:vAlign w:val="center"/>
          </w:tcPr>
          <w:p>
            <w:pPr>
              <w:pStyle w:val="TableContents"/>
              <w:bidi w:val="0"/>
              <w:spacing w:before="0" w:after="283"/>
              <w:jc w:val="left"/>
              <w:rPr/>
            </w:pPr>
            <w:r>
              <w:rPr/>
              <w:t>Dilution per ordinary share to new investors in this offering</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ordinary shares to be outstanding after this offering is based on </w:t>
      </w:r>
      <w:r>
        <w:rPr>
          <w:rFonts w:ascii="Times New Roman;Times;Serif" w:hAnsi="Times New Roman;Times;Serif"/>
          <w:b w:val="false"/>
          <w:i w:val="false"/>
          <w:caps w:val="false"/>
          <w:smallCaps w:val="false"/>
          <w:sz w:val="20"/>
          <w:shd w:fill="FFFFFF" w:val="clear"/>
        </w:rPr>
        <w:t xml:space="preserve">221,744,489 ordinary shares outstanding, including 177,344,567 Class A ordinary </w:t>
      </w:r>
      <w:r>
        <w:rPr>
          <w:rFonts w:ascii="Times New Roman;Times;Serif" w:hAnsi="Times New Roman;Times;Serif"/>
          <w:b w:val="false"/>
          <w:i w:val="false"/>
          <w:caps w:val="false"/>
          <w:smallCaps w:val="false"/>
          <w:sz w:val="20"/>
        </w:rPr>
        <w:t xml:space="preserve">shares </w:t>
      </w:r>
      <w:r>
        <w:rPr>
          <w:rFonts w:ascii="Times New Roman;Times;Serif" w:hAnsi="Times New Roman;Times;Serif"/>
          <w:b w:val="false"/>
          <w:i w:val="false"/>
          <w:caps w:val="false"/>
          <w:smallCaps w:val="false"/>
          <w:sz w:val="20"/>
          <w:shd w:fill="FFFFFF" w:val="clear"/>
        </w:rPr>
        <w:t xml:space="preserve">and 44,399,922 Class V ordinary shares, as of September 30, 2025, </w:t>
      </w:r>
      <w:r>
        <w:rPr>
          <w:rFonts w:ascii="Times New Roman;Times;Serif" w:hAnsi="Times New Roman;Times;Serif"/>
          <w:b w:val="false"/>
          <w:i w:val="false"/>
          <w:caps w:val="false"/>
          <w:smallCaps w:val="false"/>
          <w:sz w:val="20"/>
        </w:rPr>
        <w:t>and excludes:</w:t>
      </w:r>
    </w:p>
    <w:p>
      <w:pPr>
        <w:pStyle w:val="TextBody"/>
        <w:bidi w:val="0"/>
        <w:spacing w:before="0" w:after="0"/>
        <w:ind w:left="0" w:right="0" w:firstLine="36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pPr>
            <w:r>
              <w:rPr/>
              <w:t>72,200 Class A ordinary shares that have been repurchased but not cancelled;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6,884,232 Class A ordinary shares reserved for future issuance upon the exercise of awards granted under our 2023 Share Incentive Plan outstanding as of September 30,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3,695,313 Class A ordinary shares reserved for future issuance under our 2023 Share Incentive Plan as of September 30,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4,415,116 Class A ordinary shares that we sold after September 30, 2025 and prior to the date of this prospectus supplement, pursuant to Sales Agreement</w:t>
            </w:r>
            <w:r>
              <w:rPr>
                <w:shd w:fill="FFFFFF" w:val="clear"/>
              </w:rPr>
              <w:t xml:space="preserve">, </w:t>
            </w:r>
            <w:r>
              <w:rPr/>
              <w:t>for gross proceeds of US$102.2 million;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any </w:t>
            </w:r>
            <w:r>
              <w:rPr>
                <w:shd w:fill="FFFFFF" w:val="clear"/>
              </w:rPr>
              <w:t>Class</w:t>
            </w:r>
            <w:r>
              <w:rPr/>
              <w:t xml:space="preserve"> A ordinary shares that become available subsequent to this offering under our 2023 Share Incentive Plan and 2023 Performance Share Plan pursuant to provisions thereof that automatically increase the share reserves under such plans each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w:t>
      </w:r>
      <w:r>
        <w:rPr>
          <w:rFonts w:ascii="Times New Roman;Times;Serif" w:hAnsi="Times New Roman;Times;Serif"/>
          <w:b w:val="false"/>
          <w:i w:val="false"/>
          <w:caps w:val="false"/>
          <w:smallCaps w:val="false"/>
          <w:sz w:val="20"/>
        </w:rPr>
        <w:t xml:space="preserve">foregoing </w:t>
      </w:r>
      <w:r>
        <w:rPr>
          <w:rFonts w:ascii="Times New Roman;Times;Serif" w:hAnsi="Times New Roman;Times;Serif"/>
          <w:b w:val="false"/>
          <w:i w:val="false"/>
          <w:caps w:val="false"/>
          <w:smallCaps w:val="false"/>
          <w:sz w:val="20"/>
          <w:shd w:fill="FFFFFF" w:val="clear"/>
        </w:rPr>
        <w:t>table does not give effect to the exercise of any outstanding options or warrants or conversion of any of our debt securities. To the extent options or warrants are exercised or our debt securities are converted into Class A ordinary shares, there may be further dilution to new investors.</w:t>
      </w:r>
    </w:p>
    <w:p>
      <w:pPr>
        <w:pStyle w:val="TextBody"/>
        <w:bidi w:val="0"/>
        <w:spacing w:before="0" w:after="0"/>
        <w:ind w:left="0" w:right="0" w:firstLine="360"/>
        <w:jc w:val="both"/>
        <w:rPr>
          <w:caps w:val="false"/>
          <w:smallCaps w:val="false"/>
          <w:shd w:fill="FFFFFF" w:val="clear"/>
        </w:rPr>
      </w:pPr>
      <w:r>
        <w:rPr>
          <w:caps w:val="false"/>
          <w:smallCaps w:val="false"/>
          <w:shd w:fill="FFFFFF" w:val="clear"/>
        </w:rPr>
        <w:t> </w:t>
      </w:r>
    </w:p>
    <w:p>
      <w:pPr>
        <w:pStyle w:val="TextBody"/>
        <w:bidi w:val="0"/>
        <w:spacing w:before="0" w:after="0"/>
        <w:ind w:left="0" w:right="0" w:firstLine="360"/>
        <w:jc w:val="center"/>
        <w:rPr>
          <w:bdr w:val="single" w:sz="12" w:space="1" w:color="000000"/>
        </w:rPr>
      </w:pPr>
      <w:r>
        <w:rPr>
          <w:bdr w:val="single" w:sz="12" w:space="1" w:color="000000"/>
        </w:rPr>
        <w:t>S-15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sz w:val="20"/>
        </w:rPr>
      </w:pPr>
      <w:bookmarkStart w:id="11" w:name="s_009"/>
      <w:bookmarkEnd w:id="11"/>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Class A ordinary shares in a registered direct offering to certain institutional investors in privately negotiated transactions pursuant to this prospectus supplement and the accompanying prospectus at a price of US$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retained Barclays Capital Inc. (“Barclays”) as the sole placement agent for this offering. Barclays has agreed to act as placement agent in connection with the offering described in this prospectus supplement subject to the terms and conditions of an agency agreement between us and Barclays (the “Placement Agency Agreement”). Barclays is not purchasing or selling any of the Class A ordinary shares offered pursuant to this prospectus supplement or the accompanying prospectus, nor is Barclays required to arrange the purchase or sale of any specific number or dollar amount of Class A ordinary shares, but has agreed to use its reasonable best efforts to arrange for the sale of all of the Class A ordinary shares offered pursuant to this prospectus supplement. Therefore, we will enter into securities purchase agreements (the “Securities Purchase Agreements”) directly with investors in connection with the offering pursuant to this prospectus supplement and accompanying prospectus, and will only sell to investors who have entered into a Securities Purchase Agreement. However, Barclays may be deemed to be an underwriter within the meaning of Section 2(a)(11)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anticipate that the closing of the sale of such Class A ordinary shares will take place on or about November          , 2025, which will be the fourth trading day following the initial trade date for such Class A ordinary shares (this settlement cycle being referred to as “T+4”). Investors will also be informed of the date and manner in which they must transmit the purchase price for their Class A ordinary shares purchased. Under Rule 15c6-1 under the Exchange Act, trades in the secondary market generally are required to settle in one business day, unless the parties to any such trade expressly agree otherwise. Accordingly, purchasers who wish to trade the Class A ordinary shares more than one business day prior to the original issue date will be required, by virtue of the fact that the Class A ordinary shares will initially settle in T+4, to specify alternate settlement arrangements at the time of any such trade to prevent a failed settlement. Purchasers of the Class A ordinary shares who wish to trade the Class A ordinary shares prior to the business day preceding the settlement date should consult their own advisors.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this offering is contingent on the completion of the Concurrent Note Offering and the Concurrent Note Repurchases, and the completion of the Concurrent Note Repurchases is contingent on the completion of this offering and the Concurrent Note Offering. The completion of the Concurrent Note Offering is not contingent on the completion of this offering or the Concurrent Note Repurchases. An investor’s obligation to purchase Class A ordinary shares is subject to the conditions set forth in the Securities Purchase Agreements, which may be waived. There is no requirement that any minimum number or dollar amount of Class A ordinary shares be sold in this offering, and there can be no assurance that we will sell all or any of the Class A ordinary shares being offered.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is not entitled to receive any compensation under the Placement Agency Agreement. We have agreed to reimburse Barclays for certain expenses pursuant to the Placement Agency Agreement in an amount up to $35,000. The obligations of the placement agent under the Placement Agency Agreement are subject to certain conditions precedent, including the absence of any material adverse change in our business and the receipt of certain customary legal opinions, certificates and comfort letters.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total expenses that will be payable by us in connection with the offering described in this prospectus supplement and the accompanying prospectus will be approximately $              million, which include legal, accounting and printing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placement agent and specified other persons against certain liabilities, including liabilities under the Securities Act and the Exchange Act, and contribute to payments that the placement agent may be required to make in respect of such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of the Securities Purchase Agreements are terminated pursuant to their terms, the Placement Agency Agreement will automatically terminate, with no need for further action by the parties to the Placement Agency Agreement, except that the expense reimbursement and indemnity provisions will at all times be effective and will survive such 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S-16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Agency Agreement may also be terminated by the placement agent if there is a failure to satisfy or waive certain customary closing conditions under the Placement Agency Agreement, except that the expense reimbursement and indemnity provisions will at all times be effective and will survive such termination. The termination of the Placement Agency Agreement with respect to the placement agent will have no impact on the obligations of the parties pursuant to the Securities Purchase Agreements. Our obligation to issue and sell Class A ordinary shares to the investors is subject to the conditions set forth in the Securities Purchase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brief summary of the material provisions of the Placement Agency Agreement and the Securities Purchase Agreements that we entered into and does not purport to be a complete statement of the terms and conditions of such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have the Class A ordinary shares offered hereby approved for listing on Nasdaq under the symbol “BTDR.”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engage in transactions with, or perform other services for, us in the ordinary course of business. The placement agent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its affiliates have, from time to time, performed, and may in the future perform, various financial advisory and investment banking services for us, for which they received or will receive customary fees and expenses. For example, the placement agent is acting as an initial purchaser in connection with the Concurrent Note Offering and as our agent in connection with the Concurrent Note Repurchase. The placement agent is also one of the sales agents pursuant to the Sales Agreement, pursuant to which we may offer and sell Class A ordinary shares in “at the market” offerings as defined in Rule 415 under the Securities Act through or to the sales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ordinary course of their various business activities, the placement agent and its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placement agent and its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offered hereby are not being offered outside of the United States of America. Other than in the United States, no action has been taken by us or the placement agent that would permit a public offering of the securities offered by this prospectus supplement and the accompanying prospectus in any jurisdiction where action for that purpose is required. The securities offered by this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restrictions relating to the offering and the distribution of this prospectus supplement and the accompanying prospectus. This prospectus supplement and the accompanying prospectus does not constitute an offer to sell or a solicitation of an offer to buy any securities offered by this prospectus supplement and the accompanying prospectus in any jurisdiction in which such an offer or a solicitation is unlawful.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Capped Call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pricing of the New Convertible Notes, we intend to enter into privately negotiated capped call transactions with the option counterparties, which may include Barclays. The capped call transactions will cover, subject to customary adjustments, the number of Class A ordinary shares that initially underlie the New Convertible Notes. The capped call transactions are expected to offset the potential dilution to our Class A ordinary shares as a result of any conversion of the New Convertible Notes. If the initial purchasers in the Concurrent Note Offering exercise their option to purchase additional New Convertible Notes, we expect to use a portion of the net proceeds from the sale of the additional New Convertible Notes to enter into additional capped call transactions with the option counterparties.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S-17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establishing their initial hedges of the capped call transactions, we expect that the option counterparties and/or their respective affiliates may enter into various derivative transactions with respect to our Class A ordinary shares concurrently with or shortly after the pricing of the New Convertible Notes, including with certain investors in the New Convertible Notes. This activity could increase (or reduce the size of any decrease in) the market price of our Class A ordinary shares at that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that the option counterparties and/or their respective affiliates may modify or unwind their hedge positions by entering into or unwinding various derivative transactions and/or purchasing or selling our Class A ordinary shares or other securities of ours in secondary market transactions following the pricing of the New Convertible Notes and prior to the maturity of the New Convertible Notes (and are likely to do so during the 40 trading day period beginning on the 41st scheduled trading day prior to the maturity date of the New Convertible Notes, or, to the extent we exercise the relevant election under the capped call transactions, following any repurchase, redemption or conversion of the New Convertible Notes). This activity could also cause or avoid an increase or a decrease in the market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potential impact of any market making or other activity by the option counterparties or their respective affiliates in connection with these capped call transactions, see “Risk Factors— Risks Related to the Concurrent Note Offering and the Existing Notes—The capped call transactions may affect the value of our Class A ordinary shares and may result in market activity in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Notice to Prospective Investors in the European Economic Area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each Member State of the European Economic Area, each of which we refer to as a relevant state (“Relevant State”), no Class A ordinary shares have been offered or will be offered pursuant to the offering to the public in that Relevant State prior to the publication of a prospectus in relation to the Class A ordinary shares which has been approved by the competent authority in that Relevant State or, where appropriate, approved in another Relevant State and notified to the competent authority in that Relevant State, all in accordance with the Prospectus Regulation, except that offers of Class A ordinary shares may be made to the public in that Relevant State at any time under the following exemptions under the Prospectus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any legal entity which is a qualified investor as defined under Article 2 of the Prospectus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fewer than 150 natural or legal persons (other than qualified investors as defined under Article 2 of the Prospectus Regulation), subject to obtaining the prior consent of the Representative for any such offer; 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any other circumstances falling within Article 1(4) of the Prospectus Regulation, provided that no such offer of Class A ordinary shares shall require the Company or the placement agent to publish a prospectus pursuant to Article 3 of the Prospectus Regulation or supplement a prospectus pursuant to Article 23 of the Prospectus Regulation and each person who initially acquires any Class A ordinary shares or to whom any offer is made will be deemed to have represented, acknowledged and agreed to and with the placement agent and the Company that it is a “qualified investor” within the meaning of Article 2 of the Prospectus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Class A ordinary shares being offered to a financial intermediary as that term is used in Article 5(1) of the Prospectus Regulation, each such financial intermediary will be deemed to have represented, acknowledged and agreed that the Class A ordinary shares acquired by it in the offer have not been acquired on a non-discretionary basis on behalf of, nor have they been acquired with a view to their offer or resale to, persons in circumstances which may give rise to an offer of any Class A ordinary shares to the public other than their offer or resale in a Relevant State to qualified investors as so defined or in circumstances in which the prior consent of the placement agent has been obtained to each such proposed offer or resale.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placement agent and their respective affiliates will rely upon the truth and accuracy of the foregoing representations, acknowledgements and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Class A ordinary shares in any Relevant State means the communication in any form and by any means of sufficient information on the terms of the offer and any Class A ordinary shares to be offered so as to enable an investor to decide to purchase or subscribe for any Class A ordinary shares, and the expression “Prospectus Regulation” means Regulation (EU) 2017/1129.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S-18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Notice to Prospective Investors in the United Kingdom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Class A ordinary shares have been offered or will be offered pursuant to the offering to the public in the United Kingdom prior to the publication of a prospectus in relation to the Class A ordinary shares which has been approved by the Financial Conduct Authority, except that the Class A ordinary shares may be offered to the public in the United Kingdom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any legal entity which is a qualified investor as defined under Article 2 of the U.K. Prospectus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fewer than 150 natural or legal persons (other than qualified investors as defined under Article 2 of the U.K. Prospectus Regulation), subject to obtaining the prior consent of the Representative for any such offer; 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any other circumstances falling within Section 86 of the Financial Services and Markets Act 2000, or the FSMA; provided that no such offer of the Class A ordinary shares shall require the Company or the placement agent to publish a prospectus pursuant to Section 85 of the FSMA or supplement a prospectus pursuant to Article 23 of the U.K. Prospectus Regulation and each person who initially acquires any Class A ordinary shares or to whom any offer is made will be deemed to have represented, acknowledged and agreed to and with the placement agent and the Company that it is a “qualified investor” within the meaning of Article 2 of the U.K. Prospectus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Class A ordinary shares being offered to a financial intermediary as that term is used in Article 5(1) of the U.K. Prospectus Regulation, each such financial intermediary will be deemed to have represented, acknowledged and agreed that the Class A ordinary shares acquired by it in the offer have not been acquired on a non-discretionary basis on behalf of, nor have they been acquired with a view to their offer or resale to, persons in circumstances which may give rise to an offer of any Class A ordinary shares to the public other than their offer or resale in the United Kingdom to qualified investors as so defined or in circumstances in which the prior consent of the placement agent has been obtained to each such proposed offer or resale.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placement agent and their respective affiliates will rely upon the truth and accuracy of the foregoing representations, acknowledgements and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Class A ordinary shares in the United Kingdom means the communication in any form and by any means of sufficient information on the terms of the offer and any Class A ordinary shares to be offered so as to enable an investor to decide to purchase or subscribe for any Class A ordinary shares and the expression “U.K. Prospectus Regulation” means Regulation (EU) 2017/1129 as it forms part of domestic law by virtue of the European Union (Withdrawal) Act 2018.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(ii) falling within Article 49(2)(a) to (d) (“high net worth companies, unincorporated associations etc.”) of the Order or (iii) who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In the United Kingdom, any investment or investment activity to which this document relates is only available to, and will be engaged in with, relevant persons. Any person in the United Kingdom who is not a relevant person must not act on or rely upon this document or any of its contents. The Class A ordinary shares are not being offered to the public in the United Kingdom.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Notice to Prospective Investors in Canada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Class A ordinary shares must be made in accordance with an exemption from, or in a transaction not subject to, the prospectus requirements of applicable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33-105 Underwriting Conflicts (NI 33-105), the placement agent is not required to comply with the disclosure requirements of NI 33-105 regarding underwriters conflicts of interest in connection with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s_010"/>
      <w:bookmarkEnd w:id="12"/>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Global (Cayman) Limited will pass upon the validity of the sale of the ordinary shares offered hereby for us. We are being represented by Cooley LLP with respect to legal matters of United States federal securities and New York State law. Cooley LLP may rely upon Ogier with respect to matters governed by Cayman Islands law. Certain legal matters in connection with this offering will be passed upon for the placement agent by Goodwin Procter LLP. Maples and Calder (Cayman) LLP is acting as counsel for the placement agent in connection with this offering with respect to Cayman Islands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s_011"/>
      <w:bookmarkEnd w:id="13"/>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Bitdeer Technologies Group incorporated in this prospectus by reference to the annual report on Form 20-F for the three years ended December 31, 2024 have been so incorporated in reliance on the report of MaloneBailey, LLP, an independent registered public accounting firm,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s_012"/>
      <w:bookmarkEnd w:id="14"/>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“shelf” registration statement (including amendments and exhibits to the registration statement) on Form F-3 under the Securities Act. This prospectus supplement, which is part of the registration statement, does not contain all of the information included in the registration statement. For further information pertaining to us and our securities, you should refer to the registration statement and our exhibits.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applicable to foreign private issuers. Accordingly, we are required to file or furnish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s_013"/>
      <w:bookmarkEnd w:id="15"/>
      <w:r>
        <w:rPr>
          <w:rFonts w:ascii="Times New Roman;Times;Serif" w:hAnsi="Times New Roman;Times;Serif"/>
          <w:b/>
          <w:i w:val="false"/>
          <w:caps/>
          <w:sz w:val="20"/>
        </w:rPr>
        <w:t>INFORMATION INCORPORATED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incorporates by reference important information about the Company that is not included in or delivered with this document. The information incorporated by reference is considered to be part of this prospectus supplement, and the SEC allows us to “incorporate by reference” the information we file with it, which means that we can disclose important information to you by referring you to those documents instead of having to repeat the information in this prospectus supplement. Any statement contained in any document incorporated or deemed to be incorporated by reference herein shall be deemed to be modified or superseded for purposes of this prospectus supplement to the extent that a statement contained in this prospectus supplement or any accompanying prospectus,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 We incorporate by reference:</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Annual Report on </w:t>
            </w:r>
            <w:hyperlink r:id="rId3">
              <w:r>
                <w:rPr>
                  <w:rStyle w:val="InternetLink"/>
                  <w:rFonts w:ascii="Times New Roman;Times;Serif" w:hAnsi="Times New Roman;Times;Serif"/>
                </w:rPr>
                <w:t>Form 20-F</w:t>
              </w:r>
            </w:hyperlink>
            <w:r>
              <w:rPr>
                <w:rFonts w:ascii="Times New Roman;Times;Serif" w:hAnsi="Times New Roman;Times;Serif"/>
              </w:rPr>
              <w:t xml:space="preserve"> for the year ended December 31, 2024 filed with the SEC on April 21,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the description of our ordinary shares contained in our registration statement on </w:t>
            </w:r>
            <w:hyperlink r:id="rId4">
              <w:r>
                <w:rPr>
                  <w:rStyle w:val="InternetLink"/>
                  <w:rFonts w:ascii="Times New Roman;Times;Serif" w:hAnsi="Times New Roman;Times;Serif"/>
                  <w:strike w:val="false"/>
                  <w:dstrike w:val="false"/>
                  <w:u w:val="single"/>
                  <w:effect w:val="none"/>
                </w:rPr>
                <w:t>Form 8-A</w:t>
              </w:r>
            </w:hyperlink>
            <w:r>
              <w:rPr>
                <w:rFonts w:ascii="Times New Roman;Times;Serif" w:hAnsi="Times New Roman;Times;Serif"/>
                <w:strike w:val="false"/>
                <w:dstrike w:val="false"/>
                <w:u w:val="none"/>
                <w:effect w:val="none"/>
              </w:rPr>
              <w:t xml:space="preserve"> </w:t>
            </w:r>
            <w:r>
              <w:rPr>
                <w:rFonts w:ascii="Times New Roman;Times;Serif" w:hAnsi="Times New Roman;Times;Serif"/>
              </w:rPr>
              <w:t>filed with the SEC on April 12, 2023, and any amendment or report filed for the purpose of updating such description;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5">
              <w:r>
                <w:rPr>
                  <w:rStyle w:val="InternetLink"/>
                  <w:rFonts w:ascii="Times New Roman;Times;Serif" w:hAnsi="Times New Roman;Times;Serif"/>
                </w:rPr>
                <w:t>Form 6-K</w:t>
              </w:r>
            </w:hyperlink>
            <w:r>
              <w:rPr>
                <w:rFonts w:ascii="Times New Roman;Times;Serif" w:hAnsi="Times New Roman;Times;Serif"/>
              </w:rPr>
              <w:t xml:space="preserve"> furnished to the SEC on May 15, 2025 that attaches as an exhibit our Unaudited Interim Condensed Consolidated Financial Statements, both for the three months ended March 31, 2024 and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6">
              <w:r>
                <w:rPr>
                  <w:rStyle w:val="InternetLink"/>
                  <w:rFonts w:ascii="Times New Roman;Times;Serif" w:hAnsi="Times New Roman;Times;Serif"/>
                </w:rPr>
                <w:t>Form 6-K</w:t>
              </w:r>
            </w:hyperlink>
            <w:r>
              <w:rPr>
                <w:rFonts w:ascii="Times New Roman;Times;Serif" w:hAnsi="Times New Roman;Times;Serif"/>
              </w:rPr>
              <w:t xml:space="preserve"> furnished to the SEC on May 30, 2025 that announces the completion of our US$20.0 million share repurchase program approved in February 2025 and the approval of a new US$40.0 million share repurchase program;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7">
              <w:r>
                <w:rPr>
                  <w:rStyle w:val="InternetLink"/>
                  <w:rFonts w:ascii="Times New Roman;Times;Serif" w:hAnsi="Times New Roman;Times;Serif"/>
                </w:rPr>
                <w:t>Form 6-K</w:t>
              </w:r>
            </w:hyperlink>
            <w:r>
              <w:rPr>
                <w:rFonts w:ascii="Times New Roman;Times;Serif" w:hAnsi="Times New Roman;Times;Serif"/>
              </w:rPr>
              <w:t xml:space="preserve"> furnished to the SEC on June 6, 2025 that announces (i) the resignation of Mr. Linghui Kong as a member of the Company’s board of directors (the “Board”), a member of the compensation committee of the Board (the “Compensation Committee”) and a member of the nominating and corporate governance committee of the Board (the “Nominating and Corporate Governance Committee”), (ii) the appointment of Ms. Chao Suo to serve as a member of the Compensation Committee, and (iii) the appointment of Mr. Yeow Beng Lim to serve as a member of the Board and a member of the Nominating and Corporate Governance Committee;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8">
              <w:r>
                <w:rPr>
                  <w:rStyle w:val="InternetLink"/>
                  <w:rFonts w:ascii="Times New Roman;Times;Serif" w:hAnsi="Times New Roman;Times;Serif"/>
                </w:rPr>
                <w:t>Form 6-K</w:t>
              </w:r>
            </w:hyperlink>
            <w:r>
              <w:rPr>
                <w:rFonts w:ascii="Times New Roman;Times;Serif" w:hAnsi="Times New Roman;Times;Serif"/>
              </w:rPr>
              <w:t xml:space="preserve"> furnished to the SEC on June 18, 2025 that announces the pricing of our offering of US$330.0 million of 4.875% Convertible Senior Notes due 2031;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9">
              <w:r>
                <w:rPr>
                  <w:rStyle w:val="InternetLink"/>
                  <w:rFonts w:ascii="Times New Roman;Times;Serif" w:hAnsi="Times New Roman;Times;Serif"/>
                </w:rPr>
                <w:t>Form 6-K</w:t>
              </w:r>
            </w:hyperlink>
            <w:r>
              <w:rPr>
                <w:rFonts w:ascii="Times New Roman;Times;Serif" w:hAnsi="Times New Roman;Times;Serif"/>
              </w:rPr>
              <w:t xml:space="preserve"> furnished to the SEC on June 23, 2025 that announces the closing of our offering of US$330.0 million of 4.875% Convertible Senior Notes due 2031;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10">
              <w:r>
                <w:rPr>
                  <w:rStyle w:val="InternetLink"/>
                  <w:rFonts w:ascii="Times New Roman;Times;Serif" w:hAnsi="Times New Roman;Times;Serif"/>
                </w:rPr>
                <w:t>Form 6-K</w:t>
              </w:r>
            </w:hyperlink>
            <w:r>
              <w:rPr>
                <w:rFonts w:ascii="Times New Roman;Times;Serif" w:hAnsi="Times New Roman;Times;Serif"/>
              </w:rPr>
              <w:t xml:space="preserve"> furnished to the SEC on June 30, 2025 that announces the completion of private placement of an additional US$45.0 million principal amount of 4.875% Convertible Senior Notes due 2031, pursuant to the full exercise by the initial purchasers of their option granted in connection with the Company’s previously announced private placement of US$330.0 million principal amount of notes;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11">
              <w:r>
                <w:rPr>
                  <w:rStyle w:val="InternetLink"/>
                  <w:rFonts w:ascii="Times New Roman;Times;Serif" w:hAnsi="Times New Roman;Times;Serif"/>
                </w:rPr>
                <w:t>Form 6-K</w:t>
              </w:r>
            </w:hyperlink>
            <w:r>
              <w:rPr>
                <w:rFonts w:ascii="Times New Roman;Times;Serif" w:hAnsi="Times New Roman;Times;Serif"/>
              </w:rPr>
              <w:t xml:space="preserve"> furnished to the SEC on August 19, 2025 that attaches as an exhibit a press release related to our unaudited financial results for the second quarter of 2025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12">
              <w:r>
                <w:rPr>
                  <w:rStyle w:val="InternetLink"/>
                  <w:rFonts w:ascii="Times New Roman;Times;Serif" w:hAnsi="Times New Roman;Times;Serif"/>
                </w:rPr>
                <w:t>Form 6-K</w:t>
              </w:r>
            </w:hyperlink>
            <w:r>
              <w:rPr>
                <w:rFonts w:ascii="Times New Roman;Times;Serif" w:hAnsi="Times New Roman;Times;Serif"/>
              </w:rPr>
              <w:t xml:space="preserve"> furnished to the SEC on September 8, 2025 that announces the cleanup redemption for all $7,700,000 aggregate principal amount outstanding of its 8.5% Convertible Senior Notes due 2029;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13">
              <w:r>
                <w:rPr>
                  <w:rStyle w:val="InternetLink"/>
                  <w:rFonts w:ascii="Times New Roman;Times;Serif" w:hAnsi="Times New Roman;Times;Serif"/>
                </w:rPr>
                <w:t>Form 6-K</w:t>
              </w:r>
            </w:hyperlink>
            <w:r>
              <w:rPr>
                <w:rFonts w:ascii="Times New Roman;Times;Serif" w:hAnsi="Times New Roman;Times;Serif"/>
              </w:rPr>
              <w:t xml:space="preserve"> furnished to the SEC on September 29, 2025 that attaches as an exhibit our Unaudited Interim Condensed Consolidated Financial Statements, as of June 30, 2025 and December 31, 2024 and for the Six Months Ended June 30, 2025 and 2024, and an exhibit related to certain recent developments;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14">
              <w:r>
                <w:rPr>
                  <w:rStyle w:val="InternetLink"/>
                  <w:rFonts w:ascii="Times New Roman;Times;Serif" w:hAnsi="Times New Roman;Times;Serif"/>
                </w:rPr>
                <w:t>Form 6-K</w:t>
              </w:r>
            </w:hyperlink>
            <w:r>
              <w:rPr>
                <w:rFonts w:ascii="Times New Roman;Times;Serif" w:hAnsi="Times New Roman;Times;Serif"/>
              </w:rPr>
              <w:t xml:space="preserve"> furnished to the SEC on November 10, 2025 that attaches as an exhibit a press release related to our unaudited financial results for the third quarter of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offering covered by this prospectus supplement, shall be incorporated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filings with the SEC, including annual reports on Form 20-F and current reports on Form 6-K and amendments to those reports, are available electronically on the SEC’s website at www.sec.gov.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 Kallang Avenue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Aperia tower 1, #09-03/04</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339509</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+65 62828220</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96215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962150"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US$1,000,000,000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Ordinary Shares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Debt Securities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from time to time up to US$1,000,000,000 of any combination of our ordinary shares, debt securities and warrants (collectively, the “securities”), in one or more offerings. We may offer, issue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the section titled “Plan of Distribution” beginning on page 21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The Nasdaq Capital Market (“Nasdaq”) under the symbol “BTDR.” On December 10, 2024, the closing price of our Class A ordinary shares was US$18.9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the section titled “Risk Factors” beginning on page 6 of this prospectus and, if applicable, any risk factors described in any applicable prospectus supplement and in our U.S. Securities and Exchange Commission (“SEC”) filings that are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 or any state securities commission has approved or disapproved of the securities or determined if this prospectus is accurate or adequate.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8840"/>
        <w:gridCol w:w="275"/>
      </w:tblGrid>
      <w:tr>
        <w:trPr/>
        <w:tc>
          <w:tcPr>
            <w:tcW w:w="884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jc w:val="center"/>
              <w:rPr/>
            </w:pPr>
            <w:r>
              <w:rPr/>
              <w:t>ii</w:t>
            </w:r>
          </w:p>
        </w:tc>
      </w:tr>
      <w:tr>
        <w:trPr/>
        <w:tc>
          <w:tcPr>
            <w:tcW w:w="8840" w:type="dxa"/>
            <w:tcBorders/>
            <w:shd w:fill="FFFFFF" w:val="clear"/>
            <w:vAlign w:val="center"/>
          </w:tcPr>
          <w:p>
            <w:pPr>
              <w:pStyle w:val="TableContents"/>
              <w:bidi w:val="0"/>
              <w:spacing w:before="0" w:after="283"/>
              <w:jc w:val="left"/>
              <w:rPr/>
            </w:pPr>
            <w:hyperlink w:anchor="a_002">
              <w:r>
                <w:rPr>
                  <w:rStyle w:val="InternetLink"/>
                </w:rPr>
                <w:t>MARKET PRICE INFORMATION</w:t>
              </w:r>
            </w:hyperlink>
          </w:p>
        </w:tc>
        <w:tc>
          <w:tcPr>
            <w:tcW w:w="275" w:type="dxa"/>
            <w:tcBorders/>
            <w:shd w:fill="FFFFFF" w:val="clear"/>
            <w:vAlign w:val="center"/>
          </w:tcPr>
          <w:p>
            <w:pPr>
              <w:pStyle w:val="TableContents"/>
              <w:bidi w:val="0"/>
              <w:spacing w:before="0" w:after="283"/>
              <w:jc w:val="center"/>
              <w:rPr/>
            </w:pPr>
            <w:r>
              <w:rPr/>
              <w:t>iii</w:t>
            </w:r>
          </w:p>
        </w:tc>
      </w:tr>
      <w:tr>
        <w:trPr/>
        <w:tc>
          <w:tcPr>
            <w:tcW w:w="8840" w:type="dxa"/>
            <w:tcBorders/>
            <w:shd w:fill="CCEEFF" w:val="clear"/>
            <w:vAlign w:val="center"/>
          </w:tcPr>
          <w:p>
            <w:pPr>
              <w:pStyle w:val="TableContents"/>
              <w:bidi w:val="0"/>
              <w:spacing w:before="0" w:after="283"/>
              <w:jc w:val="left"/>
              <w:rPr/>
            </w:pPr>
            <w:hyperlink w:anchor="a_003">
              <w:r>
                <w:rPr>
                  <w:rStyle w:val="InternetLink"/>
                </w:rPr>
                <w:t>CAUTIONARY STATEMENT REGARDING FORWARD-LOOKING STATEMENTS</w:t>
              </w:r>
            </w:hyperlink>
          </w:p>
        </w:tc>
        <w:tc>
          <w:tcPr>
            <w:tcW w:w="275" w:type="dxa"/>
            <w:tcBorders/>
            <w:shd w:fill="CCEEFF" w:val="clear"/>
            <w:vAlign w:val="center"/>
          </w:tcPr>
          <w:p>
            <w:pPr>
              <w:pStyle w:val="TableContents"/>
              <w:bidi w:val="0"/>
              <w:spacing w:before="0" w:after="283"/>
              <w:jc w:val="center"/>
              <w:rPr/>
            </w:pPr>
            <w:r>
              <w:rPr/>
              <w:t>iv</w:t>
            </w:r>
          </w:p>
        </w:tc>
      </w:tr>
      <w:tr>
        <w:trPr/>
        <w:tc>
          <w:tcPr>
            <w:tcW w:w="8840" w:type="dxa"/>
            <w:tcBorders/>
            <w:shd w:fill="FFFFFF" w:val="clear"/>
            <w:vAlign w:val="center"/>
          </w:tcPr>
          <w:p>
            <w:pPr>
              <w:pStyle w:val="TableContents"/>
              <w:bidi w:val="0"/>
              <w:spacing w:before="0" w:after="283"/>
              <w:jc w:val="left"/>
              <w:rPr/>
            </w:pPr>
            <w:hyperlink w:anchor="a_004">
              <w:r>
                <w:rPr>
                  <w:rStyle w:val="InternetLink"/>
                </w:rPr>
                <w:t>PROSPECTUS SUMMARY</w:t>
              </w:r>
            </w:hyperlink>
          </w:p>
        </w:tc>
        <w:tc>
          <w:tcPr>
            <w:tcW w:w="275" w:type="dxa"/>
            <w:tcBorders/>
            <w:shd w:fill="FFFFFF" w:val="clear"/>
            <w:vAlign w:val="center"/>
          </w:tcPr>
          <w:p>
            <w:pPr>
              <w:pStyle w:val="TableContents"/>
              <w:bidi w:val="0"/>
              <w:spacing w:before="0" w:after="283"/>
              <w:jc w:val="center"/>
              <w:rPr/>
            </w:pPr>
            <w:r>
              <w:rPr/>
              <w:t>1</w:t>
            </w:r>
          </w:p>
        </w:tc>
      </w:tr>
      <w:tr>
        <w:trPr/>
        <w:tc>
          <w:tcPr>
            <w:tcW w:w="8840"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275" w:type="dxa"/>
            <w:tcBorders/>
            <w:shd w:fill="CCEEFF" w:val="clear"/>
            <w:vAlign w:val="center"/>
          </w:tcPr>
          <w:p>
            <w:pPr>
              <w:pStyle w:val="TableContents"/>
              <w:bidi w:val="0"/>
              <w:spacing w:before="0" w:after="283"/>
              <w:jc w:val="center"/>
              <w:rPr/>
            </w:pPr>
            <w:r>
              <w:rPr/>
              <w:t>6</w:t>
            </w:r>
          </w:p>
        </w:tc>
      </w:tr>
      <w:tr>
        <w:trPr/>
        <w:tc>
          <w:tcPr>
            <w:tcW w:w="884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275" w:type="dxa"/>
            <w:tcBorders/>
            <w:shd w:fill="FFFFFF" w:val="clear"/>
            <w:vAlign w:val="center"/>
          </w:tcPr>
          <w:p>
            <w:pPr>
              <w:pStyle w:val="TableContents"/>
              <w:bidi w:val="0"/>
              <w:spacing w:before="0" w:after="283"/>
              <w:jc w:val="center"/>
              <w:rPr/>
            </w:pPr>
            <w:r>
              <w:rPr/>
              <w:t>7</w:t>
            </w:r>
          </w:p>
        </w:tc>
      </w:tr>
      <w:tr>
        <w:trPr/>
        <w:tc>
          <w:tcPr>
            <w:tcW w:w="8840" w:type="dxa"/>
            <w:tcBorders/>
            <w:shd w:fill="CCEEFF" w:val="clear"/>
            <w:vAlign w:val="center"/>
          </w:tcPr>
          <w:p>
            <w:pPr>
              <w:pStyle w:val="TableContents"/>
              <w:bidi w:val="0"/>
              <w:spacing w:before="0" w:after="283"/>
              <w:jc w:val="left"/>
              <w:rPr/>
            </w:pPr>
            <w:hyperlink w:anchor="a_007">
              <w:r>
                <w:rPr>
                  <w:rStyle w:val="InternetLink"/>
                </w:rPr>
                <w:t>DIVIDEND POLICY</w:t>
              </w:r>
            </w:hyperlink>
          </w:p>
        </w:tc>
        <w:tc>
          <w:tcPr>
            <w:tcW w:w="275" w:type="dxa"/>
            <w:tcBorders/>
            <w:shd w:fill="CCEEFF" w:val="clear"/>
            <w:vAlign w:val="center"/>
          </w:tcPr>
          <w:p>
            <w:pPr>
              <w:pStyle w:val="TableContents"/>
              <w:bidi w:val="0"/>
              <w:spacing w:before="0" w:after="283"/>
              <w:jc w:val="center"/>
              <w:rPr/>
            </w:pPr>
            <w:r>
              <w:rPr/>
              <w:t>8</w:t>
            </w:r>
          </w:p>
        </w:tc>
      </w:tr>
      <w:tr>
        <w:trPr/>
        <w:tc>
          <w:tcPr>
            <w:tcW w:w="8840" w:type="dxa"/>
            <w:tcBorders/>
            <w:shd w:fill="FFFFFF" w:val="clear"/>
            <w:vAlign w:val="center"/>
          </w:tcPr>
          <w:p>
            <w:pPr>
              <w:pStyle w:val="TableContents"/>
              <w:bidi w:val="0"/>
              <w:spacing w:before="0" w:after="283"/>
              <w:jc w:val="left"/>
              <w:rPr/>
            </w:pPr>
            <w:hyperlink w:anchor="a_008">
              <w:r>
                <w:rPr>
                  <w:rStyle w:val="InternetLink"/>
                </w:rPr>
                <w:t>DESCRIPTION OF SECURITIES</w:t>
              </w:r>
            </w:hyperlink>
          </w:p>
        </w:tc>
        <w:tc>
          <w:tcPr>
            <w:tcW w:w="275" w:type="dxa"/>
            <w:tcBorders/>
            <w:shd w:fill="FFFFFF" w:val="clear"/>
            <w:vAlign w:val="center"/>
          </w:tcPr>
          <w:p>
            <w:pPr>
              <w:pStyle w:val="TableContents"/>
              <w:bidi w:val="0"/>
              <w:spacing w:before="0" w:after="283"/>
              <w:jc w:val="center"/>
              <w:rPr/>
            </w:pPr>
            <w:r>
              <w:rPr/>
              <w:t>9</w:t>
            </w:r>
          </w:p>
        </w:tc>
      </w:tr>
      <w:tr>
        <w:trPr/>
        <w:tc>
          <w:tcPr>
            <w:tcW w:w="8840" w:type="dxa"/>
            <w:tcBorders/>
            <w:shd w:fill="CCEEFF" w:val="clear"/>
            <w:vAlign w:val="center"/>
          </w:tcPr>
          <w:p>
            <w:pPr>
              <w:pStyle w:val="TableContents"/>
              <w:bidi w:val="0"/>
              <w:spacing w:before="0" w:after="283"/>
              <w:jc w:val="left"/>
              <w:rPr/>
            </w:pPr>
            <w:hyperlink w:anchor="a_009">
              <w:r>
                <w:rPr>
                  <w:rStyle w:val="InternetLink"/>
                </w:rPr>
                <w:t>FORMS OF SECURITIES</w:t>
              </w:r>
            </w:hyperlink>
          </w:p>
        </w:tc>
        <w:tc>
          <w:tcPr>
            <w:tcW w:w="275" w:type="dxa"/>
            <w:tcBorders/>
            <w:shd w:fill="CCEEFF" w:val="clear"/>
            <w:vAlign w:val="center"/>
          </w:tcPr>
          <w:p>
            <w:pPr>
              <w:pStyle w:val="TableContents"/>
              <w:bidi w:val="0"/>
              <w:spacing w:before="0" w:after="283"/>
              <w:jc w:val="center"/>
              <w:rPr/>
            </w:pPr>
            <w:r>
              <w:rPr/>
              <w:t>19</w:t>
            </w:r>
          </w:p>
        </w:tc>
      </w:tr>
      <w:tr>
        <w:trPr/>
        <w:tc>
          <w:tcPr>
            <w:tcW w:w="8840" w:type="dxa"/>
            <w:tcBorders/>
            <w:shd w:fill="FFFFFF" w:val="clear"/>
            <w:vAlign w:val="center"/>
          </w:tcPr>
          <w:p>
            <w:pPr>
              <w:pStyle w:val="TableContents"/>
              <w:bidi w:val="0"/>
              <w:spacing w:before="0" w:after="283"/>
              <w:jc w:val="left"/>
              <w:rPr/>
            </w:pPr>
            <w:hyperlink w:anchor="a_010">
              <w:r>
                <w:rPr>
                  <w:rStyle w:val="InternetLink"/>
                </w:rPr>
                <w:t>PLAN OF DISTRIBUTION</w:t>
              </w:r>
            </w:hyperlink>
          </w:p>
        </w:tc>
        <w:tc>
          <w:tcPr>
            <w:tcW w:w="275" w:type="dxa"/>
            <w:tcBorders/>
            <w:shd w:fill="FFFFFF" w:val="clear"/>
            <w:vAlign w:val="center"/>
          </w:tcPr>
          <w:p>
            <w:pPr>
              <w:pStyle w:val="TableContents"/>
              <w:bidi w:val="0"/>
              <w:spacing w:before="0" w:after="283"/>
              <w:jc w:val="center"/>
              <w:rPr/>
            </w:pPr>
            <w:r>
              <w:rPr/>
              <w:t>21</w:t>
            </w:r>
          </w:p>
        </w:tc>
      </w:tr>
      <w:tr>
        <w:trPr/>
        <w:tc>
          <w:tcPr>
            <w:tcW w:w="8840" w:type="dxa"/>
            <w:tcBorders/>
            <w:shd w:fill="CCEEFF" w:val="clear"/>
            <w:vAlign w:val="center"/>
          </w:tcPr>
          <w:p>
            <w:pPr>
              <w:pStyle w:val="TableContents"/>
              <w:bidi w:val="0"/>
              <w:spacing w:before="0" w:after="283"/>
              <w:jc w:val="left"/>
              <w:rPr/>
            </w:pPr>
            <w:hyperlink w:anchor="a_011">
              <w:r>
                <w:rPr>
                  <w:rStyle w:val="InternetLink"/>
                </w:rPr>
                <w:t>EXPENSES RELATED TO THE OFFERING</w:t>
              </w:r>
            </w:hyperlink>
          </w:p>
        </w:tc>
        <w:tc>
          <w:tcPr>
            <w:tcW w:w="275" w:type="dxa"/>
            <w:tcBorders/>
            <w:shd w:fill="CCEEFF" w:val="clear"/>
            <w:vAlign w:val="center"/>
          </w:tcPr>
          <w:p>
            <w:pPr>
              <w:pStyle w:val="TableContents"/>
              <w:bidi w:val="0"/>
              <w:spacing w:before="0" w:after="283"/>
              <w:jc w:val="center"/>
              <w:rPr/>
            </w:pPr>
            <w:r>
              <w:rPr/>
              <w:t>23</w:t>
            </w:r>
          </w:p>
        </w:tc>
      </w:tr>
      <w:tr>
        <w:trPr/>
        <w:tc>
          <w:tcPr>
            <w:tcW w:w="8840" w:type="dxa"/>
            <w:tcBorders/>
            <w:shd w:fill="FFFFFF" w:val="clear"/>
            <w:vAlign w:val="center"/>
          </w:tcPr>
          <w:p>
            <w:pPr>
              <w:pStyle w:val="TableContents"/>
              <w:bidi w:val="0"/>
              <w:spacing w:before="0" w:after="283"/>
              <w:jc w:val="left"/>
              <w:rPr/>
            </w:pPr>
            <w:hyperlink w:anchor="a_012">
              <w:r>
                <w:rPr>
                  <w:rStyle w:val="InternetLink"/>
                </w:rPr>
                <w:t>TAX CONSIDERATIONS</w:t>
              </w:r>
            </w:hyperlink>
          </w:p>
        </w:tc>
        <w:tc>
          <w:tcPr>
            <w:tcW w:w="275" w:type="dxa"/>
            <w:tcBorders/>
            <w:shd w:fill="FFFFFF" w:val="clear"/>
            <w:vAlign w:val="center"/>
          </w:tcPr>
          <w:p>
            <w:pPr>
              <w:pStyle w:val="TableContents"/>
              <w:bidi w:val="0"/>
              <w:spacing w:before="0" w:after="283"/>
              <w:jc w:val="center"/>
              <w:rPr/>
            </w:pPr>
            <w:r>
              <w:rPr/>
              <w:t>24</w:t>
            </w:r>
          </w:p>
        </w:tc>
      </w:tr>
      <w:tr>
        <w:trPr/>
        <w:tc>
          <w:tcPr>
            <w:tcW w:w="8840" w:type="dxa"/>
            <w:tcBorders/>
            <w:shd w:fill="CCEEFF" w:val="clear"/>
            <w:vAlign w:val="center"/>
          </w:tcPr>
          <w:p>
            <w:pPr>
              <w:pStyle w:val="TableContents"/>
              <w:bidi w:val="0"/>
              <w:spacing w:before="0" w:after="283"/>
              <w:jc w:val="left"/>
              <w:rPr/>
            </w:pPr>
            <w:hyperlink w:anchor="a_013">
              <w:r>
                <w:rPr>
                  <w:rStyle w:val="InternetLink"/>
                </w:rPr>
                <w:t>LEGAL MATTERS</w:t>
              </w:r>
            </w:hyperlink>
          </w:p>
        </w:tc>
        <w:tc>
          <w:tcPr>
            <w:tcW w:w="275" w:type="dxa"/>
            <w:tcBorders/>
            <w:shd w:fill="CCEEFF" w:val="clear"/>
            <w:vAlign w:val="center"/>
          </w:tcPr>
          <w:p>
            <w:pPr>
              <w:pStyle w:val="TableContents"/>
              <w:bidi w:val="0"/>
              <w:spacing w:before="0" w:after="283"/>
              <w:jc w:val="center"/>
              <w:rPr/>
            </w:pPr>
            <w:r>
              <w:rPr/>
              <w:t>29</w:t>
            </w:r>
          </w:p>
        </w:tc>
      </w:tr>
      <w:tr>
        <w:trPr/>
        <w:tc>
          <w:tcPr>
            <w:tcW w:w="8840" w:type="dxa"/>
            <w:tcBorders/>
            <w:shd w:fill="FFFFFF" w:val="clear"/>
            <w:vAlign w:val="center"/>
          </w:tcPr>
          <w:p>
            <w:pPr>
              <w:pStyle w:val="TableContents"/>
              <w:bidi w:val="0"/>
              <w:spacing w:before="0" w:after="283"/>
              <w:jc w:val="left"/>
              <w:rPr/>
            </w:pPr>
            <w:hyperlink w:anchor="a_014">
              <w:r>
                <w:rPr>
                  <w:rStyle w:val="InternetLink"/>
                </w:rPr>
                <w:t>EXPERTS</w:t>
              </w:r>
            </w:hyperlink>
          </w:p>
        </w:tc>
        <w:tc>
          <w:tcPr>
            <w:tcW w:w="275" w:type="dxa"/>
            <w:tcBorders/>
            <w:shd w:fill="FFFFFF" w:val="clear"/>
            <w:vAlign w:val="center"/>
          </w:tcPr>
          <w:p>
            <w:pPr>
              <w:pStyle w:val="TableContents"/>
              <w:bidi w:val="0"/>
              <w:spacing w:before="0" w:after="283"/>
              <w:jc w:val="center"/>
              <w:rPr/>
            </w:pPr>
            <w:r>
              <w:rPr/>
              <w:t>30</w:t>
            </w:r>
          </w:p>
        </w:tc>
      </w:tr>
      <w:tr>
        <w:trPr/>
        <w:tc>
          <w:tcPr>
            <w:tcW w:w="8840" w:type="dxa"/>
            <w:tcBorders/>
            <w:shd w:fill="CCEEFF" w:val="clear"/>
            <w:vAlign w:val="center"/>
          </w:tcPr>
          <w:p>
            <w:pPr>
              <w:pStyle w:val="TableContents"/>
              <w:bidi w:val="0"/>
              <w:spacing w:before="0" w:after="283"/>
              <w:jc w:val="left"/>
              <w:rPr/>
            </w:pPr>
            <w:hyperlink w:anchor="a_015">
              <w:r>
                <w:rPr>
                  <w:rStyle w:val="InternetLink"/>
                </w:rPr>
                <w:t>ENFORCEABILITY OF CIVIL LIABILITY</w:t>
              </w:r>
            </w:hyperlink>
          </w:p>
        </w:tc>
        <w:tc>
          <w:tcPr>
            <w:tcW w:w="275" w:type="dxa"/>
            <w:tcBorders/>
            <w:shd w:fill="CCEEFF" w:val="clear"/>
            <w:vAlign w:val="center"/>
          </w:tcPr>
          <w:p>
            <w:pPr>
              <w:pStyle w:val="TableContents"/>
              <w:bidi w:val="0"/>
              <w:spacing w:before="0" w:after="283"/>
              <w:jc w:val="center"/>
              <w:rPr/>
            </w:pPr>
            <w:r>
              <w:rPr/>
              <w:t>31</w:t>
            </w:r>
          </w:p>
        </w:tc>
      </w:tr>
      <w:tr>
        <w:trPr/>
        <w:tc>
          <w:tcPr>
            <w:tcW w:w="8840" w:type="dxa"/>
            <w:tcBorders/>
            <w:shd w:fill="FFFFFF" w:val="clear"/>
            <w:vAlign w:val="center"/>
          </w:tcPr>
          <w:p>
            <w:pPr>
              <w:pStyle w:val="TableContents"/>
              <w:bidi w:val="0"/>
              <w:spacing w:before="0" w:after="283"/>
              <w:jc w:val="left"/>
              <w:rPr/>
            </w:pPr>
            <w:hyperlink w:anchor="a_016">
              <w:r>
                <w:rPr>
                  <w:rStyle w:val="InternetLink"/>
                </w:rPr>
                <w:t>WHERE YOU CAN FIND MORE INFORMATION</w:t>
              </w:r>
            </w:hyperlink>
          </w:p>
        </w:tc>
        <w:tc>
          <w:tcPr>
            <w:tcW w:w="275" w:type="dxa"/>
            <w:tcBorders/>
            <w:shd w:fill="FFFFFF" w:val="clear"/>
            <w:vAlign w:val="center"/>
          </w:tcPr>
          <w:p>
            <w:pPr>
              <w:pStyle w:val="TableContents"/>
              <w:bidi w:val="0"/>
              <w:spacing w:before="0" w:after="283"/>
              <w:jc w:val="center"/>
              <w:rPr/>
            </w:pPr>
            <w:r>
              <w:rPr/>
              <w:t>32</w:t>
            </w:r>
          </w:p>
        </w:tc>
      </w:tr>
      <w:tr>
        <w:trPr/>
        <w:tc>
          <w:tcPr>
            <w:tcW w:w="8840" w:type="dxa"/>
            <w:tcBorders/>
            <w:shd w:fill="CCEEFF" w:val="clear"/>
            <w:vAlign w:val="center"/>
          </w:tcPr>
          <w:p>
            <w:pPr>
              <w:pStyle w:val="TableContents"/>
              <w:bidi w:val="0"/>
              <w:spacing w:before="0" w:after="283"/>
              <w:jc w:val="left"/>
              <w:rPr/>
            </w:pPr>
            <w:hyperlink w:anchor="a_017">
              <w:r>
                <w:rPr>
                  <w:rStyle w:val="InternetLink"/>
                </w:rPr>
                <w:t>INFORMATION INCORPORATED BY REFERENCE</w:t>
              </w:r>
            </w:hyperlink>
          </w:p>
        </w:tc>
        <w:tc>
          <w:tcPr>
            <w:tcW w:w="275" w:type="dxa"/>
            <w:tcBorders/>
            <w:shd w:fill="CCEEFF" w:val="clear"/>
            <w:vAlign w:val="center"/>
          </w:tcPr>
          <w:p>
            <w:pPr>
              <w:pStyle w:val="TableContents"/>
              <w:bidi w:val="0"/>
              <w:spacing w:before="0" w:after="283"/>
              <w:jc w:val="center"/>
              <w:rPr/>
            </w:pPr>
            <w:r>
              <w:rPr/>
              <w:t>33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a_001"/>
      <w:bookmarkEnd w:id="16"/>
      <w:r>
        <w:rPr>
          <w:rFonts w:ascii="Times New Roman;Times;Serif" w:hAnsi="Times New Roman;Times;Serif"/>
          <w:b/>
          <w:i w:val="false"/>
          <w:caps w:val="false"/>
          <w:smallCaps w:val="false"/>
          <w:sz w:val="20"/>
        </w:rPr>
        <w:t xml:space="preserve">ABOUT THIS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 part of a registration statement that we filed with the SEC using a “shelf” registration process. Under this shelf registration process, we may, from time to time, sell up to US$1,000,000,000 of any combination of the securities described in this prospectus. This prospectus provides you with a general description of the securities that may be offered by us. Each time we sell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buying any of the securities we are offering, you should carefully read both this prospectus and any prospectus supplement with all of the information incorporated by reference in this prospectus, as well as the additional information described in the sections titled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underwriters, dealers or agents have authorized anyone to provide any information or to make any representations other than those contained in this prospectus, any accompanying prospectus supplement or any free writing prospectus we have prepared. Neither we nor any underwriters, dealers or agents take responsibility for, or provide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cover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proprietary rights to trademarks used in this prospectus that are important to our business, many of which are registered (or pending registration) under applicable intellectual property laws. 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a_002"/>
      <w:bookmarkEnd w:id="17"/>
      <w:r>
        <w:rPr>
          <w:rFonts w:ascii="Times New Roman;Times;Serif" w:hAnsi="Times New Roman;Times;Serif"/>
          <w:b/>
          <w:i w:val="false"/>
          <w:caps w:val="false"/>
          <w:smallCaps w:val="false"/>
          <w:sz w:val="20"/>
        </w:rPr>
        <w:t xml:space="preserve">MARKET PRICE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Nasdaq under the symbol “BTDR.” On December 10, 2024, the closing price for each Class A ordinary share was US$18.9. The market price of Class A ordinary shares could vary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3"/>
      <w:bookmarkEnd w:id="18"/>
      <w:r>
        <w:rPr>
          <w:rFonts w:ascii="Times New Roman;Times;Serif" w:hAnsi="Times New Roman;Times;Serif"/>
          <w:b/>
          <w:i w:val="false"/>
          <w:caps w:val="false"/>
          <w:smallCaps w:val="false"/>
          <w:sz w:val="20"/>
        </w:rPr>
        <w:t xml:space="preserve">CAUTIONARY STATEMENT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into this prospectus contain forward-looking statements that involve substantial risks and uncertainties. The Private Securities Litigation Reform Act of 1995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desires to take advantage of the safe harbor provisions of the PSLRA and is including this cautionary statement in connection with this safe harbor legislation.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7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both"/>
              <w:rPr/>
            </w:pPr>
            <w:r>
              <w:rPr/>
              <w:t>price and volatility of Bitcoin and other cryptocurrencies;</w:t>
            </w:r>
          </w:p>
        </w:tc>
      </w:tr>
    </w:tbl>
    <w:p>
      <w:pPr>
        <w:pStyle w:val="TextBody"/>
        <w:bidi w:val="0"/>
        <w:spacing w:before="0" w:after="0"/>
        <w:ind w:left="0" w:right="0" w:hanging="0"/>
        <w:jc w:val="left"/>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pPr>
            <w:r>
              <w:rPr/>
              <w:t>our ability to maintain competitive positions in proprietary hash rate;</w:t>
            </w:r>
          </w:p>
        </w:tc>
      </w:tr>
    </w:tbl>
    <w:p>
      <w:pPr>
        <w:pStyle w:val="TextBody"/>
        <w:bidi w:val="0"/>
        <w:spacing w:before="0" w:after="0"/>
        <w:ind w:left="0" w:right="0" w:hanging="0"/>
        <w:jc w:val="left"/>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pPr>
            <w:r>
              <w:rPr/>
              <w:t>our ability to procure and/or manufacture mining rigs at a lower cost;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expand mining datacenters or begin or complete any project that is “in the pipeline,” contracted or negotiated but not yet under active construction;</w:t>
            </w:r>
          </w:p>
        </w:tc>
      </w:tr>
    </w:tbl>
    <w:p>
      <w:pPr>
        <w:pStyle w:val="TextBody"/>
        <w:bidi w:val="0"/>
        <w:spacing w:before="0" w:after="0"/>
        <w:ind w:left="0" w:right="0" w:hanging="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pPr>
            <w:r>
              <w:rPr/>
              <w:t>our ability to develop and deploy new generations of mining rigs;</w:t>
            </w:r>
          </w:p>
        </w:tc>
      </w:tr>
    </w:tbl>
    <w:p>
      <w:pPr>
        <w:pStyle w:val="TextBody"/>
        <w:bidi w:val="0"/>
        <w:spacing w:before="0" w:after="0"/>
        <w:ind w:left="0" w:right="0" w:hanging="0"/>
        <w:jc w:val="left"/>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pPr>
            <w:r>
              <w:rPr/>
              <w:t>our ability to control electricity cost;</w:t>
            </w:r>
          </w:p>
        </w:tc>
      </w:tr>
    </w:tbl>
    <w:p>
      <w:pPr>
        <w:pStyle w:val="TextBody"/>
        <w:bidi w:val="0"/>
        <w:spacing w:before="0" w:after="0"/>
        <w:ind w:left="0" w:right="0" w:hanging="0"/>
        <w:jc w:val="left"/>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pPr>
            <w:r>
              <w:rPr/>
              <w:t>our ability to make effective judgments regarding pricing strategy and resource allocation;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upgrade and expand product offerings and to successfully develop our ASIC and HPC/AI business lines;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regulatory changes or actions that may restrict the use of cryptocurrencies or the operation of cryptocurrency networks in a manner that may require us to cease certain or all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risks to our business of earthquakes, fires, floods, and other natural catastrophic events and interruptions by man-made issues such as strikes and terrorist attacks;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volatility of the market price of our Class A ordinary shares, which could cause the value of your investment to decline;</w:t>
            </w:r>
          </w:p>
        </w:tc>
      </w:tr>
    </w:tbl>
    <w:p>
      <w:pPr>
        <w:pStyle w:val="TextBody"/>
        <w:bidi w:val="0"/>
        <w:spacing w:before="0" w:after="0"/>
        <w:ind w:left="0" w:right="0" w:hanging="0"/>
        <w:jc w:val="left"/>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pPr>
            <w:r>
              <w:rPr/>
              <w:t>the risk that an active trading market for our Class A ordinary shares may never develop or be sustained;</w:t>
            </w:r>
          </w:p>
        </w:tc>
      </w:tr>
    </w:tbl>
    <w:p>
      <w:pPr>
        <w:pStyle w:val="TextBody"/>
        <w:bidi w:val="0"/>
        <w:spacing w:before="0" w:after="0"/>
        <w:ind w:left="0" w:right="0" w:hanging="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pPr>
            <w:r>
              <w:rPr/>
              <w:t>our ability to maintain the listing of Class A ordinary shares on Nasdaq;</w:t>
            </w:r>
          </w:p>
        </w:tc>
      </w:tr>
    </w:tbl>
    <w:p>
      <w:pPr>
        <w:pStyle w:val="TextBody"/>
        <w:bidi w:val="0"/>
        <w:spacing w:before="0" w:after="0"/>
        <w:ind w:left="0" w:right="0" w:hanging="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pPr>
            <w:r>
              <w:rPr/>
              <w:t>the trading price of our securities, which has been and may continue to be volatile;</w:t>
            </w:r>
          </w:p>
        </w:tc>
      </w:tr>
    </w:tbl>
    <w:p>
      <w:pPr>
        <w:pStyle w:val="TextBody"/>
        <w:bidi w:val="0"/>
        <w:spacing w:before="0" w:after="0"/>
        <w:ind w:left="0" w:right="0" w:hanging="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pPr>
            <w:r>
              <w:rPr/>
              <w:t>unexpected costs or expenses;</w:t>
            </w:r>
          </w:p>
        </w:tc>
      </w:tr>
    </w:tbl>
    <w:p>
      <w:pPr>
        <w:pStyle w:val="TextBody"/>
        <w:bidi w:val="0"/>
        <w:spacing w:before="0" w:after="0"/>
        <w:ind w:left="0" w:right="0" w:hanging="0"/>
        <w:jc w:val="left"/>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pPr>
            <w:r>
              <w:rPr/>
              <w:t>future issuances, sales or resales of our Class A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our expectation regarding the use of proceeds from our financing activities;</w:t>
            </w:r>
          </w:p>
        </w:tc>
      </w:tr>
    </w:tbl>
    <w:p>
      <w:pPr>
        <w:pStyle w:val="TextBody"/>
        <w:bidi w:val="0"/>
        <w:spacing w:before="0" w:after="0"/>
        <w:ind w:left="0" w:right="0" w:hanging="0"/>
        <w:jc w:val="left"/>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pPr>
            <w:r>
              <w:rPr/>
              <w:t>our expectations regarding our cash runway;</w:t>
            </w:r>
          </w:p>
        </w:tc>
      </w:tr>
    </w:tbl>
    <w:p>
      <w:pPr>
        <w:pStyle w:val="TextBody"/>
        <w:bidi w:val="0"/>
        <w:spacing w:before="0" w:after="0"/>
        <w:ind w:left="0" w:right="0" w:hanging="0"/>
        <w:jc w:val="left"/>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pPr>
            <w:r>
              <w:rPr/>
              <w:t>general economic and business conditions in our markets;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other matters described in the section titled “Item 3.D. – Risk Factors” in our most recent annual report on Form 20-F for the year ended December 31, 2023, filed with the SEC on March 28, 2024,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not to rely on forward-looking statements, which reflect current beliefs and are based on information currently available as of the date a forward-looking statement is made. Forward-looking statements set forth herein speak only as of the date of this prospectus.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 For additional information, see the section titled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ranking and industry data used throughout this prospectus,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19" w:name="a_004"/>
      <w:bookmarkEnd w:id="19"/>
      <w:r>
        <w:rPr>
          <w:rFonts w:ascii="Times New Roman;Times;Serif" w:hAnsi="Times New Roman;Times;Serif"/>
          <w:b/>
          <w:i w:val="false"/>
          <w:caps w:val="false"/>
          <w:smallCaps w:val="false"/>
          <w:sz w:val="20"/>
          <w:bdr w:val="single" w:sz="12" w:space="5" w:color="000000"/>
        </w:rPr>
        <w:t xml:space="preserve">PROSPECTUS SUMMARY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discussed in the section titled “Risk Factors” beginning on page 6 of this prospectus, along with our consolidated financial statements and notes to those consolidated financial statements and the other information incorporated by reference in this prospectus.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The Company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world-leading technology company for blockchain and high-performance computing. We are committed to providing comprehensive computing solutions for our customers. We handle complex processes involved in computing, such as equipment procurement, transport logistics, datacenter design and construction, equipment management, and daily operations. We also offer advanced cloud capabilities to customers with high demand for artificial intelligence (AI). Headquartered in Singapore, we currently operate six mining datacenters in the United States, Norway and Bhutan with an aggregate electrical capacity of 895 MW as of November 30, 2024. From these mining datacenters, we generate hash rate under management which is categorized into proprietary and hosting hash rate. As of November 30, 2024, our proprietary hash rate was 8.8 EH/s. Together with the 11.9 EH/s hosting hash rate generated from mining rigs hosted in our mining datacenters, we possessed a total of 20.7 EH/s of hash rate under management as of November 30, 2024. We expect to continue increasing our hash rate through 2024 and beyond through conversion of our existing hosting capacity, executing on pipeline capacity, and pursuing expansion opportunities on a global scale. As of November 30, 2024, we possessed an aggregate pipeline capacity of 1,645 MW in the United States, Norway and Bhutan.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We primarily operate three business lines – “self-mining,” “hash rate sharing” and “hosting.” Self-mining refers to cryptocurrency mining for our own account, which allows us to directly capture the high appreciation potential of cryptocurrency. We offer two types of hash rate sharing solutions – Cloud Hash Rate and Hash Rate Marketplace. Through Cloud Hash Rate, our primary hash rate sharing solution, we sell our proprietary hash rate to customers, offering hash rate subscription plans at fixed prices and sharing mining income with them under certain arrangements. Through our Hash Rate Marketplace solution, we connect reliable third-party hash rate suppliers with hash rate users to facilitate hash rate sales and generate revenue from charging service fees. Our hosting services offer customers one-stop mining rig hosting solutions encompassing deployment, maintenance and management services for efficient cryptocurrency mining. Among a wide selection of hosting services, customers can either subscribe to our Cloud Hosting service for the specified mining rigs from which they derive computing power under a “group-buying” model, or send their mining rigs to our mining datacenters for hosting under the General Hosting option or the Membership Hosting option. All of our three business lines are supported by </w:t>
      </w:r>
      <w:r>
        <w:rPr>
          <w:rFonts w:ascii="Times New Roman;Times;Serif" w:hAnsi="Times New Roman;Times;Serif"/>
          <w:b w:val="false"/>
          <w:i/>
          <w:caps w:val="false"/>
          <w:smallCaps w:val="false"/>
          <w:sz w:val="20"/>
          <w:bdr w:val="single" w:sz="12" w:space="5" w:color="000000"/>
        </w:rPr>
        <w:t>Minerplus</w:t>
      </w:r>
      <w:r>
        <w:rPr>
          <w:rFonts w:ascii="Times New Roman;Times;Serif" w:hAnsi="Times New Roman;Times;Serif"/>
          <w:b w:val="false"/>
          <w:i w:val="false"/>
          <w:caps w:val="false"/>
          <w:smallCaps w:val="false"/>
          <w:sz w:val="20"/>
          <w:bdr w:val="single" w:sz="12" w:space="5" w:color="000000"/>
        </w:rPr>
        <w:t>, our self-developed integrated intelligent software platform, which offers software support to significantly reduce time needed for daily maintenance and mining rig upgrade and substantially decrease operations and maintenance headcount.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source mining rigs from a wide variety of manufacturers and traders with whom we have built robust relationships over the years. As a result, the majority of our mining rigs are the most recent and most commonly used models procured at a favorable price, which ensures high energy efficiency and stable hash rate supply both in quality and in quantum. We also engage in the sales of mining rigs from time to time. We stay at the forefront of technology development. As a market player with our proprietary hash rate slicing technology, we have been successfully maintaining a less than 2% fluctuation for 98% of our hash rate sales contracts as of December 31, 2023.</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we are developing two new business lines – “application-specific integrated circuit (ASIC) business” and “cloud high-performance computing (HPC) and AI business.” In our ASIC business, we leverage proprietary ASIC technology to develop, manufacture, and commercialize our SEALMINER mining rigs to diversify our revenue streams and accelerate the growth of our self-mining operations. We believe our ASIC technology platform will allow vertical integration and enable us to capture the upside ASIC margins via self-mining and sales of mining rigs to third parties. In our cloud HPC/AI business, we offer advanced cloud capabilities and HPC services to customers with high demand for AI and computing. We operate the first cloud service platform in Asia that offers AI cloud services powered by our NVIDIA DGX SuperPOD H100 system. Our AI cloud services help customers accelerate their development of generative AI, large language models (LLMs), and other AI workloads.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Summary of Risk Factors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An investment in our notes involves risks. Before you decide to buy our notes, you should consider carefully all of the information in this offering memorandum as well as the documents incorporated herein by reference, including the risk factors set forth in the section titled “Item 3. Key Information—D. Risk Factors” in our most recent annual report on Form 20-F for the year ended December 31, 2023, filed with the SEC on March 28, 2024, incorporated herein by reference. Any of these risks could have a material adverse effect on our business, prospects, financial condition and results of operations. In any such case, the trading price of our Class A ordinary shares and the value of the notes may decline, and you could lose all or part of your investment. See the section titled “Where You Can Find More Information” in this prospectus for information on where you can find the documents we have filed with or furnished to the SEC and which are incorporated by reference in this prospectus.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 xml:space="preserve">Risks Related to Our Business, Operations, Industry and Financial Condition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cryptocurrency industry in which we operate is characterized by constant changes. If we fail to continuously innovate and to provide solutions or services that meet the expectations of our customers, we may not be able to attract new customers or retain existing customers, and hence our business and results of operations may be adversely affected.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results of operations have been and are expected to continue to be significantly impacted by Bitcoin price fluctuation.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Delays in the expansion of existing mining datacenters or the construction of new mining datacenters or significant cost overruns could present significant risks to our business and could have a material adverse effect on our business, financial condition and results of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supply of Bitcoins available for mining is limited and we may not be able to quickly adapt to new businesses when all the Bitcoins have been mined.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Although we have an organic way of growing our mining fleets, our business is nevertheless capital intensive. We may need additional capital but may not be able to obtain it in a timely manner and on favorable terms or at all.</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not be able to maintain our competitive position as cryptocurrency networks are witnessing increases in the total network hash rate.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pPr>
            <w:r>
              <w:rPr/>
              <w:t>We may be unable to execute our growth strategies or effectively maintain our rapid growth trends.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Issues in the development and use of AI may result in reputational or competitive harm or liability.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fail to succeed in ASIC, cloud HPC and AI industry or other markets we seek to penetrate into, our revenues, growth prospects and financial condition could be materially and adversely affected.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ASIC business currently depends on supplies from a third-party foundry partner, and any failure to obtain sufficient foundry capacity from such third-party foundry partner would significantly delay the shipment of our products.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 xml:space="preserve">Risks Related to Cryptocurrencies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Because there has been limited precedent set for financial accounting for Bitcoin and other cryptocurrencies, the determinations that we have made for how to account for cryptocurrencies transactions may be subject to change.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loss or destruction of a private key required to access our cryptocurrency is irreversible. We also may temporarily lose access to our cryptocurrencies.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Bitcoin exchanges and wallets, and to a lesser extent, the Bitcoin network itself, may suffer from hacking and fraud risks, which may adversely erode user confidence in Bitcoin which would decrease the demand for our products and services. Further, digital asset exchanges on which crypto assets trade are relatively new and largely unregulated, and thus may be exposed to fraud and failure. Incorrect or fraudulent cryptocurrency transactions may be irreversible.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not have adequate sources of recovery if the cryptocurrencies held by us are lost, stolen or destroyed due to third-party cryptocurrencies custodial services or if we cannot redeem or withdraw our cryptocurrencies invested in crypto lending or investing activities. Such incidents could have a material adverse effect on our business, financial condition and results of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Potential that, in the event of a bankruptcy filing by a custodian, cryptocurrency held in custody could be determined to be property of a bankruptcy estate and we could be considered a general unsecured creditor thereof.</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 xml:space="preserve">Risks Related to Regulatory Compliance and Other Legal Matters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subject to a highly-evolving regulatory landscape and any adverse changes to, or our failure to comply with, any laws and regulations could adversely affect our business, reputation, prospects or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nature of our business requires the application of complex financial accounting rules, and there is limited guidance from accounting standard setting bodies. If financial accounting standards undergo significant changes, our operating results could be adversely affected.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interactions with a blockchain may expose us to specially designated nationals (“SDN”) or blocked persons or cause us to violate provisions of law that did not contemplate distribute ledger technology.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mining datacenters may be located on property whose owner has not obtained the approval of relevant authorities, and we may be ordered to relocate from that property.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we continue to expand and localize our international activities, our obligations to comply with the laws, rules, regulations and policies of a variety of jurisdictions will increase and we may be subject to investigations and enforcement actions by U.S. and non-U.S. regulators and governmental authorities.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 xml:space="preserve">Risks Related to Our Securities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market for Class A ordinary shares may not develop, which would adversely affect the liquidity and price of Class A ordinary shares.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issue additional Class A ordinary shares or other equity or convertible debt securities without approval of the holders of Class A ordinary shares, which would dilute existing ownership interests and may depress the market price of Class A ordinary shares.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dual-class structure of our ordinary shares may adversely affect price and liquidity of Class A ordinary shares.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Future sales, or the possibility of future sales of, a substantial number of our ordinary shares may depress the price of such securities.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 xml:space="preserve">Risks Related to Taxation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pPr>
            <w:r>
              <w:rPr/>
              <w:t>We are subject to tax risks related to our multinational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While we do not believe we were a PFIC for taxable year ended December 31, 2023, we may be or become a PFIC, which could result in adverse U.S. federal income tax consequences to U.S. Holders of Class A ordinary shares.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Because under certain attribution rules the Company’s non-U.S. subsidiaries may be treated as controlled foreign corporations for U.S. federal income tax purposes, there could be adverse U.S. federal income tax consequences to certain U.S. Holders of Class A ordinary shares who own, directly or indirectly, ten percent or more of Class A ordinary shares.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Emerging Growth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“emerging growth company,” as defined in Section 2(a) of the Securities Act of 1933, as amended (the “Securities Act”), as modified by the Jumpstart Our Business Startups Act of 2012 (the “JOBS Act”), and we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JOBS Act also exempts us from having to provide an auditor attestation of internal control over financial reporting under Section 404(b) of Sarbanes-Oxley Act of 2002. We expect to lose emerging growth company status on December 31, 2024.</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Foreign Private Issuer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a “foreign private issuer,” we will be subject to different U.S. securities laws than domestic U.S. issuers. The rules governing the information that we must disclose differ from those governing U.S. companies pursuant to the Exchange Act. We will be exempt from the rules under the Exchange Act prescribing the furnishing and content of proxy statements to shareholders. Those proxy statements are not expected to conform to Schedule 14A of the proxy rules promulgated under the Exchange Act.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as a “foreign private issuer,” our officers and directors and holders of more than 10% of the issued and outstanding Class A ordinary shares, will be exempt from the rules under the Exchange Act requiring insiders to report purchases and sales of ordinary shares as well as from Section 16 short swing profit reporting and liability. See the section titled “Item 3.D. Key Information—Risk Factors—Risks Related to Our Securities—We are a foreign private issuer within the meaning of the rules under the Exchange Act, and as such we are exempt from certain provisions applicable to domestic public companies in the United States” in our most recent annual report on Form 20-F for the year ended December 31, 2023, filed with the SEC on March 28, 2024, incorporated herein by reference.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Controlled Company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Mr. Jihan Wu currently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tbl>
      <w:tblPr>
        <w:tblW w:w="7143" w:type="dxa"/>
        <w:jc w:val="left"/>
        <w:tblInd w:w="0" w:type="dxa"/>
        <w:tblLayout w:type="fixed"/>
        <w:tblCellMar>
          <w:top w:w="0" w:type="dxa"/>
          <w:left w:w="0" w:type="dxa"/>
          <w:bottom w:w="0" w:type="dxa"/>
          <w:right w:w="0" w:type="dxa"/>
        </w:tblCellMar>
      </w:tblPr>
      <w:tblGrid>
        <w:gridCol w:w="38"/>
        <w:gridCol w:w="17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pPr>
            <w:r>
              <w:rPr/>
              <w:t>that a majority of our board of directors consists of independent directors;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we conduct an annual performance evaluation of the nominating and corporate governance and compensation committees;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we have a nominating and corporate governance committee that is composed entirely of independent directors with a written charter addressing the committee’s purpose and responsibilities;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we have a compensation committee that is composed entirely of independent directors with a written charter addressing the committee’s purpose and responsibility; and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director nomination be selected, or recommended for selection by our board of directors, by (i) a majority of our independent directors in a vote in which only our independent directors participate or (ii) a nominations committee composed solely of independent directors.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the date of this prospectus, we have elected not to comply with any of the requirements listed above, except that our nominating and corporate governance committee and compensation committee have written charters addressing their respective purposes and responsibilities. We may continue to use all or some of these exemptions in the future. As a result, you may not have the same protections afforded to shareholders of companies that are subject to all of the Nasdaq corporate governance requirements.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Corporate Information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offices are located at 08 Kallang Avenue, Aperia tower 1, #09-03/04, Singapore 339509. Our telephone number at this address is +65 6282-8220. Our registered office in the Cayman Islands is Ogier Global (Cayman) Limited, 89 Nexus Way, Camana Bay, Grand Cayman, KY1-9009. Our agent for service of process in the United States is Cogency Global Inc. located at 122 East 42nd Street, 18th Floor, New York, New York 10168. Our corporate website is www.bitdeer.com. The information contained in, or accessible through, our website is not part of, and is not incorporated into, this prospectus, and investors should not rely on any such information in deciding whether to invest in our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Conventions that Apply to this Prospectus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this prospectus, except where the context otherwise requires and for purposes of this prospectus only: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8853" w:type="dxa"/>
        <w:jc w:val="left"/>
        <w:tblInd w:w="0" w:type="dxa"/>
        <w:tblLayout w:type="fixed"/>
        <w:tblCellMar>
          <w:top w:w="0" w:type="dxa"/>
          <w:left w:w="0" w:type="dxa"/>
          <w:bottom w:w="0" w:type="dxa"/>
          <w:right w:w="0" w:type="dxa"/>
        </w:tblCellMar>
      </w:tblPr>
      <w:tblGrid>
        <w:gridCol w:w="38"/>
        <w:gridCol w:w="17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pPr>
            <w:r>
              <w:rPr/>
              <w:t>“</w:t>
            </w:r>
            <w:r>
              <w:rPr/>
              <w:t>Cayman Companies Act” means the Companies Act (As Revised) of the Cayman Islands;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Class A ordinary shares” means the Class A ordinary shares, par value US$0.0000001, in the share capital of our company;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Class V ordinary shares” means the Class V ordinary shares, par value US$0.0000001, in the share capital of our company;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pPr>
            <w:r>
              <w:rPr/>
              <w:t>“</w:t>
            </w:r>
            <w:r>
              <w:rPr/>
              <w:t>Exchange Act” means the U.S. Securities Exchange Act of 1934, as amended;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pPr>
            <w:r>
              <w:rPr/>
              <w:t>“</w:t>
            </w:r>
            <w:r>
              <w:rPr/>
              <w:t>JOBS Act” means the Jumpstart our Business Startups Act of 2012;</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4353" w:type="dxa"/>
        <w:jc w:val="left"/>
        <w:tblInd w:w="0" w:type="dxa"/>
        <w:tblLayout w:type="fixed"/>
        <w:tblCellMar>
          <w:top w:w="0" w:type="dxa"/>
          <w:left w:w="0" w:type="dxa"/>
          <w:bottom w:w="0" w:type="dxa"/>
          <w:right w:w="0" w:type="dxa"/>
        </w:tblCellMar>
      </w:tblPr>
      <w:tblGrid>
        <w:gridCol w:w="38"/>
        <w:gridCol w:w="17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both"/>
              <w:rPr/>
            </w:pPr>
            <w:r>
              <w:rPr/>
              <w:t>“</w:t>
            </w:r>
            <w:r>
              <w:rPr/>
              <w:t>Nasdaq” means the Nasdaq Stock Market;</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both"/>
              <w:rPr/>
            </w:pPr>
            <w:r>
              <w:rPr/>
              <w:t>“</w:t>
            </w:r>
            <w:r>
              <w:rPr/>
              <w:t>ordinary shares” means Class A ordinary shares and/or Class V ordinary shares (as appropriate);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003" w:type="dxa"/>
        <w:jc w:val="left"/>
        <w:tblInd w:w="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pPr>
            <w:r>
              <w:rPr/>
              <w:t>“</w:t>
            </w:r>
            <w:r>
              <w:rPr/>
              <w:t>SEC” means the Securities and Exchange Commission; and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we,” “us,” “the company,” “our company” “our group,” “our” or “Bitdeer” refers to Bitdeer Technologies Group, a Cayman Islands exempted company, and its subsidiaries.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 w:name="a_005"/>
      <w:bookmarkEnd w:id="20"/>
      <w:r>
        <w:rPr>
          <w:rFonts w:ascii="Times New Roman;Times;Serif" w:hAnsi="Times New Roman;Times;Serif"/>
          <w:b/>
          <w:i w:val="false"/>
          <w:caps w:val="false"/>
          <w:smallCaps w:val="false"/>
          <w:sz w:val="20"/>
        </w:rPr>
        <w:t xml:space="preserve">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 Before making a decision to invest in our securities, you should carefully consider the risks described in the section titled “Risk Factors” in the applicable prospectus supplement and in our then-most recent annual report on Form 20-F, and any updates to those risk factors in our reports on Form 6-K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 w:name="a_006"/>
      <w:bookmarkEnd w:id="21"/>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the principal purpose of an offering would be to increase our capitalization and financial flexibility and the net proceeds from our sale of the securities will be used for general corporate purposes and other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 w:name="a_007"/>
      <w:bookmarkEnd w:id="22"/>
      <w:r>
        <w:rPr>
          <w:rFonts w:ascii="Times New Roman;Times;Serif" w:hAnsi="Times New Roman;Times;Serif"/>
          <w:b/>
          <w:i w:val="false"/>
          <w:caps w:val="false"/>
          <w:smallCaps w:val="false"/>
          <w:sz w:val="20"/>
        </w:rPr>
        <w:t xml:space="preserve">DIVIDEND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declare dividends on our ordinary shares from time to time. The declaration, payment and amount of any future dividends will be made at the discretion of our board of directors and will depend upon, among other things, the results of operations, cash flows and financial condition, operating and capital requirements, and other factors as our board of directors considers relevant. There is no assurance that future dividends will be paid, and if dividends are paid, there is no assurance with respect to the amount of any such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dividends may also be limited by the Cayman Companies Act, which permits the distribution of dividends only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proposed to be paid. Under our articles of association, dividend distributions may be determined by our board of directors, without the need for shareholder approval. See the sections titled “Description of Securities” and “Tax Considerations”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 w:name="a_008"/>
      <w:bookmarkEnd w:id="23"/>
      <w:r>
        <w:rPr>
          <w:rFonts w:ascii="Times New Roman;Times;Serif" w:hAnsi="Times New Roman;Times;Serif"/>
          <w:b/>
          <w:i w:val="false"/>
          <w:caps w:val="false"/>
          <w:smallCaps w:val="false"/>
          <w:sz w:val="20"/>
        </w:rPr>
        <w:t xml:space="preserve">DESCRIPTION OF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incorporated with limited liability, and our affairs are governed by our amended and restated memorandum and articles of association, the Cayman Companies Act and the common law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Nasdaq and are registered under Section 12(b) of the Exchange Act. Setting forth below is a description of the rights of the holders of Class A ordinary shares and Class V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Our ordinary shares are issued in registered form and are issued when registered in our register of shareholders. We may not issue shares to bearer. Our shareholders who are nonresidents of the Cayman Islands may freely hold and vote their Ordinary Shares. Our ordinary shares are divided into Class A ordinary shares and Class V ordinary shares. Holders of our Class A ordinary shares and Class V ordinary shares shall have the same rights except for voting and conversion rights. See “––Voting Rights” below for additional information. Class V ordinary shares shall only be held by (i) Mr. Jihan Wu (the “Founder”), (ii) all limited partnerships, private companies or other vehicles of which more than 50% beneficial ownership or voting power are held directly or indirectly by the Founder, and (iii) a trust controlled by the Founder for the benefit of the Founder or his family, and all limited partnership, private companies or other vehicles wholly owned by such trust, including without limitation, Victory Courage Limited (collectively, “Founder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xml:space="preserve"> Each Class V ordinary share shall automatically convert into one Class A ordinary share (as adjusted for share splits, share combinations and similar transactions) on any transfer by a Founder Entity to a person or entity that is not a Founder Entity of any beneficial ownership of, or economic interest in, such Class V ordinary share or the control over the voting rights attached to such Class V ordinary share (through any contracts, voting proxies or otherwise); provided, however, that on the grant by a Founder Entity of any lien, charge, mortgage or other encumbrance (a “Security Interest”) over the Class V ordinary shares held by it, unless and until the legal ownership of such shares is transferred pursuant to such Security Interest (including any enforcement or foreclosure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V ordinary share is convertible into one Class A ordinary share (as adjusted for share splits, share combinations and similar transactions) at any time at the option of the holder thereof. Each Class V ordinary share held by a Founder Entity shall automatically convert into one Class A ordinary share (as adjusted for share splits, share combinations and similar transactions) upon the death or incapacity of the Founder.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xml:space="preserve"> The holders of our ordinary shares are entitled to such dividends as may be declared by our board of directors. In addition, our shareholders may declare dividends by ordinary resolution, but no dividend shall exceed the amount recommended by our directors. Our amended and restated memorandum and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we may pay a dividend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proposed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Holders of our ordinary shares have the right to receive notice of, attend and vote at general meetings of our company. Holders of our Class A ordinary shares and Class V ordinary shares shall, at all times, vote together as one class on all matters submitted to a vote by our shareholders at any general meeting of our company. Each Class A ordinary share shall be entitled to one (1) vote and each Class V ordinary share shall be entitled to ten (10) votes on all matters subject to vote at general meetings of the Company. Voting at any 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 which are present in person or by proxy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of our ordinary shares which are cast by those of our shareholders who are entitled to do so attend and vote at the meeting, while a special resolution requires the affirmative vote of no less than two-thirds of the votes of ordinary shares which cast by those of our shareholders who are entitled to do so attend and vote at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will be required for important matters such as a change of name or making changes to our amended and restated memorandum and articles of association. Holders of the ordinary shares may, among other things, divide or combine their shares by ordinary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w:t>
      </w:r>
      <w:r>
        <w:rPr>
          <w:rFonts w:ascii="Times New Roman;Times;Serif" w:hAnsi="Times New Roman;Times;Serif"/>
          <w:b w:val="false"/>
          <w:i w:val="false"/>
          <w:caps w:val="false"/>
          <w:smallCaps w:val="false"/>
          <w:sz w:val="20"/>
        </w:rPr>
        <w:t xml:space="preserve"> As a Cayman Islands exempted company, we are not obliged by the Cayman Companies Act, to call shareholders’ annual general meetings. Our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the chairman of our board of directors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one or more shareholder present or by proxy, who alone or together hold not less than 50% of all votes attaching to all of our shares in issue and entitled to vote at such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does not provide shareholders with an express right to put forth any proposal before an annual meeting of the shareholders. However, the Cayman Companies Act may provide shareholders with limited rights to requisition a general meeting, but such rights must be stipulated in the articles of association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Ordinary Shares</w:t>
      </w:r>
      <w:r>
        <w:rPr>
          <w:rFonts w:ascii="Times New Roman;Times;Serif" w:hAnsi="Times New Roman;Times;Serif"/>
          <w:b w:val="false"/>
          <w:i w:val="false"/>
          <w:caps w:val="false"/>
          <w:smallCaps w:val="false"/>
          <w:sz w:val="20"/>
        </w:rPr>
        <w:t>. Subject to the restrictions set out below,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0" w:right="0" w:hanging="0"/>
        <w:jc w:val="left"/>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pPr>
            <w:r>
              <w:rPr/>
              <w:t>the instrument of transfer is in respect of only one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pPr>
            <w:r>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the case of a transfer to joint holders, the number of joint holders to whom the ordinary share is to be transferred does not exceed four;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fee of such maximum sum as Nasdaq may determine to be payable or such lesser sum as our directors may from time to time require is paid to us in respect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calendar months after the date on which the instrument of transfer was lodged, send to each of the transferor and the transferee notice of such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xml:space="preserve">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xml:space="preserve"> Our board of directors may from time to time make calls upon shareholders for any amounts unpaid on their shares in a notice served to such shareholders at least 14 calendar days prior to the specified time and place of payment. The shares that have been called upon and remain unpaid are subject to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Shares.</w:t>
      </w:r>
      <w:r>
        <w:rPr>
          <w:rFonts w:ascii="Times New Roman;Times;Serif" w:hAnsi="Times New Roman;Times;Serif"/>
          <w:b w:val="false"/>
          <w:i w:val="false"/>
          <w:caps w:val="false"/>
          <w:smallCaps w:val="false"/>
          <w:sz w:val="20"/>
        </w:rPr>
        <w:t xml:space="preserve"> Subject to the Cayman Companies Act, our amended and restated memorandum and articles of association and to any applicable requirements imposed from time to time by the Nasdaq, the SEC, or by any other recognized stock exchange on which our securities are listed, we may issue shares on terms that such shares are subject to redemption, at our option or at the option of the holders of these shares, on such terms and in such manner as may be determined by our board of directors or by a special resolution of our shareholders and we may also repurchase any of our shares on such terms and in such manner as have been approved by our board of directors or by an ordinary resolution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the redemption or repurchase of any share may be paid out of our profits or out of the proceeds of a fresh issue of shares made for the purpose of such redemption or repurchase, or out of capital (including share premium account) if our company can, immediately following on which such payment is proposed to be made, pay its debts as they fall due in the ordinary course of business. In addition, under the Cayman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xml:space="preserve">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such existing class of shares, or the redemption or purchase of any shares of any class by us. The rights of the holders of shares shall not be deemed to be varied by the creation or issue of shares with preferred or other rights including, without limitation, the creation of shares with enhanced or weighted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xml:space="preserve"> Our amended and restated memorandum of association authorizes our board of directors to issue additional ordinary shares from time to time as our board of directors shall determine, to the extent of available authorized but unissued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pStyle w:val="TextBody"/>
        <w:bidi w:val="0"/>
        <w:spacing w:before="0" w:after="0"/>
        <w:ind w:left="0" w:right="0" w:firstLine="360"/>
        <w:jc w:val="both"/>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pPr>
            <w:r>
              <w:rPr/>
              <w:t>the designation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pPr>
            <w:r>
              <w:rPr/>
              <w:t>the number of shares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pPr>
            <w:r>
              <w:rPr/>
              <w:t>the dividend rights, conversion rights, voting rights;</w:t>
            </w:r>
          </w:p>
        </w:tc>
      </w:tr>
    </w:tbl>
    <w:p>
      <w:pPr>
        <w:pStyle w:val="TextBody"/>
        <w:bidi w:val="0"/>
        <w:spacing w:before="0" w:after="0"/>
        <w:ind w:left="0" w:right="0" w:hanging="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17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pPr>
            <w:r>
              <w:rPr/>
              <w:t>the rights and terms of redemption and liquidation preferences; and</w:t>
            </w:r>
          </w:p>
        </w:tc>
      </w:tr>
    </w:tbl>
    <w:p>
      <w:pPr>
        <w:pStyle w:val="TextBody"/>
        <w:bidi w:val="0"/>
        <w:spacing w:before="0" w:after="0"/>
        <w:ind w:left="0" w:right="0" w:hanging="0"/>
        <w:jc w:val="left"/>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38"/>
        <w:gridCol w:w="17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any other powers, preferences and relative, participating, optional and other special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xml:space="preserve"> Holders of our ordinary shares will have no general right under Cayman Islands law to inspect or obtain copies of our corporate records (other than copies of our memorandum and articles, the register of mortgages or charges, and any special resolutions passed by our shareholders). However, we will provide our shareholders with annual 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xml:space="preserve"> Some provisions of our amended and restated memorandum and articles of association may discourage, delay or prevent a change of control of our company or management that shareholders may consider favorable, including provisions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authorize our board of directors to issue preference shares in one or more series and to designate the price, rights, preferences, privileges and restrictions of such preference shares without any further vote or action by our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pPr>
            <w:r>
              <w:rPr/>
              <w:t>limit the ability of shareholders to requisition and convene general meetings of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xml:space="preserve"> We are an exempted company with limited liability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36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is not required to open its register of members for inspection;</w:t>
            </w:r>
          </w:p>
        </w:tc>
      </w:tr>
    </w:tbl>
    <w:p>
      <w:pPr>
        <w:pStyle w:val="TextBody"/>
        <w:bidi w:val="0"/>
        <w:spacing w:before="0" w:after="0"/>
        <w:ind w:left="0" w:right="0" w:hanging="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does not have to hold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may obtain an undertaking against the imposition of any future taxation (such undertakings are usually given for 20 years in the first instance);</w:t>
            </w:r>
          </w:p>
        </w:tc>
      </w:tr>
    </w:tbl>
    <w:p>
      <w:pPr>
        <w:pStyle w:val="TextBody"/>
        <w:bidi w:val="0"/>
        <w:spacing w:before="0" w:after="0"/>
        <w:ind w:left="0" w:right="0" w:hanging="0"/>
        <w:jc w:val="left"/>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pPr>
            <w:r>
              <w:rPr/>
              <w:t>may register by way of continuation in another jurisdiction and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pPr>
            <w:r>
              <w:rPr/>
              <w:t>may register as a limited duration company; and</w:t>
            </w:r>
          </w:p>
        </w:tc>
      </w:tr>
    </w:tbl>
    <w:p>
      <w:pPr>
        <w:pStyle w:val="TextBody"/>
        <w:bidi w:val="0"/>
        <w:spacing w:before="0" w:after="0"/>
        <w:ind w:left="0" w:right="0" w:hanging="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pPr>
            <w:r>
              <w:rPr/>
              <w:t>may register as a segregated portfolio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Differences in Corporate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but does not follow recent English statutory enactments and accordingly there are significant differences between the Cayman Companies Act and the current Companies Act of England. In addition, the Cayman Companies Act differs from laws applicable to U.S. corporations and their shareholders. Set forth below is a summary of certain significant differences between the provisions of the Cayman Companies Act applicable to us and the comparable laws applicable to companies incorporated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xml:space="preserve"> The Cayman Companies Act permits mergers and consolidations between Cayman Islands companies and between Cayman Islands companies and non-Cayman Islands companies provided that the laws of the foreign jurisdiction permit such merger or consolidation.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new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or her shares (which, if not agreed between the parties, will be determined by the Cayman Islands court) upon dissenting to the merger or consolidation, provided that the dissenting shareholder complies strictly with the procedures set out in the Cayman Companies Act. The exercise of such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Cayman Companies Act also contains statutory provisions that facilitate the reconstruction and amalgamation of companies by way of schemes of arrangement, provided that the arrangement is approved by (a) seventy-five percent (75%) in value of the shareholders or class of shareholders, as the case may be, or (b) a majority in number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firstLine="36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both"/>
              <w:rPr/>
            </w:pPr>
            <w:r>
              <w:rPr/>
              <w:t>the statutory provisions as to the required majority vote have been met;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arrangement is such that may be reasonably approved by an intelligent and honest man of that class acting in respect of his interest;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arrangement is not one that would more properly be sanctioned under some other provision of the Cayman Companies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w:t>
      </w:r>
      <w:r>
        <w:rPr>
          <w:rFonts w:ascii="Times New Roman;Times;Serif" w:hAnsi="Times New Roman;Times;Serif"/>
          <w:b w:val="false"/>
          <w:i w:val="false"/>
          <w:caps w:val="false"/>
          <w:smallCaps w:val="false"/>
          <w:sz w:val="20"/>
        </w:rPr>
        <w:t xml:space="preserve">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xml:space="preserve"> and the exceptions thereto) so that a non-controlling shareholder may be permitted to commence a class action against or derivative actions in the name of the company to challenge: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act which is illegal or ultra vires with respect to the company and is therefore incapable of ratification by the shareholders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act which, although not ultra vires, requires authorization by a qualified (or special) majority (that is, more than a simple majority) which has not been obtained;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act which constitutes a “fraud on the minority” where the wrongdoers are themselves in control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xml:space="preserve">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the consequences of committing a crime. or against the indemnified person’s own fraud, dishonesty, willful default or willful neglect. Our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amended and restated 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Action by Written Resolution.</w:t>
      </w:r>
      <w:r>
        <w:rPr>
          <w:rFonts w:ascii="Times New Roman;Times;Serif" w:hAnsi="Times New Roman;Times;Serif"/>
          <w:b w:val="false"/>
          <w:i w:val="false"/>
          <w:caps w:val="false"/>
          <w:smallCaps w:val="false"/>
          <w:sz w:val="20"/>
        </w:rPr>
        <w:t xml:space="preserve"> Under the Delaware General Corporation Law, a corporation may eliminate the right of shareholders to act by written consent by amendment to its certificate of incorporation. Cayman Islands law and our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Proposals.</w:t>
      </w:r>
      <w:r>
        <w:rPr>
          <w:rFonts w:ascii="Times New Roman;Times;Serif" w:hAnsi="Times New Roman;Times;Serif"/>
          <w:b w:val="false"/>
          <w:i w:val="false"/>
          <w:caps w:val="false"/>
          <w:smallCaps w:val="false"/>
          <w:sz w:val="20"/>
        </w:rPr>
        <w:t xml:space="preserve">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provides shareholders with only limited rights to requisition a general meeting. However, these rights may be provided in a company’s articles of association. Our amended and restated articles of association provide that upon the requisition of any one or more of our shareholders who alone or together hold shares which carry in aggregate not less than one-third of the total number of votes attaching to all issued and outstanding shares of our company entitled to vote at general meetings on the date of deposit of the requisition, our board of directors will be required to convene an extraordinary general meeting. As a Cayman Islands exempted company, we may but are not obliged by law to call shareholders’ annual general meetings. See “—Description of Securities—General Meetings of Shareholders” for more information on the rights of our shareholders’ rights to put proposals before the annual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Removal of Directors.</w:t>
      </w:r>
      <w:r>
        <w:rPr>
          <w:rFonts w:ascii="Times New Roman;Times;Serif" w:hAnsi="Times New Roman;Times;Serif"/>
          <w:b w:val="false"/>
          <w:i w:val="false"/>
          <w:caps w:val="false"/>
          <w:smallCaps w:val="false"/>
          <w:sz w:val="20"/>
        </w:rPr>
        <w:t xml:space="preserve"> Under the Delaware General Corporation Law, a director of a corporation with a classified board may be removed only for cause with the approval of a majority of the outstanding shares entitled to vote, unless the certificate of incorporation provides otherwise. Under our amended and restated articles of association,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amended and restated 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with Interested Shareholders.</w:t>
      </w:r>
      <w:r>
        <w:rPr>
          <w:rFonts w:ascii="Times New Roman;Times;Serif" w:hAnsi="Times New Roman;Times;Serif"/>
          <w:b w:val="false"/>
          <w:i w:val="false"/>
          <w:caps w:val="false"/>
          <w:smallCaps w:val="false"/>
          <w:sz w:val="20"/>
        </w:rPr>
        <w:t xml:space="preserve">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Cayman Islands law has no comparable statute.</w:t>
      </w:r>
      <w:r>
        <w:rPr>
          <w:rFonts w:ascii="Times New Roman;Times;Serif" w:hAnsi="Times New Roman;Times;Serif"/>
          <w:b w:val="false"/>
          <w:i w:val="false"/>
          <w:caps w:val="false"/>
          <w:smallCaps w:val="false"/>
          <w:sz w:val="20"/>
        </w:rPr>
        <w:t xml:space="preserv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Dissolution; Winding up.</w:t>
      </w:r>
      <w:r>
        <w:rPr>
          <w:rFonts w:ascii="Times New Roman;Times;Serif" w:hAnsi="Times New Roman;Times;Serif"/>
          <w:b w:val="false"/>
          <w:i w:val="false"/>
          <w:caps w:val="false"/>
          <w:smallCaps w:val="false"/>
          <w:sz w:val="20"/>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Cayman Companies Act and our amended and restated articles of association, our company may be dissolved, liquidated or wound up by a special resolution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Variation of Rights of Shares. </w:t>
      </w: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Cayman Islands law and our amended and restated articles of association, if at any time our share capital is divided into different classes of shares, the rights attached to any class of shares (unless otherwise provided by the terms of issue of the shares of that class), whether or not we are being wound-up, may be varied with the consent in writing of the holders of two-thirds of the issued shares of that class or with the sanction of a special resolution passed at a separate meeting of the holders of the shares of the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Governing Documents.</w:t>
      </w:r>
      <w:r>
        <w:rPr>
          <w:rFonts w:ascii="Times New Roman;Times;Serif" w:hAnsi="Times New Roman;Times;Serif"/>
          <w:b w:val="false"/>
          <w:i w:val="false"/>
          <w:caps w:val="false"/>
          <w:smallCaps w:val="false"/>
          <w:sz w:val="20"/>
        </w:rPr>
        <w:t xml:space="preserve"> Under the Delaware General Corporation Law, a corporation’s governing documents may be amended with the approval of a majority of the outstanding shares entitled to vote, unless the certificate of incorporation provides otherwise. Under the Cayman Companies Act and our amended and restated memorandum and articles of association, our memorandum and articles of association may only be amended by a special resolution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w:t>
      </w:r>
      <w:r>
        <w:rPr>
          <w:rFonts w:ascii="Times New Roman;Times;Serif" w:hAnsi="Times New Roman;Times;Serif"/>
          <w:b w:val="false"/>
          <w:i w:val="false"/>
          <w:caps w:val="false"/>
          <w:smallCaps w:val="false"/>
          <w:sz w:val="20"/>
        </w:rPr>
        <w:t xml:space="preserve"> 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Repurchase Program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2024, our board of directors approved a share repurchase program under which we may repurchase up to US$10,000,000 worth of its Class A Ordinary Shares, effective from September 9, 2024 through September 8, 2025. As of the date of this prospectus, we have repurchased 145,762 Class A ordinary shares for approximately US$0.9 million under the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Debt Securities, Warrants and Rights and Other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Description of Debt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which may be secured or unsecured and may be exchangeable for and/or convertible into other securities, including our Class A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set forth, to the extent required and as applicable, the following terms (non-exhaustive) of the debt securities in respect of which the prospectus supplement is delivered:</w:t>
      </w:r>
    </w:p>
    <w:p>
      <w:pPr>
        <w:pStyle w:val="TextBody"/>
        <w:bidi w:val="0"/>
        <w:spacing w:before="0" w:after="0"/>
        <w:ind w:left="0" w:right="0" w:firstLine="360"/>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jc w:val="both"/>
              <w:rPr/>
            </w:pPr>
            <w:r>
              <w:rPr/>
              <w:t>the title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17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both"/>
              <w:rPr/>
            </w:pPr>
            <w:r>
              <w:rPr/>
              <w:t>the aggregate principal amount;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issue price or prices, expressed as a percentage of the aggregate principal amount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170"/>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both"/>
              <w:rPr/>
            </w:pPr>
            <w:r>
              <w:rPr/>
              <w:t>any limit on the aggregate principal amount;</w:t>
            </w:r>
          </w:p>
        </w:tc>
      </w:tr>
    </w:tbl>
    <w:p>
      <w:pPr>
        <w:pStyle w:val="TextBody"/>
        <w:bidi w:val="0"/>
        <w:spacing w:before="0" w:after="0"/>
        <w:ind w:left="0" w:right="0" w:hanging="0"/>
        <w:jc w:val="left"/>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pPr>
            <w:r>
              <w:rPr/>
              <w:t>the date or dates on which principal is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interest rate or rates (which may be fixed or variable) or, if applicable, the method used to determine such rate or 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or dates on which interest, if any, will be payable and any regular record date for the interest payable;</w:t>
            </w:r>
          </w:p>
        </w:tc>
      </w:tr>
    </w:tbl>
    <w:p>
      <w:pPr>
        <w:pStyle w:val="TextBody"/>
        <w:bidi w:val="0"/>
        <w:spacing w:before="0" w:after="0"/>
        <w:ind w:left="0" w:right="0" w:hanging="0"/>
        <w:jc w:val="left"/>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8"/>
        <w:gridCol w:w="17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both"/>
              <w:rPr/>
            </w:pPr>
            <w:r>
              <w:rPr/>
              <w:t>the place or places where principal and, if applicable, premium and interest, is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terms and conditions upon which we may, or the holders may require us to, redeem or repurchase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denominations in which such debt securities may be issuable, if other than denomination of US$1,000 or any integral multiple of that number;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debt securities are to be issuable in the form of certificated debt securities or global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portion of principal amount that will be payable upon declaration of acceleration of the maturity date if other than the principal amount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pPr>
            <w:r>
              <w:rPr/>
              <w:t>the currency of denomination;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of the currency, currencies or currency units in which payment of principal and, if applicable, premium and interest, will be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17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pPr>
            <w:r>
              <w:rPr/>
              <w:t>the provisions, if any, relating to any collateral provided for such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pPr>
            <w:r>
              <w:rPr/>
              <w:t>any events of default;</w:t>
            </w:r>
          </w:p>
        </w:tc>
      </w:tr>
    </w:tbl>
    <w:p>
      <w:pPr>
        <w:pStyle w:val="TextBody"/>
        <w:bidi w:val="0"/>
        <w:spacing w:before="0" w:after="0"/>
        <w:ind w:left="0" w:right="0" w:hanging="0"/>
        <w:jc w:val="left"/>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pPr>
            <w:r>
              <w:rPr/>
              <w:t>the terms and conditions, if any, for conversion into or exchange for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17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pPr>
            <w:r>
              <w:rPr/>
              <w:t>any depositaries, interest rate calculation agents, exchange rate calculation agents, or other agents;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terms and conditions, if any, upon which the debt securities shall be subordinated in right of payment to other indebtedness of our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Description of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set forth, to the extent required and as applicable, the following terms (non-exhaustive) of the warrants in respect of which the prospectus supplement is delivered:</w:t>
      </w:r>
    </w:p>
    <w:p>
      <w:pPr>
        <w:pStyle w:val="TextBody"/>
        <w:bidi w:val="0"/>
        <w:spacing w:before="0" w:after="0"/>
        <w:ind w:left="0" w:right="0" w:firstLine="360"/>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both"/>
              <w:rPr/>
            </w:pPr>
            <w:r>
              <w:rPr/>
              <w:t>the title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pPr>
            <w:r>
              <w:rPr/>
              <w:t>the aggregate number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pPr>
            <w:r>
              <w:rPr/>
              <w:t>the price or prices at which such warrants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both"/>
              <w:rPr/>
            </w:pPr>
            <w:r>
              <w:rPr/>
              <w:t>the currency or currencies in which the price of such warrants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price at which and the currency or currencies in which the securities or other rights purchasable upon exercise of such warrants may be purchased;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on which the right to exercise such warrants shall commence and the date on which such right shall expire;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minimum or maximum amount of such warrants which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designation and terms of the securities with which such warrants are issued and the number of such warrants issued with each such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date on and after which such warrants and the related securities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pPr>
            <w:r>
              <w:rPr/>
              <w:t>information with respect to book-entry procedures, if any;</w:t>
            </w:r>
          </w:p>
        </w:tc>
      </w:tr>
    </w:tbl>
    <w:p>
      <w:pPr>
        <w:pStyle w:val="TextBody"/>
        <w:bidi w:val="0"/>
        <w:spacing w:before="0" w:after="0"/>
        <w:ind w:left="0" w:right="0" w:hanging="0"/>
        <w:jc w:val="left"/>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17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both"/>
              <w:rPr/>
            </w:pPr>
            <w:r>
              <w:rPr/>
              <w:t>if applicable, a discussion of any material United States federal income tax considerations;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terms of such warrants, including terms, procedures and limitations relating to the exchange and exercise of such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American Depositary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4" w:name="a_009"/>
      <w:bookmarkEnd w:id="24"/>
      <w:r>
        <w:rPr>
          <w:rFonts w:ascii="Times New Roman;Times;Serif" w:hAnsi="Times New Roman;Times;Serif"/>
          <w:b/>
          <w:i w:val="false"/>
          <w:caps w:val="false"/>
          <w:smallCaps w:val="false"/>
          <w:sz w:val="20"/>
        </w:rPr>
        <w:t>FORMS OF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Registered Global Securities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Bitdeer Technologies Group, the trustees, the warrant agents, the unit agents or any other agent of Bitdeer Technologies Group,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5" w:name="a_010"/>
      <w:bookmarkEnd w:id="25"/>
      <w:r>
        <w:rPr>
          <w:rFonts w:ascii="Times New Roman;Times;Serif" w:hAnsi="Times New Roman;Times;Serif"/>
          <w:b/>
          <w:i w:val="false"/>
          <w:caps w:val="false"/>
          <w:smallCaps w:val="false"/>
          <w:sz w:val="20"/>
        </w:rPr>
        <w:t>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in one or more of the following ways (or in any combination) from time to time:</w:t>
      </w:r>
    </w:p>
    <w:p>
      <w:pPr>
        <w:pStyle w:val="TextBody"/>
        <w:bidi w:val="0"/>
        <w:spacing w:before="0" w:after="0"/>
        <w:ind w:left="0" w:right="0" w:firstLine="36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pPr>
            <w:r>
              <w:rPr/>
              <w:t>through underwriters or dealers;</w:t>
            </w:r>
          </w:p>
        </w:tc>
      </w:tr>
    </w:tbl>
    <w:p>
      <w:pPr>
        <w:pStyle w:val="TextBody"/>
        <w:bidi w:val="0"/>
        <w:spacing w:before="0" w:after="0"/>
        <w:ind w:left="0" w:right="0" w:firstLine="36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17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pPr>
            <w:r>
              <w:rPr/>
              <w:t>directly to a limited number of purchasers or to a single purchaser;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“at the market offerings,” within the meaning of Rule 415(a)(4) of the Securities Act, into an existing trading market on an exchange or otherwise;</w:t>
            </w:r>
          </w:p>
        </w:tc>
      </w:tr>
    </w:tbl>
    <w:p>
      <w:pPr>
        <w:pStyle w:val="TextBody"/>
        <w:bidi w:val="0"/>
        <w:spacing w:before="0" w:after="0"/>
        <w:ind w:left="0" w:right="0" w:firstLine="36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both"/>
              <w:rPr/>
            </w:pPr>
            <w:r>
              <w:rPr/>
              <w:t>through agents;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through any other method permitted by applicable law and described in the applicable prospectus supplement.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state the terms of the offering of the securities, including:</w:t>
      </w:r>
    </w:p>
    <w:p>
      <w:pPr>
        <w:pStyle w:val="TextBody"/>
        <w:bidi w:val="0"/>
        <w:spacing w:before="0" w:after="0"/>
        <w:ind w:left="0" w:right="0" w:firstLine="36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pPr>
            <w:r>
              <w:rPr/>
              <w:t>the name or names of any underwriters, dealers or agents;</w:t>
            </w:r>
          </w:p>
        </w:tc>
      </w:tr>
    </w:tbl>
    <w:p>
      <w:pPr>
        <w:pStyle w:val="TextBody"/>
        <w:bidi w:val="0"/>
        <w:spacing w:before="0" w:after="0"/>
        <w:ind w:left="0" w:right="0" w:firstLine="360"/>
        <w:jc w:val="both"/>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38"/>
        <w:gridCol w:w="17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283"/>
              <w:jc w:val="both"/>
              <w:rPr/>
            </w:pPr>
            <w:r>
              <w:rPr/>
              <w:t>the purchase price of such securities and the proceeds to be received by us, if any;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underwriting discounts or agency fees and other items constituting underwriters’ or agents’ compensation;</w:t>
            </w:r>
          </w:p>
        </w:tc>
      </w:tr>
    </w:tbl>
    <w:p>
      <w:pPr>
        <w:pStyle w:val="TextBody"/>
        <w:bidi w:val="0"/>
        <w:spacing w:before="0" w:after="0"/>
        <w:ind w:left="0" w:right="0" w:firstLine="360"/>
        <w:jc w:val="both"/>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17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both"/>
              <w:rPr/>
            </w:pPr>
            <w:r>
              <w:rPr/>
              <w:t>any public offering price;</w:t>
            </w:r>
          </w:p>
        </w:tc>
      </w:tr>
    </w:tbl>
    <w:p>
      <w:pPr>
        <w:pStyle w:val="TextBody"/>
        <w:bidi w:val="0"/>
        <w:spacing w:before="0" w:after="0"/>
        <w:ind w:left="0" w:right="0" w:firstLine="36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any discounts or concessions allowed or reallowed or paid to dealers; and</w:t>
            </w:r>
          </w:p>
        </w:tc>
      </w:tr>
    </w:tbl>
    <w:p>
      <w:pPr>
        <w:pStyle w:val="TextBody"/>
        <w:bidi w:val="0"/>
        <w:spacing w:before="0" w:after="0"/>
        <w:ind w:left="0" w:right="0" w:firstLine="360"/>
        <w:jc w:val="both"/>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7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pPr>
            <w:r>
              <w:rPr/>
              <w:t>any securities exchanges on which the securities may be listed.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offering price and any discounts or concessions allowed or reallowed or paid to dealers may be changed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securities will be acquired by the underwriters for their own account and may be resold from time to time in one or more transactions, including:</w:t>
      </w:r>
    </w:p>
    <w:p>
      <w:pPr>
        <w:pStyle w:val="TextBody"/>
        <w:bidi w:val="0"/>
        <w:spacing w:before="0" w:after="0"/>
        <w:ind w:left="0" w:right="0" w:firstLine="36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both"/>
              <w:rPr/>
            </w:pPr>
            <w:r>
              <w:rPr/>
              <w:t>negotiated transactions;</w:t>
            </w:r>
          </w:p>
        </w:tc>
      </w:tr>
    </w:tbl>
    <w:p>
      <w:pPr>
        <w:pStyle w:val="TextBody"/>
        <w:bidi w:val="0"/>
        <w:spacing w:before="0" w:after="0"/>
        <w:ind w:left="0" w:right="0" w:firstLine="36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17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pPr>
            <w:r>
              <w:rPr/>
              <w:t>at a fixed public offering price or prices, which may be changed;</w:t>
            </w:r>
          </w:p>
        </w:tc>
      </w:tr>
    </w:tbl>
    <w:p>
      <w:pPr>
        <w:pStyle w:val="TextBody"/>
        <w:bidi w:val="0"/>
        <w:spacing w:before="0" w:after="0"/>
        <w:ind w:left="0" w:right="0" w:firstLine="36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pPr>
            <w:r>
              <w:rPr/>
              <w:t>at market prices prevailing at the time of sale;</w:t>
            </w:r>
          </w:p>
        </w:tc>
      </w:tr>
    </w:tbl>
    <w:p>
      <w:pPr>
        <w:pStyle w:val="TextBody"/>
        <w:bidi w:val="0"/>
        <w:spacing w:before="0" w:after="0"/>
        <w:ind w:left="0" w:right="0" w:firstLine="36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pPr>
            <w:r>
              <w:rPr/>
              <w:t>at prices related to prevailing market prices; or</w:t>
            </w:r>
          </w:p>
        </w:tc>
      </w:tr>
    </w:tbl>
    <w:p>
      <w:pPr>
        <w:pStyle w:val="TextBody"/>
        <w:bidi w:val="0"/>
        <w:spacing w:before="0" w:after="0"/>
        <w:ind w:left="0" w:right="0" w:firstLine="36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both"/>
              <w:rPr/>
            </w:pPr>
            <w:r>
              <w:rPr/>
              <w:t>at negotiated prices.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through agents from time to time. The prospectus supplement will name any agent involved in the offer or sale of the securities and any commissions paid to them. Generally, any agent will be acting on a best effort basis for the period of its appointment.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and agents may be customers of, engage in transactions with, or perform services for us and our affiliates in the ordinary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15c6-1 of the Exchange Act, trades in the secondary market generally are required to settle (a) in two business days, prior to May 28, 2024 and (b) in one business day starting on May 28, 2024,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 w:name="a_011"/>
      <w:bookmarkEnd w:id="26"/>
      <w:r>
        <w:rPr>
          <w:rFonts w:ascii="Times New Roman;Times;Serif" w:hAnsi="Times New Roman;Times;Serif"/>
          <w:b/>
          <w:i w:val="false"/>
          <w:caps w:val="false"/>
          <w:smallCaps w:val="false"/>
          <w:sz w:val="20"/>
        </w:rPr>
        <w:t>EXPENSES RELATED TO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pStyle w:val="TextBody"/>
        <w:bidi w:val="0"/>
        <w:spacing w:before="0" w:after="0"/>
        <w:ind w:left="0" w:right="0" w:firstLine="360"/>
        <w:jc w:val="both"/>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4715"/>
        <w:gridCol w:w="60"/>
        <w:gridCol w:w="455"/>
        <w:gridCol w:w="800"/>
        <w:gridCol w:w="75"/>
      </w:tblGrid>
      <w:tr>
        <w:trPr/>
        <w:tc>
          <w:tcPr>
            <w:tcW w:w="471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US$</w:t>
            </w:r>
          </w:p>
        </w:tc>
        <w:tc>
          <w:tcPr>
            <w:tcW w:w="800" w:type="dxa"/>
            <w:tcBorders/>
            <w:shd w:fill="CCEEFF" w:val="clear"/>
            <w:vAlign w:val="center"/>
          </w:tcPr>
          <w:p>
            <w:pPr>
              <w:pStyle w:val="TableContents"/>
              <w:bidi w:val="0"/>
              <w:spacing w:before="0" w:after="283"/>
              <w:jc w:val="right"/>
              <w:rPr/>
            </w:pPr>
            <w:r>
              <w:rPr/>
              <w:t>153,100</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FINRA Filing Fee</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Accounting Fees and Expenses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Legal Fees and Expenses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Financial Printing and Miscellaneous Expenses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b/>
              </w:rPr>
            </w:pPr>
            <w:r>
              <w:rPr>
                <w:b/>
              </w:rPr>
              <w:t>Total</w:t>
            </w:r>
            <w:r>
              <w:rPr>
                <w:b/>
                <w:position w:val="8"/>
                <w:sz w:val="19"/>
              </w:rPr>
              <w:t>(1)</w:t>
            </w:r>
          </w:p>
        </w:tc>
        <w:tc>
          <w:tcPr>
            <w:tcW w:w="60" w:type="dxa"/>
            <w:tcBorders/>
            <w:shd w:fill="FFFFFF" w:val="clear"/>
            <w:vAlign w:val="center"/>
          </w:tcPr>
          <w:p>
            <w:pPr>
              <w:pStyle w:val="TableContents"/>
              <w:bidi w:val="0"/>
              <w:spacing w:before="0" w:after="283"/>
              <w:jc w:val="left"/>
              <w:rPr/>
            </w:pPr>
            <w:r>
              <w:rPr/>
              <w:t> </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US$</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283"/>
              <w:jc w:val="both"/>
              <w:rPr/>
            </w:pPr>
            <w:r>
              <w:rPr/>
              <w:t>These fees and expenses depend on the securities offered and the number of issuances, and accordingly cannot be estimated at this time and will be reflected in the applicable prospectus supplement.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7" w:name="a_012"/>
      <w:bookmarkEnd w:id="27"/>
      <w:r>
        <w:rPr>
          <w:rFonts w:ascii="Times New Roman;Times;Serif" w:hAnsi="Times New Roman;Times;Serif"/>
          <w:b/>
          <w:i w:val="false"/>
          <w:caps w:val="false"/>
          <w:smallCaps w:val="false"/>
          <w:sz w:val="20"/>
        </w:rPr>
        <w:t>TAX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 Federal Income Tax Considerations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considerations generally applicable to the acquisition, ownership, and disposition of ordinary shares by a “U.S. Holder” (as defined below). This discussion applies only to ordinary shares that are held by a U.S. Holder as “capital assets” within the meaning of Section 1221 of the U.S. Internal Revenue Code of 1986, as amended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the alternative minimum tax, the special tax accounting rules under Section 451(b) of the Code, the Medicare contribution tax on net investment income, or any tax consequences that may be relevant to U.S. Holders that are subject to special tax rules,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pPr>
            <w:r>
              <w:rPr/>
              <w:t>banks or other financial institutions;</w:t>
            </w:r>
          </w:p>
        </w:tc>
      </w:tr>
    </w:tbl>
    <w:p>
      <w:pPr>
        <w:pStyle w:val="TextBody"/>
        <w:bidi w:val="0"/>
        <w:spacing w:before="0" w:after="283"/>
        <w:jc w:val="left"/>
        <w:rPr/>
      </w:pPr>
      <w:r>
        <w:rPr/>
        <w:t> </w:t>
      </w:r>
    </w:p>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pPr>
            <w:r>
              <w:rPr/>
              <w:t>insurance companies;</w:t>
            </w:r>
          </w:p>
        </w:tc>
      </w:tr>
    </w:tbl>
    <w:p>
      <w:pPr>
        <w:pStyle w:val="TextBody"/>
        <w:bidi w:val="0"/>
        <w:spacing w:before="0" w:after="0"/>
        <w:ind w:left="0" w:right="0" w:firstLine="36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pPr>
            <w:r>
              <w:rPr/>
              <w:t>mutual funds;</w:t>
            </w:r>
          </w:p>
        </w:tc>
      </w:tr>
    </w:tbl>
    <w:p>
      <w:pPr>
        <w:pStyle w:val="TextBody"/>
        <w:bidi w:val="0"/>
        <w:spacing w:before="0" w:after="0"/>
        <w:ind w:left="0" w:right="0" w:firstLine="36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pPr>
            <w:r>
              <w:rPr/>
              <w:t>pension or retirement plans;</w:t>
            </w:r>
          </w:p>
        </w:tc>
      </w:tr>
    </w:tbl>
    <w:p>
      <w:pPr>
        <w:pStyle w:val="TextBody"/>
        <w:bidi w:val="0"/>
        <w:spacing w:before="0" w:after="0"/>
        <w:ind w:left="0" w:right="0" w:firstLine="36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17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S corporations;</w:t>
            </w:r>
          </w:p>
        </w:tc>
      </w:tr>
    </w:tbl>
    <w:p>
      <w:pPr>
        <w:pStyle w:val="TextBody"/>
        <w:bidi w:val="0"/>
        <w:spacing w:before="0" w:after="0"/>
        <w:ind w:left="0" w:right="0" w:firstLine="36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pPr>
            <w:r>
              <w:rPr/>
              <w:t>broker or dealers in securities or currencies;</w:t>
            </w:r>
          </w:p>
        </w:tc>
      </w:tr>
    </w:tbl>
    <w:p>
      <w:pPr>
        <w:pStyle w:val="TextBody"/>
        <w:bidi w:val="0"/>
        <w:spacing w:before="0" w:after="0"/>
        <w:ind w:left="0" w:right="0" w:firstLine="36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pPr>
            <w:r>
              <w:rPr/>
              <w:t>traders in securities that elect mark-to-market treatment;</w:t>
            </w:r>
          </w:p>
        </w:tc>
      </w:tr>
    </w:tbl>
    <w:p>
      <w:pPr>
        <w:pStyle w:val="TextBody"/>
        <w:bidi w:val="0"/>
        <w:spacing w:before="0" w:after="0"/>
        <w:ind w:left="0" w:right="0" w:firstLine="36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pPr>
            <w:r>
              <w:rPr/>
              <w:t>regulated investment companies;</w:t>
            </w:r>
          </w:p>
        </w:tc>
      </w:tr>
    </w:tbl>
    <w:p>
      <w:pPr>
        <w:pStyle w:val="TextBody"/>
        <w:bidi w:val="0"/>
        <w:spacing w:before="0" w:after="0"/>
        <w:ind w:left="0" w:right="0" w:firstLine="36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pPr>
            <w:r>
              <w:rPr/>
              <w:t>real estate investment trusts;</w:t>
            </w:r>
          </w:p>
        </w:tc>
      </w:tr>
    </w:tbl>
    <w:p>
      <w:pPr>
        <w:pStyle w:val="TextBody"/>
        <w:bidi w:val="0"/>
        <w:spacing w:before="0" w:after="0"/>
        <w:ind w:left="0" w:right="0" w:firstLine="360"/>
        <w:jc w:val="both"/>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both"/>
              <w:rPr/>
            </w:pPr>
            <w:r>
              <w:rPr/>
              <w:t>trusts or estates;</w:t>
            </w:r>
          </w:p>
        </w:tc>
      </w:tr>
    </w:tbl>
    <w:p>
      <w:pPr>
        <w:pStyle w:val="TextBody"/>
        <w:bidi w:val="0"/>
        <w:spacing w:before="0" w:after="0"/>
        <w:ind w:left="0" w:right="0" w:firstLine="360"/>
        <w:jc w:val="both"/>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38"/>
        <w:gridCol w:w="17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both"/>
              <w:rPr/>
            </w:pPr>
            <w:r>
              <w:rPr/>
              <w:t>tax-exempt organizations (including private foundations);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persons that hold Ordinary Shares as part of a “straddle,” “hedge,” “conversion,” “synthetic security,” “constructive sale,” or other integrated transaction for U.S. federal income tax purposes;</w:t>
            </w:r>
          </w:p>
        </w:tc>
      </w:tr>
    </w:tbl>
    <w:p>
      <w:pPr>
        <w:pStyle w:val="TextBody"/>
        <w:bidi w:val="0"/>
        <w:spacing w:before="0" w:after="0"/>
        <w:ind w:left="0" w:right="0" w:firstLine="360"/>
        <w:jc w:val="both"/>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17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pPr>
            <w:r>
              <w:rPr/>
              <w:t>persons that have a functional currency other than the U.S. dollar;</w:t>
            </w:r>
          </w:p>
        </w:tc>
      </w:tr>
    </w:tbl>
    <w:p>
      <w:pPr>
        <w:pStyle w:val="TextBody"/>
        <w:bidi w:val="0"/>
        <w:spacing w:before="0" w:after="0"/>
        <w:ind w:left="0" w:right="0" w:firstLine="36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pPr>
            <w:r>
              <w:rPr/>
              <w:t>certain U.S. expatriates or former long-term residents of the United States;</w:t>
            </w:r>
          </w:p>
        </w:tc>
      </w:tr>
    </w:tbl>
    <w:p>
      <w:pPr>
        <w:pStyle w:val="TextBody"/>
        <w:bidi w:val="0"/>
        <w:spacing w:before="0" w:after="0"/>
        <w:ind w:left="0" w:right="0" w:firstLine="36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pPr>
            <w:r>
              <w:rPr/>
              <w:t>persons owning (directly, indirectly, or constructively) 5% (by vote or value) or more of our shares;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persons that acquired Ordinary Shares pursuant to an exercise of employee stock options or otherwise as compensation;</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partnerships or other entities or arrangements treated as pass-through entities for U.S. federal income tax purposes and investors in such entities;</w:t>
            </w:r>
          </w:p>
        </w:tc>
      </w:tr>
    </w:tbl>
    <w:p>
      <w:pPr>
        <w:pStyle w:val="TextBody"/>
        <w:bidi w:val="0"/>
        <w:spacing w:before="0" w:after="0"/>
        <w:ind w:left="0" w:right="0" w:firstLine="36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pPr>
            <w:r>
              <w:rPr/>
              <w:t>“</w:t>
            </w:r>
            <w:r>
              <w:rPr/>
              <w:t>controlled foreign corporations” within the meaning of Section 957(a) of the Code;</w:t>
            </w:r>
          </w:p>
        </w:tc>
      </w:tr>
    </w:tbl>
    <w:p>
      <w:pPr>
        <w:pStyle w:val="TextBody"/>
        <w:bidi w:val="0"/>
        <w:spacing w:before="0" w:after="0"/>
        <w:ind w:left="0" w:right="0" w:firstLine="36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pPr>
            <w:r>
              <w:rPr/>
              <w:t>“</w:t>
            </w:r>
            <w:r>
              <w:rPr/>
              <w:t>passive foreign investment companies” within the meaning of Section 1297(a) of the Code; and</w:t>
            </w:r>
          </w:p>
        </w:tc>
      </w:tr>
    </w:tbl>
    <w:p>
      <w:pPr>
        <w:pStyle w:val="TextBody"/>
        <w:bidi w:val="0"/>
        <w:spacing w:before="0" w:after="0"/>
        <w:ind w:left="0" w:right="0" w:firstLine="36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pPr>
            <w:r>
              <w:rPr/>
              <w:t>corporations that accumulate earnings to avoid U.S. federal income tax.</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ordinary shares,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pPr>
            <w:r>
              <w:rPr/>
              <w:t>an individual who is a U.S. citizen or resident of the United States;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corporation (including an entity treated as a corporation for U.S. federal income tax purposes) created or organized in or under the laws of the United States, any state thereof, or the District of Columbia;</w:t>
            </w:r>
          </w:p>
        </w:tc>
      </w:tr>
    </w:tbl>
    <w:p>
      <w:pPr>
        <w:pStyle w:val="TextBody"/>
        <w:bidi w:val="0"/>
        <w:spacing w:before="0" w:after="0"/>
        <w:ind w:left="0" w:right="0" w:firstLine="36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an estate the income of which is subject to U.S. federal income taxation regardless of its source;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GENERAL INFORMATIONAL PURPOSES ONLY AND IS NOT TAX ADVICE. U.S. HOLDERS SHOULD CONSULT THEIR TAX ADVISORS REGARDING THE TAX CONSEQUENCES OF THE ACQUISITION, OWNERSHIP, AND DISPOSITION OF ORDINARY SHARES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Distributions on Ordinary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passive foreign investment company (“PFIC”) rules discussed below under “––Passive Foreign Investment Company Rules,”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the ordinary shares and will be treated as described below under “—Sale or Other Taxable Disposition of Ordinary Shares.”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Sale or Other Taxable Disposition of Ordinary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under “—Passive Foreign Investment Company Rules,”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Passive Foreign Investment Company Rules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U.S. Holders could be materially different from that described above if we are treated as a PFIC for U.S. federal income tax purposes. 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 (ii) 75% or more of its gross income consists of passive income. Passive income generally includes dividends, interest, royalties, rents,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analysis of our income, assets, activities, and market capitalization, we believe that we were not a PFIC, for U.S. federal income tax purposes, for the taxable year ended December 31, 2023. However, our PFIC status for any taxable year is a factual annual determination that can be made only after the end of the year and will depend on the composition of our income and assets and the value of our assets from time to time (including the value of our goodwill, which may be determined in large part by reference to the market price of the Class A ordinary shares from time to time, which could be volatile). In addition, the risk of us being a PFIC for any taxable year will increase if our market capitalization declines substantially during that year. Furthermore, whether and to which extent our income and assets, including goodwill, will be characterized as active or passive will depend on various factors that are subject to uncertainty, including our future business plan and the application of laws that are subject to varying interpretation. For example, there is no authority that directly addresses the proper treatment of certain items of our income, such as income from cryptocurrency self-mining, hash rate sharing, or hosting for purposes of the PFIC rules and, although we currently treat these items of income as active, such treatment is uncertain. Moreover, certain of our business activities generate passive income and, although the amount of such income is currently small, our risk of being a PFIC will increase if the proportion of our revenue earned from such business activities increases in future taxable years. Accordingly, there can be no assurances that we will not be a PFIC for its current or any future taxable year, and our U.S. counsel expresses no opinion with respect to our PFIC status for any taxable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PFIC status is generally determined annually, if we are determined to be a PFIC for any taxable year (or portion thereof) that is included in the holding period of a U.S. Holder in its ordinary shares and the U.S. Holder did not make either a mark-to-market election or a qualifying electing fund (“QEF”) election or, which are referred to collectively as the “PFIC Elections” for purposes of this discussion, for the first taxable year in which we are treated as a PFIC, and in which the U.S. Holder held (or was deemed to hold) ordinary shares, or the U.S. 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 Under these rules: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U.S. Holder’s gain or excess distribution will be allocated ratably over the U.S. Holder’s holding period in its ordinary shares;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amount allocated to other taxable years (or portions thereof) of the U.S. Holder and included in the U.S. Holder’s holding period will be taxed at the highest tax rate in effect for that year and applicable to the U.S. Holder;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additional tax equal to the interest charge generally applicable to underpayments of tax will be imposed on the U.S. Holder with respect to the tax attributable to each such other taxable year of the U.S. Holder.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PFIC Elections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our ordinary shares constitute “marketable stock,” a U.S. Holder may avoid the adverse PFIC tax consequences discussed above if such U.S. Holder makes a mark-to-market election with respect to its ordinary shares for the first taxable year in which the U.S. Holder holds (or is deemed to hold) the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generally, stock that is regularly traded on a national securities exchange that is registered with the SEC,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made, a mark-to-market election would be effective for the taxable year for which the election was made and for all subsequent taxable years unless our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the ordinary shares solely for purposes of the PFIC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Related PFIC Rules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at any time, has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PFIC RULES ARE VERY COMPLEX AND U.S. HOLDERS SHOULD CONSULT THEIR TAX ADVISORS REGARDING THE APPLICATION OF SUCH RULES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Reporting and Backup Withholding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regarding the information reporting requirements and the application of the backup withholding rules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Cayman Islands Tax Considerations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should consult their professional advisers on the possible tax consequences of buying, holding or selling any shares under the laws of their country of citizenship, residence or domicile.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on certain Cayman Islands income tax consequences of an investment in the Class A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Existing Cayman Islands Laws: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securities will not be subject to taxation in the Cayman Islands and no withholding will be required on the payment of interest and principal or a dividend or capital to any holder of Class A ordinary shares, nor will gains derived from the disposal of the Class A ordinary shares be subject to Cayman Islands income or corporation tax. The Cayman Islands currently have no income, corporation or capital gains tax and no estate duty, inheritance tax or gift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respect of the issue of our securities or on an instrument of transfer in respect of our securities, except for stamp duties which may be applicable on instruments executed in, or, after execution, brought within the jurisdiction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a_013"/>
      <w:bookmarkEnd w:id="28"/>
      <w:r>
        <w:rPr>
          <w:rFonts w:ascii="Times New Roman;Times;Serif" w:hAnsi="Times New Roman;Times;Serif"/>
          <w:b/>
          <w:i w:val="false"/>
          <w:caps w:val="false"/>
          <w:smallCaps w:val="false"/>
          <w:sz w:val="20"/>
        </w:rPr>
        <w:t>LEGAL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Cooley LLP with respect to certain legal matters as to United States federal securities and New York State law. The validity of ordinary shares has been passed on by Ogier.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a_014"/>
      <w:bookmarkEnd w:id="29"/>
      <w:r>
        <w:rPr>
          <w:rFonts w:ascii="Times New Roman;Times;Serif" w:hAnsi="Times New Roman;Times;Serif"/>
          <w:b/>
          <w:i w:val="false"/>
          <w:caps w:val="false"/>
          <w:smallCaps w:val="false"/>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Bitdeer Technologies Group incorporated in this prospectus by reference to the annual report on Form 20-F for the year ended December 31, 2023 have been so incorporated in reliance on the report of MaloneBailey, LLP, an independent registered public accounting firm,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 w:name="a_015"/>
      <w:bookmarkEnd w:id="30"/>
      <w:r>
        <w:rPr>
          <w:rFonts w:ascii="Times New Roman;Times;Serif" w:hAnsi="Times New Roman;Times;Serif"/>
          <w:b/>
          <w:i w:val="false"/>
          <w:caps w:val="false"/>
          <w:smallCaps w:val="false"/>
          <w:sz w:val="20"/>
        </w:rPr>
        <w:t>ENFORCEABILITY OF CIVIL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bidi w:val="0"/>
        <w:spacing w:before="0" w:after="0"/>
        <w:ind w:left="0" w:right="0" w:firstLine="36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pPr>
            <w:r>
              <w:rPr/>
              <w:t>political and economic stability;</w:t>
            </w:r>
          </w:p>
        </w:tc>
      </w:tr>
    </w:tbl>
    <w:p>
      <w:pPr>
        <w:pStyle w:val="TextBody"/>
        <w:bidi w:val="0"/>
        <w:spacing w:before="0" w:after="0"/>
        <w:ind w:left="0" w:right="0" w:firstLine="36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pPr>
            <w:r>
              <w:rPr/>
              <w:t>an effective judicial system;</w:t>
            </w:r>
          </w:p>
        </w:tc>
      </w:tr>
    </w:tbl>
    <w:p>
      <w:pPr>
        <w:pStyle w:val="TextBody"/>
        <w:bidi w:val="0"/>
        <w:spacing w:before="0" w:after="0"/>
        <w:ind w:left="0" w:right="0" w:firstLine="36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pPr>
            <w:r>
              <w:rPr/>
              <w:t>tax neutrality;</w:t>
            </w:r>
          </w:p>
        </w:tc>
      </w:tr>
    </w:tbl>
    <w:p>
      <w:pPr>
        <w:pStyle w:val="TextBody"/>
        <w:bidi w:val="0"/>
        <w:spacing w:before="0" w:after="0"/>
        <w:ind w:left="0" w:right="0" w:firstLine="36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the absence of exchange control or currency restrictions; and</w:t>
            </w:r>
          </w:p>
        </w:tc>
      </w:tr>
    </w:tbl>
    <w:p>
      <w:pPr>
        <w:pStyle w:val="TextBody"/>
        <w:bidi w:val="0"/>
        <w:spacing w:before="0" w:after="0"/>
        <w:ind w:left="0" w:right="0" w:firstLine="36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pPr>
            <w:r>
              <w:rPr/>
              <w:t>the availability of professional and support services.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Cayman Islands has a less developed body of securities laws as compared to the United States and these securities laws provide significantly less protection to investors as compared to those of the United States; and</w:t>
            </w:r>
          </w:p>
        </w:tc>
      </w:tr>
    </w:tbl>
    <w:p>
      <w:pPr>
        <w:pStyle w:val="TextBody"/>
        <w:bidi w:val="0"/>
        <w:spacing w:before="0" w:after="0"/>
        <w:ind w:left="0" w:right="0" w:firstLine="36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17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Cayman Islands companies may not have standing to sue before the federal courts of the United States.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constituent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Street, 18th Floor, New York, NY 10168, as our agent upon whom process may be served in any action brought against us under the securities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our counsel as to Cayman Islands law, has advised us that there is uncertainty as to whether the courts of the Cayman Islands would (i) recognize or enforce against us judgments of courts of the United States based on certain civil liability provisions of U.S. securities laws, and (ii) entertain original actions brought in the Cayman Islands against us or our directors or officers that are predicated upon the federal securities laws of the United States or the securities laws of any state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pStyle w:val="TextBody"/>
        <w:bidi w:val="0"/>
        <w:spacing w:before="0" w:after="0"/>
        <w:ind w:left="0" w:right="0" w:firstLine="36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75"/>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970" w:type="dxa"/>
            <w:tcBorders/>
            <w:vAlign w:val="center"/>
          </w:tcPr>
          <w:p>
            <w:pPr>
              <w:pStyle w:val="TableContents"/>
              <w:bidi w:val="0"/>
              <w:spacing w:before="0" w:after="283"/>
              <w:jc w:val="both"/>
              <w:rPr/>
            </w:pPr>
            <w:r>
              <w:rPr/>
              <w:t>is given by a foreign court of competent jurisdiction;</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283"/>
              <w:jc w:val="both"/>
              <w:rPr/>
            </w:pPr>
            <w:r>
              <w:rPr/>
              <w:t>imposes on the judgment debtor a liability to pay a liquidated sum for which the judgment has been given;</w:t>
            </w:r>
          </w:p>
        </w:tc>
      </w:tr>
    </w:tbl>
    <w:p>
      <w:pPr>
        <w:pStyle w:val="TextBody"/>
        <w:bidi w:val="0"/>
        <w:spacing w:before="0" w:after="0"/>
        <w:ind w:left="0" w:right="0" w:firstLine="360"/>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275"/>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195" w:type="dxa"/>
            <w:tcBorders/>
            <w:vAlign w:val="center"/>
          </w:tcPr>
          <w:p>
            <w:pPr>
              <w:pStyle w:val="TableContents"/>
              <w:bidi w:val="0"/>
              <w:spacing w:before="0" w:after="283"/>
              <w:jc w:val="both"/>
              <w:rPr/>
            </w:pPr>
            <w:r>
              <w:rPr/>
              <w:t>is final and conclusive;</w:t>
            </w:r>
          </w:p>
        </w:tc>
      </w:tr>
    </w:tbl>
    <w:p>
      <w:pPr>
        <w:pStyle w:val="TextBody"/>
        <w:bidi w:val="0"/>
        <w:spacing w:before="0" w:after="0"/>
        <w:ind w:left="0" w:right="0" w:firstLine="36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29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4175" w:type="dxa"/>
            <w:tcBorders/>
            <w:vAlign w:val="center"/>
          </w:tcPr>
          <w:p>
            <w:pPr>
              <w:pStyle w:val="TableContents"/>
              <w:bidi w:val="0"/>
              <w:spacing w:before="0" w:after="283"/>
              <w:jc w:val="both"/>
              <w:rPr/>
            </w:pPr>
            <w:r>
              <w:rPr/>
              <w:t>is not in respect of taxes, a fine or a penalty;</w:t>
            </w:r>
          </w:p>
        </w:tc>
      </w:tr>
    </w:tbl>
    <w:p>
      <w:pPr>
        <w:pStyle w:val="TextBody"/>
        <w:bidi w:val="0"/>
        <w:spacing w:before="0" w:after="0"/>
        <w:ind w:left="0" w:right="0" w:firstLine="360"/>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27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2960" w:type="dxa"/>
            <w:tcBorders/>
            <w:vAlign w:val="center"/>
          </w:tcPr>
          <w:p>
            <w:pPr>
              <w:pStyle w:val="TableContents"/>
              <w:bidi w:val="0"/>
              <w:spacing w:before="0" w:after="283"/>
              <w:jc w:val="both"/>
              <w:rPr/>
            </w:pPr>
            <w:r>
              <w:rPr/>
              <w:t>was not obtained by fraud;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(f)</w:t>
            </w:r>
          </w:p>
        </w:tc>
        <w:tc>
          <w:tcPr>
            <w:tcW w:w="9929" w:type="dxa"/>
            <w:tcBorders/>
            <w:vAlign w:val="center"/>
          </w:tcPr>
          <w:p>
            <w:pPr>
              <w:pStyle w:val="TableContents"/>
              <w:bidi w:val="0"/>
              <w:spacing w:before="0" w:after="283"/>
              <w:jc w:val="both"/>
              <w:rPr/>
            </w:pPr>
            <w:r>
              <w:rPr/>
              <w:t>is not of a kind the enforcement of which is contrary to natural justice or the public policy of the Cayman Islands.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a_016"/>
      <w:bookmarkEnd w:id="31"/>
      <w:r>
        <w:rPr>
          <w:rFonts w:ascii="Times New Roman;Times;Serif" w:hAnsi="Times New Roman;Times;Serif"/>
          <w:b/>
          <w:i w:val="false"/>
          <w:caps w:val="false"/>
          <w:smallCaps w:val="false"/>
          <w:sz w:val="20"/>
        </w:rPr>
        <w:t xml:space="preserve">WHERE YOU CAN FIND MORE INFORMATION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“shelf” registration statement (including amendments and exhibits to the registration statement) on Form F-3 under the Securities Act. This prospectus, which is part of the registration statement, does not contain all of the information included in the registration statement. For further information pertaining to us and our securities, you should refer to the registration statement and our exhibits.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applicable to foreign private issuers. Accordingly, we will be required to file or furnish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 filings, including the registration statement, are available to you on the SEC’s website at http://www.sec.gov. This site contains reports, proxy and information statements and other information regarding issuers that file electronically with the SEC. We also maintain a website at https://www.bitdeer.com/.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2" w:name="a_017"/>
      <w:bookmarkEnd w:id="32"/>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incorporates by reference important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any document incorporated or deemed to be incorporated by reference herein shall be deemed to be modified or superseded for purposes of this prospectus to the extent that a statement contained in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for the year ended December 31, 2023 on </w:t>
            </w:r>
            <w:hyperlink r:id="rId16">
              <w:r>
                <w:rPr>
                  <w:rStyle w:val="InternetLink"/>
                </w:rPr>
                <w:t>Form 20-F</w:t>
              </w:r>
            </w:hyperlink>
            <w:r>
              <w:rPr/>
              <w:t>, filed with the SEC on March 28, 2024;</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description of our ordinary shares contained in our registration statement on </w:t>
            </w:r>
            <w:hyperlink r:id="rId17">
              <w:r>
                <w:rPr>
                  <w:rStyle w:val="InternetLink"/>
                </w:rPr>
                <w:t>Form 8-A</w:t>
              </w:r>
            </w:hyperlink>
            <w:r>
              <w:rPr/>
              <w:t xml:space="preserve"> filed with the SEC on April 12, 2023, and any amendment or report filed for the purpose of updating such description;</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18">
              <w:r>
                <w:rPr>
                  <w:rStyle w:val="InternetLink"/>
                </w:rPr>
                <w:t>Form 6-K</w:t>
              </w:r>
            </w:hyperlink>
            <w:r>
              <w:rPr/>
              <w:t xml:space="preserve"> furnished to the SEC on May 14, 2024 that attaches as an exhibit our Unaudited Interim Condensed Consolidated Financial Statements, both for the three months ended March 31, 2023 and 2024 (other than to the extent the filing includes forward-looking guidance or projections);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19">
              <w:r>
                <w:rPr>
                  <w:rStyle w:val="InternetLink"/>
                </w:rPr>
                <w:t>Form 6-K</w:t>
              </w:r>
            </w:hyperlink>
            <w:r>
              <w:rPr/>
              <w:t xml:space="preserve"> furnished to the SEC on August 12, 2024 that attaches as an exhibit our Unaudited Interim Condensed Consolidated Financial Statements, both for the three and six months ended June 30, 2023 and 2024 (other than to the extent the filing includes forward-looking guidance or projections);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20">
              <w:r>
                <w:rPr>
                  <w:rStyle w:val="InternetLink"/>
                </w:rPr>
                <w:t>Form 6-K</w:t>
              </w:r>
            </w:hyperlink>
            <w:r>
              <w:rPr/>
              <w:t xml:space="preserve"> furnished to the SEC on September 3, 2024 that announces the appointment of Ms. Chao Suo to serve as the Chief Operating Officer;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21">
              <w:r>
                <w:rPr>
                  <w:rStyle w:val="InternetLink"/>
                </w:rPr>
                <w:t>Form 6-K</w:t>
              </w:r>
            </w:hyperlink>
            <w:r>
              <w:rPr/>
              <w:t xml:space="preserve"> furnished to the SEC on September 23, 2024 that attaches as exhibits our unaudited condensed consolidated financial statements as of June 30, 2024 and December 31, 2024 and for the six months ended June 30, 2024 and 2023 and disclosure regarding recent developments of our Company;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22">
              <w:r>
                <w:rPr>
                  <w:rStyle w:val="InternetLink"/>
                </w:rPr>
                <w:t>Form 6-K</w:t>
              </w:r>
            </w:hyperlink>
            <w:r>
              <w:rPr/>
              <w:t xml:space="preserve"> furnished to the SEC on November 18, 2024 that attaches as an exhibit our unaudited interim condensed consolidated financial statements, both for the three and nine months ended September 30, 2023 and 2024 (other than to the extent the filing includes forward-looking guidance or projections);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23">
              <w:r>
                <w:rPr>
                  <w:rStyle w:val="InternetLink"/>
                </w:rPr>
                <w:t>Form 6-K</w:t>
              </w:r>
            </w:hyperlink>
            <w:r>
              <w:rPr/>
              <w:t xml:space="preserve"> furnished to the SEC on November 22, 2024 that attaches as exhibits (i) announcement of proposed private placement of US$360.0 million principal amount of convertible senior notes due 2029, (ii) announcement of the pricing of US$360.0 million principal amount of 5.25% convertible senior notes due 2029 and (iii) our recent developments and risk factors;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24">
              <w:r>
                <w:rPr>
                  <w:rStyle w:val="InternetLink"/>
                </w:rPr>
                <w:t>Form 6-K</w:t>
              </w:r>
            </w:hyperlink>
            <w:r>
              <w:rPr/>
              <w:t xml:space="preserve"> furnished to the SEC on November 27, 2024 that attaches as exhibits (i) Indenture, dated November 26, 2024 by and between us and U.S. Bank Trust Company, National Association, (ii) form of zero-strike call confirmation, and (iii) form of global note, representing our 5.25% convertible senior note due 2029;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25">
              <w:r>
                <w:rPr>
                  <w:rStyle w:val="InternetLink"/>
                </w:rPr>
                <w:t>Form 6-K</w:t>
              </w:r>
            </w:hyperlink>
            <w:r>
              <w:rPr/>
              <w:t xml:space="preserve"> furnished to the SEC on December 5, 2024 that attaches as an exhibit our November 2024 production and operations update.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(i) after the filing of the registration statement of which this prospectus forms a part and prior to the effectiveness of such registration statement and (ii) after the date of this prospectus and prior to the completion of an offering of securities under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filings with the SEC, including annual reports on Form 20-F and current reports on Form 6-K and amendments to those reports, are available electronically on the SEC’s website at www.sec.gov.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 Kallang Avenue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Aperia tower 1, #09-03/04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339509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+65 62828220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or any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Class A Ordinary Shares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drawing>
          <wp:inline distT="0" distB="0" distL="0" distR="0">
            <wp:extent cx="3467100" cy="666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3467100" cy="666750"/>
                    </a:xfrm>
                    <a:prstGeom prst="rect">
                      <a:avLst/>
                    </a:prstGeom>
                  </pic:spPr>
                </pic:pic>
              </a:graphicData>
            </a:graphic>
          </wp:inline>
        </w:drawing>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Prospectus Supplement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Sole Placement Agent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w:t>
      </w:r>
    </w:p>
    <w:p>
      <w:pPr>
        <w:pStyle w:val="TextBody"/>
        <w:shd w:fill="FFFFFF" w:val="clear"/>
        <w:bidi w:val="0"/>
        <w:spacing w:before="0" w:after="0"/>
        <w:jc w:val="center"/>
        <w:rPr>
          <w:caps w:val="false"/>
          <w:smallCaps w:val="false"/>
        </w:rPr>
      </w:pPr>
      <w:r>
        <w:rPr>
          <w:caps w:val="false"/>
          <w:smallCaps w:val="false"/>
        </w:rPr>
        <w:t> </w:t>
      </w:r>
    </w:p>
    <w:p>
      <w:pPr>
        <w:pStyle w:val="TextBody"/>
        <w:bidi w:val="0"/>
        <w:jc w:val="center"/>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 2025</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shd w:fill="FFFFFF" w:val="clear"/>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99123/000114036125014766/ef20038928_20f.htm" TargetMode="External"/><Relationship Id="rId4" Type="http://schemas.openxmlformats.org/officeDocument/2006/relationships/hyperlink" Target="http://www.sec.gov/Archives/edgar/data/1899123/000110465923044314/tm2312555d1_8a12b.htm" TargetMode="External"/><Relationship Id="rId5" Type="http://schemas.openxmlformats.org/officeDocument/2006/relationships/hyperlink" Target="https://www.sec.gov/Archives/edgar/data/1899123/000121390025043726/ea0242111-6k_bitdeer.htm" TargetMode="External"/><Relationship Id="rId6" Type="http://schemas.openxmlformats.org/officeDocument/2006/relationships/hyperlink" Target="https://www.sec.gov/Archives/edgar/data/1899123/000121390025049129/ea0244021-6k_bitdeer.htm" TargetMode="External"/><Relationship Id="rId7" Type="http://schemas.openxmlformats.org/officeDocument/2006/relationships/hyperlink" Target="https://www.sec.gov/Archives/edgar/data/1899123/000121390025052079/ea0244945-6k_bitdeer.htm" TargetMode="External"/><Relationship Id="rId8" Type="http://schemas.openxmlformats.org/officeDocument/2006/relationships/hyperlink" Target="https://www.sec.gov/Archives/edgar/data/1899123/000121390025055406/ea0246053-6k_bitdeer.htm" TargetMode="External"/><Relationship Id="rId9" Type="http://schemas.openxmlformats.org/officeDocument/2006/relationships/hyperlink" Target="https://www.sec.gov/Archives/edgar/data/1899123/000121390025056729/ea0246533-6k_bitdeer.htm" TargetMode="External"/><Relationship Id="rId10" Type="http://schemas.openxmlformats.org/officeDocument/2006/relationships/hyperlink" Target="https://www.sec.gov/Archives/edgar/data/1899123/000121390025059212/ea0247488-6k_bitdeer.htm" TargetMode="External"/><Relationship Id="rId11" Type="http://schemas.openxmlformats.org/officeDocument/2006/relationships/hyperlink" Target="https://www.sec.gov/Archives/edgar/data/1899123/000121390025078134/ea0253320-6k_bitdeer.htm" TargetMode="External"/><Relationship Id="rId12" Type="http://schemas.openxmlformats.org/officeDocument/2006/relationships/hyperlink" Target="https://www.sec.gov/Archives/edgar/data/1899123/000121390025085290/ea0256374-6k_bitdeer.htm" TargetMode="External"/><Relationship Id="rId13" Type="http://schemas.openxmlformats.org/officeDocument/2006/relationships/hyperlink" Target="https://www.sec.gov/ix?doc=/Archives/edgar/data/1899123/000121390025093073/ea0256190-6k_bitdeer.htm" TargetMode="External"/><Relationship Id="rId14" Type="http://schemas.openxmlformats.org/officeDocument/2006/relationships/hyperlink" Target="https://www.sec.gov/Archives/edgar/data/1899123/000121390025107865/ea026473801-6k_bitdeer.htm" TargetMode="External"/><Relationship Id="rId15" Type="http://schemas.openxmlformats.org/officeDocument/2006/relationships/image" Target="media/image1.jpeg"/><Relationship Id="rId16" Type="http://schemas.openxmlformats.org/officeDocument/2006/relationships/hyperlink" Target="http://www.sec.gov/Archives/edgar/data/1899123/000114036124016150/ef200119374_20f.htm" TargetMode="External"/><Relationship Id="rId17" Type="http://schemas.openxmlformats.org/officeDocument/2006/relationships/hyperlink" Target="http://www.sec.gov/Archives/edgar/data/1899123/000110465923044314/tm2312555d1_8a12b.htm" TargetMode="External"/><Relationship Id="rId18" Type="http://schemas.openxmlformats.org/officeDocument/2006/relationships/hyperlink" Target="http://www.sec.gov/Archives/edgar/data/1899123/000114036124025827/ef20028792_6k.htm" TargetMode="External"/><Relationship Id="rId19" Type="http://schemas.openxmlformats.org/officeDocument/2006/relationships/hyperlink" Target="http://www.sec.gov/Archives/edgar/data/1899123/000114036124036828/ef20033833_6k.htm" TargetMode="External"/><Relationship Id="rId20" Type="http://schemas.openxmlformats.org/officeDocument/2006/relationships/hyperlink" Target="http://www.sec.gov/Archives/edgar/data/1899123/000114036124039855/ef20035365_6k.htm" TargetMode="External"/><Relationship Id="rId21" Type="http://schemas.openxmlformats.org/officeDocument/2006/relationships/hyperlink" Target="http://www.sec.gov/Archives/edgar/data/1899123/000114036124041606/ef20035247_6k.htm" TargetMode="External"/><Relationship Id="rId22" Type="http://schemas.openxmlformats.org/officeDocument/2006/relationships/hyperlink" Target="http://www.sec.gov/Archives/edgar/data/1899123/000114036124047159/ef20038562_6k.htm" TargetMode="External"/><Relationship Id="rId23" Type="http://schemas.openxmlformats.org/officeDocument/2006/relationships/hyperlink" Target="https://www.sec.gov/Archives/edgar/data/1899123/000114036124047636/ef20039115_6k.htm" TargetMode="External"/><Relationship Id="rId24" Type="http://schemas.openxmlformats.org/officeDocument/2006/relationships/hyperlink" Target="https://www.sec.gov/Archives/edgar/data/1899123/000114036124047972/ef20039196_6k.htm" TargetMode="External"/><Relationship Id="rId25" Type="http://schemas.openxmlformats.org/officeDocument/2006/relationships/hyperlink" Target="https://www.sec.gov/Archives/edgar/data/1899123/000114036124048440/ef20039505_6k.htm" TargetMode="External"/><Relationship Id="rId26" Type="http://schemas.openxmlformats.org/officeDocument/2006/relationships/image" Target="media/image2.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37778</Words>
  <Characters>198994</Characters>
  <CharactersWithSpaces>237245</CharactersWithSpaces>
  <Paragraphs>2280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