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20"/>
        <w:spacing w:after="0" w:line="207" w:lineRule="exact"/>
        <w:tabs>
          <w:tab w:leader="none" w:pos="57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 Bitdeer Announces March 2026 Production and Operations Update</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15,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3231515"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151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Announces March 2026 Production and Operations Update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Monthly Highlights</w:t>
      </w:r>
    </w:p>
    <w:p>
      <w:pPr>
        <w:spacing w:after="0" w:line="203"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Bitcoin: </w:t>
      </w:r>
      <w:r>
        <w:rPr>
          <w:rFonts w:ascii="Times New Roman" w:cs="Times New Roman" w:eastAsia="Times New Roman" w:hAnsi="Times New Roman"/>
          <w:sz w:val="18"/>
          <w:szCs w:val="18"/>
          <w:color w:val="auto"/>
        </w:rPr>
        <w:t>Production increased 480% Y/Y to 661 Bitcoin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SEALMINERs: </w:t>
      </w:r>
      <w:r>
        <w:rPr>
          <w:rFonts w:ascii="Times New Roman" w:cs="Times New Roman" w:eastAsia="Times New Roman" w:hAnsi="Times New Roman"/>
          <w:sz w:val="18"/>
          <w:szCs w:val="18"/>
          <w:color w:val="auto"/>
        </w:rPr>
        <w:t>SEALMINER A4 series officially launched with efficiency reaches to ~9.45 J/T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Colocation: </w:t>
      </w:r>
      <w:r>
        <w:rPr>
          <w:rFonts w:ascii="Times New Roman" w:cs="Times New Roman" w:eastAsia="Times New Roman" w:hAnsi="Times New Roman"/>
          <w:sz w:val="18"/>
          <w:szCs w:val="18"/>
          <w:color w:val="auto"/>
        </w:rPr>
        <w:t>Continued management focus on colocation lease agreements, with Tydal, Norway site in negotiations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AI Cloud: </w:t>
      </w:r>
      <w:r>
        <w:rPr>
          <w:rFonts w:ascii="Times New Roman" w:cs="Times New Roman" w:eastAsia="Times New Roman" w:hAnsi="Times New Roman"/>
          <w:sz w:val="18"/>
          <w:szCs w:val="18"/>
          <w:color w:val="auto"/>
        </w:rPr>
        <w:t>Demonstrating strong M/M performance in ARR and utilization rates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Key Metrics Summary</w:t>
            </w:r>
          </w:p>
        </w:tc>
        <w:tc>
          <w:tcPr>
            <w:tcW w:w="4480" w:type="dxa"/>
            <w:vAlign w:val="bottom"/>
          </w:tcPr>
          <w:p>
            <w:pPr>
              <w:spacing w:after="0"/>
              <w:rPr>
                <w:sz w:val="20"/>
                <w:szCs w:val="20"/>
                <w:color w:val="auto"/>
              </w:rPr>
            </w:pPr>
          </w:p>
        </w:tc>
      </w:tr>
      <w:tr>
        <w:trPr>
          <w:trHeight w:val="450"/>
        </w:trPr>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Global Energy</w:t>
            </w: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Self-Mining</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Self-Owned</w:t>
            </w: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BTC</w:t>
            </w: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AI Cloud</w:t>
            </w:r>
          </w:p>
        </w:tc>
        <w:tc>
          <w:tcPr>
            <w:tcW w:w="4480" w:type="dxa"/>
            <w:vAlign w:val="bottom"/>
          </w:tcPr>
          <w:p>
            <w:pPr>
              <w:spacing w:after="0"/>
              <w:rPr>
                <w:sz w:val="24"/>
                <w:szCs w:val="24"/>
                <w:color w:val="auto"/>
              </w:rPr>
            </w:pPr>
          </w:p>
        </w:tc>
      </w:tr>
      <w:tr>
        <w:trPr>
          <w:trHeight w:val="245"/>
        </w:trPr>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Hash Rate</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Rigs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Mined</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ARR</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Colocation AI Data Center</w:t>
            </w:r>
          </w:p>
        </w:tc>
      </w:tr>
      <w:tr>
        <w:trPr>
          <w:trHeight w:val="238"/>
        </w:trPr>
        <w:tc>
          <w:tcPr>
            <w:tcW w:w="12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3.0 GW</w:t>
            </w:r>
          </w:p>
        </w:tc>
        <w:tc>
          <w:tcPr>
            <w:tcW w:w="140" w:type="dxa"/>
            <w:vAlign w:val="bottom"/>
          </w:tcPr>
          <w:p>
            <w:pPr>
              <w:spacing w:after="0"/>
              <w:rPr>
                <w:sz w:val="20"/>
                <w:szCs w:val="20"/>
                <w:color w:val="auto"/>
              </w:rPr>
            </w:pPr>
          </w:p>
        </w:tc>
        <w:tc>
          <w:tcPr>
            <w:tcW w:w="12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69.5 (EH/s)</w:t>
            </w:r>
          </w:p>
        </w:tc>
        <w:tc>
          <w:tcPr>
            <w:tcW w:w="120" w:type="dxa"/>
            <w:vAlign w:val="bottom"/>
          </w:tcPr>
          <w:p>
            <w:pPr>
              <w:spacing w:after="0"/>
              <w:rPr>
                <w:sz w:val="20"/>
                <w:szCs w:val="20"/>
                <w:color w:val="auto"/>
              </w:rPr>
            </w:pPr>
          </w:p>
        </w:tc>
        <w:tc>
          <w:tcPr>
            <w:tcW w:w="124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225K</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661</w:t>
            </w:r>
          </w:p>
        </w:tc>
        <w:tc>
          <w:tcPr>
            <w:tcW w:w="100" w:type="dxa"/>
            <w:vAlign w:val="bottom"/>
          </w:tcPr>
          <w:p>
            <w:pPr>
              <w:spacing w:after="0"/>
              <w:rPr>
                <w:sz w:val="20"/>
                <w:szCs w:val="20"/>
                <w:color w:val="auto"/>
              </w:rPr>
            </w:pPr>
          </w:p>
        </w:tc>
        <w:tc>
          <w:tcPr>
            <w:tcW w:w="122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~$43M</w:t>
            </w:r>
          </w:p>
        </w:tc>
        <w:tc>
          <w:tcPr>
            <w:tcW w:w="1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Tydal, Norway in negotiations</w:t>
            </w:r>
          </w:p>
        </w:tc>
      </w:tr>
    </w:tbl>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SINGAPORE, April 15, 2026 (GLOBE NEWSWIRE) --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world-leading technology company for AI and Bitcoin mining infrastructure, today announced its unaudited operations updates for March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month marks a pivotal milestone in our company’s evolution. Driven by accelerating demand from AI customers, our AI cloud business achieved approximately $43 million in ARR, a 105% increase month over month. This momentum underscores both the scale of the market opportunity and our ability to execute effectively in delivering high-performance AI infrastructure.” said Matt Kong, Chief Business Officer of Bitdeer. “In parallel, our Bitcoin mining operations achieved ~70 EH/s, an 504% increase year over year. This achievement reflects our continued operational excellence and disciplined execution of our vertical integration strategy. Importantly, we are in negotiations with potential tenants regarding our colocation AI data center in Tydal, Norway, and we expect to close these agreements in the near term. These potential contracts further increase our revenue streams and reinforce the profitability of our growth.” Matt Kong continued, “Looking ahead, we remain confident that demand for AI infrastructure will continue to grow. With our expanding capacity, proven execution, and clear strategic direction, we expect our AI cloud revenue to further accelerate in the coming months.”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 Mining Update: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 Mining, R&amp;D, Manufacturing:</w:t>
      </w:r>
    </w:p>
    <w:p>
      <w:pPr>
        <w:spacing w:after="0" w:line="229"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Self-Mined 661 Bitcoins, an increase of approximately 480% year over year. March mining was impacted by seasonal factors in Norway and Bhutan; we expect continued strong momentum in our mining results over the coming months.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Self-mining hash rate reached ~70 EH/s.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Bitdeer expects self-mining hash rate to continue to grow for the next several months.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SEALMINER A4 series officially launched with efficiency reaching to 9.45 J/T in early April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Key Crypto Metrics: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5688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6882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Hash Rate Metrics: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Self-Mining (Operated in self-owned datacenters)</w:t>
      </w:r>
    </w:p>
    <w:p>
      <w:pPr>
        <w:spacing w:after="0" w:line="199" w:lineRule="auto"/>
        <w:rPr>
          <w:sz w:val="20"/>
          <w:szCs w:val="20"/>
          <w:color w:val="auto"/>
        </w:rPr>
      </w:pPr>
      <w:r>
        <w:rPr>
          <w:rFonts w:ascii="Times New Roman" w:cs="Times New Roman" w:eastAsia="Times New Roman" w:hAnsi="Times New Roman"/>
          <w:sz w:val="17"/>
          <w:szCs w:val="17"/>
          <w:color w:val="auto"/>
        </w:rPr>
        <w:t>Self-Mining (Operated in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parties’ datacenters)</w:t>
      </w:r>
    </w:p>
    <w:p>
      <w:pPr>
        <w:spacing w:after="0"/>
        <w:rPr>
          <w:sz w:val="20"/>
          <w:szCs w:val="20"/>
          <w:color w:val="auto"/>
        </w:rPr>
      </w:pPr>
      <w:r>
        <w:rPr>
          <w:rFonts w:ascii="Times New Roman" w:cs="Times New Roman" w:eastAsia="Times New Roman" w:hAnsi="Times New Roman"/>
          <w:sz w:val="18"/>
          <w:szCs w:val="18"/>
          <w:color w:val="auto"/>
        </w:rPr>
        <w:t>Other Proprietary Hash Rate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Hosting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Hash Rate under Mgmt.</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(EH/s)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Mining Rig Metrics:</w:t>
      </w:r>
    </w:p>
    <w:p>
      <w:pPr>
        <w:spacing w:after="0" w:line="208" w:lineRule="auto"/>
        <w:rPr>
          <w:sz w:val="20"/>
          <w:szCs w:val="20"/>
          <w:color w:val="auto"/>
        </w:rPr>
      </w:pPr>
      <w:r>
        <w:rPr>
          <w:rFonts w:ascii="Times New Roman" w:cs="Times New Roman" w:eastAsia="Times New Roman" w:hAnsi="Times New Roman"/>
          <w:sz w:val="18"/>
          <w:szCs w:val="18"/>
          <w:color w:val="auto"/>
        </w:rPr>
        <w:t>Self-owned</w:t>
      </w:r>
      <w:r>
        <w:rPr>
          <w:rFonts w:ascii="Times New Roman" w:cs="Times New Roman" w:eastAsia="Times New Roman" w:hAnsi="Times New Roman"/>
          <w:sz w:val="29"/>
          <w:szCs w:val="29"/>
          <w:color w:val="auto"/>
          <w:vertAlign w:val="superscript"/>
        </w:rPr>
        <w:t>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Hosted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Mining Rigs under Mgmt.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Metrics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BTC Mined (Self-Mining only)</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BTC Held</w:t>
      </w:r>
      <w:r>
        <w:rPr>
          <w:rFonts w:ascii="Times New Roman" w:cs="Times New Roman" w:eastAsia="Times New Roman" w:hAnsi="Times New Roman"/>
          <w:sz w:val="29"/>
          <w:szCs w:val="29"/>
          <w:color w:val="auto"/>
          <w:vertAlign w:val="superscript"/>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March</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February</w:t>
            </w: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w:t>
            </w:r>
          </w:p>
        </w:tc>
      </w:tr>
      <w:tr>
        <w:trPr>
          <w:trHeight w:val="245"/>
        </w:trPr>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32"/>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8"/>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r>
      <w:tr>
        <w:trPr>
          <w:trHeight w:val="29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78.1</w:t>
            </w:r>
          </w:p>
        </w:tc>
        <w:tc>
          <w:tcPr>
            <w:tcW w:w="2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r>
      <w:tr>
        <w:trPr>
          <w:trHeight w:val="21"/>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84"/>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225,000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97,000</w:t>
            </w: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78,000</w:t>
            </w: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r>
      <w:tr>
        <w:trPr>
          <w:trHeight w:val="25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262,000</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276,000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175,000</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48"/>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7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-2219325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-1919605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-1628140</wp:posOffset>
            </wp:positionV>
            <wp:extent cx="713232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-1259205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-959485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-624840</wp:posOffset>
            </wp:positionV>
            <wp:extent cx="713232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-325120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6600" w:space="720"/>
            <w:col w:w="3920"/>
          </w:cols>
          <w:pgMar w:left="320" w:top="900" w:right="339" w:bottom="1440" w:gutter="0" w:footer="0" w:header="0"/>
        </w:sectPr>
      </w:pPr>
    </w:p>
    <w:p>
      <w:pPr>
        <w:ind w:left="340" w:hanging="332"/>
        <w:spacing w:after="0"/>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Total hash rate under management </w:t>
      </w:r>
      <w:r>
        <w:rPr>
          <w:rFonts w:ascii="Times New Roman" w:cs="Times New Roman" w:eastAsia="Times New Roman" w:hAnsi="Times New Roman"/>
          <w:sz w:val="18"/>
          <w:szCs w:val="18"/>
          <w:color w:val="auto"/>
        </w:rPr>
        <w:t>as of March 31, 2026 across Bitdeer’s primary business lines: Self-mining, Cloud Hash Rate, and Hosting.</w:t>
      </w:r>
    </w:p>
    <w:p>
      <w:pPr>
        <w:spacing w:after="0" w:line="194"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Self-mining (Operated in self-owned datacenters) </w:t>
      </w:r>
      <w:r>
        <w:rPr>
          <w:rFonts w:ascii="Times New Roman" w:cs="Times New Roman" w:eastAsia="Times New Roman" w:hAnsi="Times New Roman"/>
          <w:sz w:val="18"/>
          <w:szCs w:val="18"/>
          <w:color w:val="auto"/>
        </w:rPr>
        <w:t>refers to cryptocurrency mining for Bitdeer’s own account, whereby its mining rigs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operated in self-owned datacenters, enabling the company to directly capture the high appreciation potential of cryptocurrency.</w:t>
      </w:r>
    </w:p>
    <w:p>
      <w:pPr>
        <w:spacing w:after="0" w:line="15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Self-mining (Operated in 3rd parties datacenter) </w:t>
      </w:r>
      <w:r>
        <w:rPr>
          <w:rFonts w:ascii="Times New Roman" w:cs="Times New Roman" w:eastAsia="Times New Roman" w:hAnsi="Times New Roman"/>
          <w:sz w:val="18"/>
          <w:szCs w:val="18"/>
          <w:color w:val="auto"/>
        </w:rPr>
        <w:t>refers to cryptocurrency mining for Bitdeer’s own account, whereby its mining rigs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operated in third-party datacenters, enabling the company to directly capture the high appreciation potential of cryptocurrency.</w:t>
      </w:r>
    </w:p>
    <w:p>
      <w:pPr>
        <w:spacing w:after="0" w:line="155"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Hosting </w:t>
      </w:r>
      <w:r>
        <w:rPr>
          <w:rFonts w:ascii="Times New Roman" w:cs="Times New Roman" w:eastAsia="Times New Roman" w:hAnsi="Times New Roman"/>
          <w:sz w:val="18"/>
          <w:szCs w:val="18"/>
          <w:color w:val="auto"/>
        </w:rPr>
        <w:t>encompasses a one-stop mining machine hosting solution including deployment, maintenance, and management services for efficient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cryptocurrency mining.</w:t>
      </w:r>
    </w:p>
    <w:p>
      <w:pPr>
        <w:spacing w:after="0" w:line="4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Self-owned mining machines </w:t>
      </w:r>
      <w:r>
        <w:rPr>
          <w:rFonts w:ascii="Times New Roman" w:cs="Times New Roman" w:eastAsia="Times New Roman" w:hAnsi="Times New Roman"/>
          <w:sz w:val="18"/>
          <w:szCs w:val="18"/>
          <w:color w:val="auto"/>
        </w:rPr>
        <w:t>are for Bitdeer’s self-mining business and Cloud Hash Rate business.</w:t>
      </w:r>
    </w:p>
    <w:p>
      <w:pPr>
        <w:spacing w:after="0" w:line="87"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Bitcoins held </w:t>
      </w:r>
      <w:r>
        <w:rPr>
          <w:rFonts w:ascii="Times New Roman" w:cs="Times New Roman" w:eastAsia="Times New Roman" w:hAnsi="Times New Roman"/>
          <w:sz w:val="18"/>
          <w:szCs w:val="18"/>
          <w:color w:val="auto"/>
        </w:rPr>
        <w:t>does not include Bitcoins from customer deposits, but does include Bitcoins that are pledged as collateral by us.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SEALMINER Manufacturing Metrics:</w:t>
            </w: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March</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0" w:type="dxa"/>
            <w:vAlign w:val="bottom"/>
          </w:tcPr>
          <w:p>
            <w:pPr>
              <w:spacing w:after="0"/>
              <w:rPr>
                <w:sz w:val="1"/>
                <w:szCs w:val="1"/>
                <w:color w:val="auto"/>
              </w:rPr>
            </w:pPr>
          </w:p>
        </w:tc>
      </w:tr>
      <w:tr>
        <w:trPr>
          <w:trHeight w:val="245"/>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Mining Rig Model (EH/s)</w:t>
            </w:r>
          </w:p>
        </w:tc>
        <w:tc>
          <w:tcPr>
            <w:tcW w:w="42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Stage</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SEALMINER A4</w:t>
            </w:r>
          </w:p>
        </w:tc>
        <w:tc>
          <w:tcPr>
            <w:tcW w:w="120" w:type="dxa"/>
            <w:vAlign w:val="bottom"/>
            <w:tcBorders>
              <w:top w:val="single" w:sz="8" w:color="CCEEFF"/>
            </w:tcBorders>
            <w:shd w:val="clear" w:color="auto" w:fill="CCEEFF"/>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 final assembly</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SEALMINER A3</w:t>
            </w: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final assembly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Ready for shipping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transit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Cumulative </w:t>
            </w:r>
            <w:r>
              <w:rPr>
                <w:rFonts w:ascii="Times New Roman" w:cs="Times New Roman" w:eastAsia="Times New Roman" w:hAnsi="Times New Roman"/>
                <w:sz w:val="18"/>
                <w:szCs w:val="18"/>
                <w:b w:val="1"/>
                <w:bCs w:val="1"/>
                <w:color w:val="auto"/>
              </w:rPr>
              <w:t>A3</w:t>
            </w:r>
            <w:r>
              <w:rPr>
                <w:rFonts w:ascii="Times New Roman" w:cs="Times New Roman" w:eastAsia="Times New Roman" w:hAnsi="Times New Roman"/>
                <w:sz w:val="18"/>
                <w:szCs w:val="18"/>
                <w:color w:val="auto"/>
              </w:rPr>
              <w:t xml:space="preserve"> Deployed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SEALMINER A2</w:t>
            </w: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final assembly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Ready for shipping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transit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A2 external sales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Cumulative </w:t>
            </w:r>
            <w:r>
              <w:rPr>
                <w:rFonts w:ascii="Times New Roman" w:cs="Times New Roman" w:eastAsia="Times New Roman" w:hAnsi="Times New Roman"/>
                <w:sz w:val="18"/>
                <w:szCs w:val="18"/>
                <w:b w:val="1"/>
                <w:bCs w:val="1"/>
                <w:color w:val="auto"/>
              </w:rPr>
              <w:t>A2</w:t>
            </w:r>
            <w:r>
              <w:rPr>
                <w:rFonts w:ascii="Times New Roman" w:cs="Times New Roman" w:eastAsia="Times New Roman" w:hAnsi="Times New Roman"/>
                <w:sz w:val="18"/>
                <w:szCs w:val="18"/>
                <w:color w:val="auto"/>
              </w:rPr>
              <w:t xml:space="preserve"> Deployed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SEALMINER A1</w:t>
            </w: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Cumulative </w:t>
            </w:r>
            <w:r>
              <w:rPr>
                <w:rFonts w:ascii="Times New Roman" w:cs="Times New Roman" w:eastAsia="Times New Roman" w:hAnsi="Times New Roman"/>
                <w:sz w:val="18"/>
                <w:szCs w:val="18"/>
                <w:b w:val="1"/>
                <w:bCs w:val="1"/>
                <w:color w:val="auto"/>
              </w:rPr>
              <w:t>A1</w:t>
            </w:r>
            <w:r>
              <w:rPr>
                <w:rFonts w:ascii="Times New Roman" w:cs="Times New Roman" w:eastAsia="Times New Roman" w:hAnsi="Times New Roman"/>
                <w:sz w:val="18"/>
                <w:szCs w:val="18"/>
                <w:color w:val="auto"/>
              </w:rPr>
              <w:t xml:space="preserve"> Deployed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0"/>
        </w:trPr>
        <w:tc>
          <w:tcPr>
            <w:tcW w:w="440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Party Miners</w:t>
            </w: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Cumulative Deployed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4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Proprietary Hash Rate</w:t>
            </w:r>
          </w:p>
        </w:tc>
        <w:tc>
          <w:tcPr>
            <w:tcW w:w="4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Deployed</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gridSpan w:val="2"/>
            <w:vMerge w:val="continue"/>
            <w:shd w:val="clear" w:color="auto" w:fill="CCEEFF"/>
          </w:tcPr>
          <w:p>
            <w:pPr>
              <w:spacing w:after="0"/>
              <w:rPr>
                <w:sz w:val="21"/>
                <w:szCs w:val="21"/>
                <w:color w:val="auto"/>
              </w:rPr>
            </w:pPr>
          </w:p>
        </w:tc>
        <w:tc>
          <w:tcPr>
            <w:tcW w:w="4280" w:type="dxa"/>
            <w:vAlign w:val="bottom"/>
            <w:gridSpan w:val="2"/>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70.1</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ind w:left="11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Bitdeer AI Update: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Colocation AI Data Center:</w:t>
      </w:r>
    </w:p>
    <w:p>
      <w:pPr>
        <w:spacing w:after="0" w:line="229"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Bitdeer is in negotiations with potential colocation tenants for Tydal, Norway and remains in active dialogue in Clarington, Ohio and various other sites.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AI Cloud Key Metrics: </w:t>
            </w:r>
            <w:r>
              <w:rPr>
                <w:rFonts w:ascii="Times New Roman" w:cs="Times New Roman" w:eastAsia="Times New Roman" w:hAnsi="Times New Roman"/>
                <w:sz w:val="18"/>
                <w:szCs w:val="18"/>
                <w:i w:val="1"/>
                <w:iCs w:val="1"/>
                <w:color w:val="auto"/>
              </w:rPr>
              <w:t>(as of 3/31/2026)</w:t>
            </w:r>
            <w:r>
              <w:rPr>
                <w:rFonts w:ascii="Times New Roman" w:cs="Times New Roman" w:eastAsia="Times New Roman" w:hAnsi="Times New Roman"/>
                <w:sz w:val="18"/>
                <w:szCs w:val="18"/>
                <w:b w:val="1"/>
                <w:bCs w:val="1"/>
                <w:color w:val="auto"/>
              </w:rPr>
              <w:t>:</w:t>
            </w: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37"/>
        </w:trPr>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March</w:t>
            </w:r>
          </w:p>
        </w:tc>
        <w:tc>
          <w:tcPr>
            <w:tcW w:w="26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February</w:t>
            </w:r>
          </w:p>
        </w:tc>
      </w:tr>
      <w:tr>
        <w:trPr>
          <w:trHeight w:val="245"/>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1"/>
                <w:szCs w:val="2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r>
      <w:tr>
        <w:trPr>
          <w:trHeight w:val="216"/>
        </w:trPr>
        <w:tc>
          <w:tcPr>
            <w:tcW w:w="5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GPU Amount Deployed</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2,128</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2,096</w:t>
            </w:r>
          </w:p>
        </w:tc>
      </w:tr>
      <w:tr>
        <w:trPr>
          <w:trHeight w:val="21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GPU Types</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H100, H200, B200, GB200</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H100, H200, B200, GB200</w:t>
            </w:r>
          </w:p>
        </w:tc>
      </w:tr>
      <w:tr>
        <w:trPr>
          <w:trHeight w:val="216"/>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Utilization Rate</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94%</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64%</w:t>
            </w:r>
          </w:p>
        </w:tc>
      </w:tr>
      <w:tr>
        <w:trPr>
          <w:trHeight w:val="21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GPUs Under External Subscription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1,948</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1,240</w:t>
            </w:r>
          </w:p>
        </w:tc>
      </w:tr>
      <w:tr>
        <w:trPr>
          <w:trHeight w:val="284"/>
        </w:trPr>
        <w:tc>
          <w:tcPr>
            <w:tcW w:w="5760" w:type="dxa"/>
            <w:vAlign w:val="bottom"/>
            <w:gridSpan w:val="2"/>
            <w:shd w:val="clear" w:color="auto" w:fill="CCEEFF"/>
          </w:tcPr>
          <w:p>
            <w:pPr>
              <w:ind w:left="20"/>
              <w:spacing w:after="0" w:line="284" w:lineRule="exact"/>
              <w:rPr>
                <w:sz w:val="20"/>
                <w:szCs w:val="20"/>
                <w:color w:val="auto"/>
              </w:rPr>
            </w:pPr>
            <w:r>
              <w:rPr>
                <w:rFonts w:ascii="Times New Roman" w:cs="Times New Roman" w:eastAsia="Times New Roman" w:hAnsi="Times New Roman"/>
                <w:sz w:val="18"/>
                <w:szCs w:val="18"/>
                <w:color w:val="auto"/>
              </w:rPr>
              <w:t>ARR</w:t>
            </w:r>
            <w:r>
              <w:rPr>
                <w:rFonts w:ascii="Times New Roman" w:cs="Times New Roman" w:eastAsia="Times New Roman" w:hAnsi="Times New Roman"/>
                <w:sz w:val="29"/>
                <w:szCs w:val="29"/>
                <w:color w:val="auto"/>
                <w:vertAlign w:val="superscript"/>
              </w:rPr>
              <w:t>4</w:t>
            </w: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~$43M</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~$21M</w:t>
            </w:r>
          </w:p>
        </w:tc>
      </w:tr>
    </w:tbl>
    <w:p>
      <w:pPr>
        <w:spacing w:after="0" w:line="194" w:lineRule="exact"/>
        <w:rPr>
          <w:sz w:val="20"/>
          <w:szCs w:val="20"/>
          <w:color w:val="auto"/>
        </w:rPr>
      </w:pPr>
    </w:p>
    <w:p>
      <w:pPr>
        <w:ind w:left="340" w:hanging="332"/>
        <w:spacing w:after="0" w:line="206" w:lineRule="auto"/>
        <w:tabs>
          <w:tab w:leader="none" w:pos="340" w:val="left"/>
        </w:tabs>
        <w:numPr>
          <w:ilvl w:val="0"/>
          <w:numId w:val="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b w:val="1"/>
          <w:bCs w:val="1"/>
          <w:color w:val="auto"/>
        </w:rPr>
        <w:t xml:space="preserve">ARR </w:t>
      </w:r>
      <w:r>
        <w:rPr>
          <w:rFonts w:ascii="Times New Roman" w:cs="Times New Roman" w:eastAsia="Times New Roman" w:hAnsi="Times New Roman"/>
          <w:sz w:val="17"/>
          <w:szCs w:val="17"/>
          <w:color w:val="auto"/>
        </w:rPr>
        <w:t>as of the last day of the respective month is calculated by multiplying the daily revenue generated from all contractually obligated GPU orders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specific day by 365. This metric provides an annualized view of the revenue run-rate based on active contracts at the end of the reporting period.</w:t>
      </w:r>
    </w:p>
    <w:p>
      <w:pPr>
        <w:spacing w:after="0" w:line="197" w:lineRule="exact"/>
        <w:rPr>
          <w:rFonts w:ascii="Times New Roman" w:cs="Times New Roman" w:eastAsia="Times New Roman" w:hAnsi="Times New Roman"/>
          <w:sz w:val="29"/>
          <w:szCs w:val="29"/>
          <w:color w:val="auto"/>
          <w:vertAlign w:val="superscript"/>
        </w:rPr>
      </w:pPr>
    </w:p>
    <w:p>
      <w:pPr>
        <w:ind w:left="66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Cloud Operations: Maintained strong growth momentum with high GPU utilization driven by robust GPU demand and AI agent workloads, while a shift toward more mid-to-long-term contracts has improved revenue visibility and cash flow stability.</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Model Studio Evolution: Successfully rebuilt Model Studio into a unified, high-performance platform that now supports over 50 leading open-source models, enabling enterprises to deploy everything from basic inference to advanced multimodal applications.</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Agentic AI &amp; NVIDIA Ecosystem: Expanded capabilities into agentic AI by integrating with the NVIDIA NemoClaw platform, providing secure, enterprise-grade environments for executing complex, multi-step workflows and cross-system orchestration.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Market Engagement: Strengthened global brand presence and generated incremental business opportunities through the showcase of integrated AI solutions at the NVIDIA GTC conference.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1"/>
        </w:trPr>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Infrastructure Summary</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(MW)</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Energization</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277"/>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Site</w:t>
            </w: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Capacity</w:t>
            </w:r>
          </w:p>
        </w:tc>
        <w:tc>
          <w:tcPr>
            <w:tcW w:w="112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Timing</w:t>
            </w:r>
            <w:r>
              <w:rPr>
                <w:rFonts w:ascii="Times New Roman" w:cs="Times New Roman" w:eastAsia="Times New Roman" w:hAnsi="Times New Roman"/>
                <w:sz w:val="29"/>
                <w:szCs w:val="29"/>
                <w:color w:val="auto"/>
                <w:vertAlign w:val="superscript"/>
              </w:rPr>
              <w:t>5</w:t>
            </w:r>
          </w:p>
        </w:tc>
        <w:tc>
          <w:tcPr>
            <w:tcW w:w="2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Planned Usage</w:t>
            </w:r>
          </w:p>
        </w:tc>
        <w:tc>
          <w:tcPr>
            <w:tcW w:w="120" w:type="dxa"/>
            <w:vAlign w:val="bottom"/>
          </w:tcPr>
          <w:p>
            <w:pPr>
              <w:spacing w:after="0"/>
              <w:rPr>
                <w:sz w:val="24"/>
                <w:szCs w:val="24"/>
                <w:color w:val="auto"/>
              </w:rPr>
            </w:pPr>
          </w:p>
        </w:tc>
        <w:tc>
          <w:tcPr>
            <w:tcW w:w="39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Construction Update</w:t>
            </w:r>
          </w:p>
        </w:tc>
      </w:tr>
      <w:tr>
        <w:trPr>
          <w:trHeight w:val="238"/>
        </w:trPr>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Online Electrical Capacity:</w:t>
            </w:r>
          </w:p>
        </w:tc>
        <w:tc>
          <w:tcPr>
            <w:tcW w:w="1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Borders>
              <w:top w:val="single" w:sz="8" w:color="auto"/>
            </w:tcBorders>
          </w:tcPr>
          <w:p>
            <w:pPr>
              <w:spacing w:after="0"/>
              <w:rPr>
                <w:sz w:val="20"/>
                <w:szCs w:val="20"/>
                <w:color w:val="auto"/>
              </w:rPr>
            </w:pPr>
          </w:p>
        </w:tc>
      </w:tr>
      <w:tr>
        <w:trPr>
          <w:trHeight w:val="39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Rockdale, TX</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Online</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Crypto to Colocation / AI</w:t>
            </w: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Cloud</w:t>
            </w: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Knoxville, TN – phase 1</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Q4 ’26</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Crypto to AI Cloud</w:t>
            </w: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Phase 1 AI data center conversion design work</w:t>
            </w:r>
          </w:p>
        </w:tc>
      </w:tr>
      <w:tr>
        <w:trPr>
          <w:trHeight w:val="234"/>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initiated, targeting to complete by Q4 ’26.</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Knoxville, TN – phase 2</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Q1 ’27</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Wenatchee, WA</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Q4 ’26</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Crypto to AI Cloud</w:t>
            </w: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AI data center design documents and building permit</w:t>
            </w: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application submitted for approval. Core equipment is</w:t>
            </w: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being delivered in succession; we plan to begin with a</w:t>
            </w: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GB300 cluster. Dismantling of the crypto mining</w:t>
            </w: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datacenter started in March 2026. Completion targeted</w:t>
            </w:r>
          </w:p>
        </w:tc>
      </w:tr>
      <w:tr>
        <w:trPr>
          <w:trHeight w:val="234"/>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Q4 ’26.</w:t>
            </w: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Molde, Norway</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Online</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Crypto and in early</w:t>
            </w: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w w:val="99"/>
              </w:rPr>
              <w:t>assessment of converting to</w:t>
            </w: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AI Cloud</w:t>
            </w: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Tydal, Norway – phase 1</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Q4 ’26</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Crypto to Colocation</w:t>
            </w: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Planning and design continue to advance. Orders for</w:t>
            </w: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critical long-lead equipment have been placed to</w:t>
            </w: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support the targeted project timeline for completion</w:t>
            </w:r>
          </w:p>
        </w:tc>
      </w:tr>
      <w:tr>
        <w:trPr>
          <w:trHeight w:val="234"/>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around the end of 2026.</w:t>
            </w: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Tydal, Norway – phase 2</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Q4 ’26</w:t>
            </w:r>
          </w:p>
        </w:tc>
        <w:tc>
          <w:tcPr>
            <w:tcW w:w="2000" w:type="dxa"/>
            <w:vAlign w:val="bottom"/>
          </w:tcPr>
          <w:p>
            <w:pPr>
              <w:spacing w:after="0"/>
              <w:rPr>
                <w:sz w:val="24"/>
                <w:szCs w:val="24"/>
                <w:color w:val="auto"/>
              </w:rPr>
            </w:pP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Engaged Data Center Installations AS as Bitdeer’s</w:t>
            </w: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design and construction partner for Tydal AI</w:t>
            </w:r>
          </w:p>
        </w:tc>
      </w:tr>
      <w:tr>
        <w:trPr>
          <w:trHeight w:val="234"/>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datacenter conversion.</w:t>
            </w: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Gedu, Bhutan</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Online</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Crypto</w:t>
            </w: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Jigmeling, Bhutan</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Online</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Crypto</w:t>
            </w: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Oromia Region, Ethiopia</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Online</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Crypto</w:t>
            </w: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Construction of the 50 MW site has been completed</w:t>
            </w: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energized, with ongoing energization in phases</w:t>
            </w:r>
          </w:p>
        </w:tc>
      </w:tr>
      <w:tr>
        <w:trPr>
          <w:trHeight w:val="234"/>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driven by SEALMINER deliveries.</w:t>
            </w: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Massillon, OH</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Online</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Crypto</w:t>
            </w: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121 MW currently online. 26 MW in two fire-</w:t>
            </w: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damaged buildings expected to be rebuilt and</w:t>
            </w: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energized by the end of Q3’ 26. Remaining 74 MW is</w:t>
            </w:r>
          </w:p>
        </w:tc>
      </w:tr>
      <w:tr>
        <w:trPr>
          <w:trHeight w:val="234"/>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expected to be energized in phases during Q2 ’26.</w:t>
            </w:r>
          </w:p>
        </w:tc>
      </w:tr>
      <w:tr>
        <w:trPr>
          <w:trHeight w:val="595"/>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Cyberjaya, Malaysia</w:t>
            </w:r>
            <w:r>
              <w:rPr>
                <w:rFonts w:ascii="Times New Roman" w:cs="Times New Roman" w:eastAsia="Times New Roman" w:hAnsi="Times New Roman"/>
                <w:sz w:val="29"/>
                <w:szCs w:val="29"/>
                <w:color w:val="auto"/>
                <w:vertAlign w:val="superscript"/>
              </w:rPr>
              <w:t>6</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Online</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AI Cloud</w:t>
            </w: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16"/>
        </w:trPr>
        <w:tc>
          <w:tcPr>
            <w:tcW w:w="2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Online Electrical Subtotal:</w:t>
            </w: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1,744</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588"/>
        </w:trPr>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Pipeline Electrical Capacity:</w:t>
            </w:r>
          </w:p>
        </w:tc>
        <w:tc>
          <w:tcPr>
            <w:tcW w:w="1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414"/>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Massillon, OH</w:t>
            </w: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74 / 26</w:t>
            </w: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Q2 ’26 / Q3</w:t>
            </w:r>
          </w:p>
        </w:tc>
        <w:tc>
          <w:tcPr>
            <w:tcW w:w="1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Crypto</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Reconstruction of the two fire-damaged buildings is</w:t>
            </w:r>
          </w:p>
        </w:tc>
      </w:tr>
      <w:tr>
        <w:trPr>
          <w:trHeight w:val="216"/>
        </w:trPr>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’26</w:t>
            </w:r>
          </w:p>
        </w:tc>
        <w:tc>
          <w:tcPr>
            <w:tcW w:w="198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currently underway. We anticipate that the total</w:t>
            </w:r>
          </w:p>
        </w:tc>
      </w:tr>
      <w:tr>
        <w:trPr>
          <w:trHeight w:val="216"/>
        </w:trPr>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reconstruction cost will be almost fully recovered</w:t>
            </w:r>
          </w:p>
        </w:tc>
      </w:tr>
      <w:tr>
        <w:trPr>
          <w:trHeight w:val="234"/>
        </w:trPr>
        <w:tc>
          <w:tcPr>
            <w:tcW w:w="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through the supplier’s insurance coverage.</w:t>
            </w:r>
          </w:p>
        </w:tc>
      </w:tr>
      <w:tr>
        <w:trPr>
          <w:trHeight w:val="414"/>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Clarington, OH</w:t>
            </w: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570</w:t>
            </w: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 be</w:t>
            </w:r>
          </w:p>
        </w:tc>
        <w:tc>
          <w:tcPr>
            <w:tcW w:w="1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Colocation</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570 MW of power under contract with a local utility.</w:t>
            </w:r>
          </w:p>
        </w:tc>
      </w:tr>
      <w:tr>
        <w:trPr>
          <w:trHeight w:val="216"/>
        </w:trPr>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updated</w:t>
            </w:r>
          </w:p>
        </w:tc>
        <w:tc>
          <w:tcPr>
            <w:tcW w:w="198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Timing of power availability and construction may be</w:t>
            </w:r>
          </w:p>
        </w:tc>
      </w:tr>
      <w:tr>
        <w:trPr>
          <w:trHeight w:val="216"/>
        </w:trPr>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affected by ongoing legal proceedings filed by a</w:t>
            </w:r>
          </w:p>
        </w:tc>
      </w:tr>
      <w:tr>
        <w:trPr>
          <w:trHeight w:val="216"/>
        </w:trPr>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neighboring company, American Heavy Plate</w:t>
            </w:r>
          </w:p>
        </w:tc>
      </w:tr>
      <w:tr>
        <w:trPr>
          <w:trHeight w:val="216"/>
        </w:trPr>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Solutions, LLC., which is under extensive influence</w:t>
            </w:r>
          </w:p>
        </w:tc>
      </w:tr>
      <w:tr>
        <w:trPr>
          <w:trHeight w:val="216"/>
        </w:trPr>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from MHR, a New York based PE firm founded by</w:t>
            </w:r>
          </w:p>
        </w:tc>
      </w:tr>
      <w:tr>
        <w:trPr>
          <w:trHeight w:val="216"/>
        </w:trPr>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 H. Rachesky. Design and other preparation</w:t>
            </w:r>
          </w:p>
        </w:tc>
      </w:tr>
      <w:tr>
        <w:trPr>
          <w:trHeight w:val="234"/>
        </w:trPr>
        <w:tc>
          <w:tcPr>
            <w:tcW w:w="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work continues.</w:t>
            </w:r>
          </w:p>
        </w:tc>
      </w:tr>
      <w:tr>
        <w:trPr>
          <w:trHeight w:val="414"/>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Niles, OH</w:t>
            </w: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300</w:t>
            </w: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Q4 ’28</w:t>
            </w:r>
          </w:p>
        </w:tc>
        <w:tc>
          <w:tcPr>
            <w:tcW w:w="1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Colocation / AI Cloud</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300 MW grid-interconnected development site, with</w:t>
            </w:r>
          </w:p>
        </w:tc>
      </w:tr>
      <w:tr>
        <w:trPr>
          <w:trHeight w:val="216"/>
        </w:trPr>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target energization in Q4 ’28. The project includes</w:t>
            </w:r>
          </w:p>
        </w:tc>
      </w:tr>
      <w:tr>
        <w:trPr>
          <w:trHeight w:val="216"/>
        </w:trPr>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41.8 acres of owned land and a transmission line</w:t>
            </w:r>
          </w:p>
        </w:tc>
      </w:tr>
      <w:tr>
        <w:trPr>
          <w:trHeight w:val="234"/>
        </w:trPr>
        <w:tc>
          <w:tcPr>
            <w:tcW w:w="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extension agreement with a local utility company.</w:t>
            </w:r>
          </w:p>
        </w:tc>
      </w:tr>
      <w:tr>
        <w:trPr>
          <w:trHeight w:val="432"/>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Rockdale, TX</w:t>
            </w: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179</w:t>
            </w: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2026</w:t>
            </w:r>
          </w:p>
        </w:tc>
        <w:tc>
          <w:tcPr>
            <w:tcW w:w="1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Colocation / AI Cloud</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Planning</w:t>
            </w:r>
          </w:p>
        </w:tc>
      </w:tr>
      <w:tr>
        <w:trPr>
          <w:trHeight w:val="414"/>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Fox Creek, Alberta, Canada</w:t>
            </w: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Q2 ’27</w:t>
            </w:r>
          </w:p>
        </w:tc>
        <w:tc>
          <w:tcPr>
            <w:tcW w:w="1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Crypto</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 MW site acquired, fully licensed and permitted</w:t>
            </w:r>
          </w:p>
        </w:tc>
      </w:tr>
      <w:tr>
        <w:trPr>
          <w:trHeight w:val="216"/>
        </w:trPr>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 the construction of an on-site natural gas power</w:t>
            </w:r>
          </w:p>
        </w:tc>
      </w:tr>
      <w:tr>
        <w:trPr>
          <w:trHeight w:val="216"/>
        </w:trPr>
        <w:tc>
          <w:tcPr>
            <w:tcW w:w="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plant. Assessing current design potential to</w:t>
            </w:r>
          </w:p>
        </w:tc>
      </w:tr>
      <w:tr>
        <w:trPr>
          <w:trHeight w:val="234"/>
        </w:trPr>
        <w:tc>
          <w:tcPr>
            <w:tcW w:w="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accommodate future AIDC requirements.</w:t>
            </w:r>
          </w:p>
        </w:tc>
      </w:tr>
      <w:tr>
        <w:trPr>
          <w:trHeight w:val="595"/>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Cyberjaya, Malaysia</w:t>
            </w:r>
            <w:r>
              <w:rPr>
                <w:rFonts w:ascii="Times New Roman" w:cs="Times New Roman" w:eastAsia="Times New Roman" w:hAnsi="Times New Roman"/>
                <w:sz w:val="29"/>
                <w:szCs w:val="29"/>
                <w:color w:val="auto"/>
                <w:vertAlign w:val="superscript"/>
              </w:rPr>
              <w:t>6</w:t>
            </w: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9.5</w:t>
            </w: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Q4 ’26</w:t>
            </w:r>
          </w:p>
        </w:tc>
        <w:tc>
          <w:tcPr>
            <w:tcW w:w="1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AI Cloud</w:t>
            </w:r>
          </w:p>
        </w:tc>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Progress</w:t>
            </w:r>
          </w:p>
        </w:tc>
      </w:tr>
      <w:tr>
        <w:trPr>
          <w:trHeight w:val="309"/>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Pipeline Electrical Subtotal:</w:t>
            </w: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1,259.5</w:t>
            </w:r>
          </w:p>
        </w:tc>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439"/>
        </w:trPr>
        <w:tc>
          <w:tcPr>
            <w:tcW w:w="2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Global Electrical Capacity:</w:t>
            </w:r>
          </w:p>
        </w:tc>
        <w:tc>
          <w:tcPr>
            <w:tcW w:w="1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3,003.5</w:t>
            </w:r>
          </w:p>
        </w:tc>
        <w:tc>
          <w:tcPr>
            <w:tcW w:w="1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Indicative timing for completion of power. All timing references are to calendar quarters and years.</w:t>
      </w:r>
    </w:p>
    <w:p>
      <w:pPr>
        <w:spacing w:after="0" w:line="60"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Capacity under lease arrangement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Upcoming Conferences and Events</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May 20 - 21, 2026: </w:t>
      </w:r>
      <w:r>
        <w:rPr>
          <w:rFonts w:ascii="Times New Roman" w:cs="Times New Roman" w:eastAsia="Times New Roman" w:hAnsi="Times New Roman"/>
          <w:sz w:val="18"/>
          <w:szCs w:val="18"/>
          <w:color w:val="auto"/>
        </w:rPr>
        <w:t>B. Riley Securities 26th Annual Investor Conference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May 27, 2026: </w:t>
      </w:r>
      <w:r>
        <w:rPr>
          <w:rFonts w:ascii="Times New Roman" w:cs="Times New Roman" w:eastAsia="Times New Roman" w:hAnsi="Times New Roman"/>
          <w:sz w:val="18"/>
          <w:szCs w:val="18"/>
          <w:color w:val="auto"/>
        </w:rPr>
        <w:t>Benchmark / StoneX Digital Asset Summit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June 23, 2026: </w:t>
      </w:r>
      <w:r>
        <w:rPr>
          <w:rFonts w:ascii="Times New Roman" w:cs="Times New Roman" w:eastAsia="Times New Roman" w:hAnsi="Times New Roman"/>
          <w:sz w:val="18"/>
          <w:szCs w:val="18"/>
          <w:color w:val="auto"/>
        </w:rPr>
        <w:t>Northland Capital Markets Growth Conference - Virtual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Bitdeer is a world-leading technology company for AI and Bitcoin mining infrastructure. Bitdeer is committed to providing comprehensive Bitcoin mining solutions for its customers and building AI computational infrastructure to support the AI revolution. Bitdeer handles complex processes involved in computing such as equipment procurement, transport logistics, data center design and construction, equipment management, and daily operations. Bitdeer also offers advanced cloud capabilities to customers with high demand for artificial intelligence. Headquartered in Singapore, Bitdeer has deployed data centers across multiple countries, including the United States, Norway, Bhutan, and Ethiopia. To learn more, visit https://ir.bitdeer.com/ or follow Bitdeer on X @ BitdeerOfficial and LinkedIn @ Bitdeer Group.</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the social media and other communication channels listed on its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Tesh Dahya, 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tesh.dahya@bitdeer.com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Elev8 New 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Starman, MBA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bitdeer@elev8newmedia.com</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4"/>
      <w:numFmt w:val="bullet"/>
      <w:start w:val="1"/>
    </w:lvl>
    <w:lvl w:ilvl="1">
      <w:lvlJc w:val="left"/>
      <w:lvlText w:val="●"/>
      <w:numFmt w:val="bullet"/>
      <w:start w:val="1"/>
    </w:lvl>
  </w:abstractNum>
  <w:abstractNum w:abstractNumId="7">
    <w:nsid w:val="5BD062C2"/>
    <w:multiLevelType w:val="hybridMultilevel"/>
    <w:lvl w:ilvl="0">
      <w:lvlJc w:val="left"/>
      <w:lvlText w:val="5"/>
      <w:numFmt w:val="bullet"/>
      <w:start w:val="1"/>
    </w:lvl>
  </w:abstractNum>
  <w:abstractNum w:abstractNumId="8">
    <w:nsid w:val="12200854"/>
    <w:multiLevelType w:val="hybridMultilevel"/>
    <w:lvl w:ilvl="0">
      <w:lvlJc w:val="left"/>
      <w:lvlText w:val="6"/>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2026-04-15T15:11:31Z</dcterms:created>
  <dcterms:modified xsi:type="dcterms:W3CDTF">2026-04-15T15:11:31Z</dcterms:modified>
</cp:coreProperties>
</file>