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Group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0001899123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23, 2022 letter.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LastNameLinghui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Kong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NameBitdeer Technologies Group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28,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F-4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are the U.S. federal income tax consequences..., page 20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 and are unable to agree. The vote of all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shareholders may not be necessary to approve the business combination, yet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has been structured to issue the shares in a registered transaction pursuant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145. Therefore, an investment decision is imputed to all Bitdeer shareholders,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the tax consequences to those shareholders is not material or the disclosure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the transaction is expected to be taxable for Bitdeer shareholders, an opinion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counsel is required by Item 601(b)(8) of Regulation S-K. 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BSGA's security holders exercise their registration rights..., page 81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nominal price per shares paid by the initial shareholders for their shares.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possibility of significant sales by the initial shareholders following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55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of their resales even if the trading price for the company is considerably lower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the current trading price of the company's shares further exacerbating the ability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company's stock to trade at a premium to its current market price. Appraisal Rights, page 141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6 but also note that your disclosure focuses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technical requirements for exercising appraisal rights. Your disclosure continues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notify shareholders that their appraisal rights "are available to the holders of the BSGA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Ordinary Shares in connection with the First Merger but not with other transaction (sic)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Combination." The primary purpose of this disclosure is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advise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on how to properly exercise their appraisal rights, so unless there is practical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 to distinguish between actions to be taken with respect to the First Merger and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steps of the Business Combination, highlighting that appraisal rights are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only available in connection with the First Merger may be confusing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BSGA</w:t>
      </w:r>
    </w:p>
    <w:p>
      <w:pPr>
        <w:ind w:right="5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shareholders. Please advise or revise. Information Related to Bitdeer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Cryptocurrencies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 and Protocols Involved in Our Business, page 187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break-out the digital assets that constitute the "Others" category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1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 disclosure. Linghui Kong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LastNameLinghui Bitdeer Technologies Group Kong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NameBitdeer Technologies Group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March3 28,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and Procedures Related to Our Cryptocurrencies, page 187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break-out the digital assets that constitute the "Others" category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 disclosure.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9; however, you have added the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"stablecoin" to your revised definition of "USDC" on page 9. Further explain your use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term or remove it from the definition.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Although you state that you did not leverage your cryptocurrencies to generate additional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through lending prior to June 30, 2021, you appear to have embarked on such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strategy since that date. Expand your MD&amp;A discussion to address your present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income generating activities tied to cryptocurrency lending, and your policy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whether to leverage your crypto asset holdings.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your "short-term wealth management product" entered into with the Matrixport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and discuss the purpose of this arrangement.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your $30 million USDC loan to Matrixport Group generated investment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Holding Company and Subsidiaries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Unaudited Condensed Combined and Consolidated Financial Statements Note 3. Changes in Significant Accounting Policies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Cryptocurrency lending, page F-35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11. In your response you state that you believe IFRS 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supports your accounting for the lending arrangement. Noting that this guidance applies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contracts to buy or sell a non-financial item that can be settled net in cash or another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instrument, or by exchanging financial instruments, please clarify for us why you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this guidance is applicable to the lending of crypto assets.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11. If your lending arrangements are not within the scope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IFRS 9, please tell us how you considered the guidance in IFRS 15. Please tell us how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if the borrower has obtained control, as defined in paragraph 33 of IFRS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of the crypto assets that you lend and, to the extent the borrower must return the crypto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asset, how you considered paragraphs B64 to B76 of IFRS 15. Notes to the Combined Financial Statements</w:t>
      </w:r>
    </w:p>
    <w:p>
      <w:pPr>
        <w:ind w:right="4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h. Cryptocurrencies, page F-62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in your response to prior comment 12 that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"Bitdeer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identifies impairment of cryptocurrencies at an individual asset level and records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 measured as the difference between the cost (defined as the carrying amount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 individual asset) and the recoverable amount according to paragraph 8 of IAS 36."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LastNameLinghui Bitdeer Technologies Group Kong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NameBitdeer Technologies Group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28,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March4 28,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26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why you identify impairment at an individual asset level and then use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 cost method to measure impairment. Please provide the IFRS citations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guidance that supports your statement that the "first-in-first-out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FIFO   ) or weighted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formula to determine the carrying amount of the cryptocurrency to derecognize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policy election allowed under IFRS." Clarify why you are not using the carrying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an item for measuring impairment. In addition, confirm that upon sale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 you derecognize that asset at its carrying amount and do not use FIFO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 formula to determine the carrying amount.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 statement that "the receipt of cryptocurrencies is included in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activities" as it implies that such amounts are included as cash inflows to net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 from operating activities. Revise this statement to explain that the receipts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cryptocurrencies are being added back to operating activities since they represent a non-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adjustment. Further, please tell us why including the disposals of cryptocurrencies in</w:t>
      </w:r>
    </w:p>
    <w:p>
      <w:pPr>
        <w:ind w:right="34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investing activities is proper when the receipt of cryptocurrencies is presented as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 Please provide us an accounting analysis with citation to authoritative literature</w:t>
      </w:r>
    </w:p>
    <w:p>
      <w:pPr>
        <w:ind w:right="5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supporting your accounting treatment. l. Mining machines, page F-64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14 indicating that the mining machines are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Bitdeer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revenue-earning equipment, which would appear to meet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property, plant and equipment in IAS 16. Furthermore, you indicate in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January 24,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2022 response to comment 39 that mining machines are not held for sale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ordinary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course of business. Paragraph 68 of IAS 16 is clear that gains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sale of property,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plant, and equipment should not be classified as revenue.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accordingly.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o. Revenue recognition, page F-65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 You indicate in response to prior comment 16 that Bitdeer performance obligation under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960" w:space="320"/>
            <w:col w:w="2859"/>
          </w:cols>
          <w:pgMar w:left="320" w:top="118" w:right="1440" w:bottom="0" w:gutter="0" w:footer="0" w:header="0"/>
          <w:type w:val="continuous"/>
        </w:sect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Cloud Hash Rate offering is to provide the specified amount of computing power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customers and the customers obtain control over the computing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power. Please provide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fulsome analysis of why you believe the customer obtains control over the computing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given that Bitdeer has a substantive right to substitute the hash rate provided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(i.e., to provide hash rate from different mining machines) throughout the period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use, as noted from your January 24, 2022 response to prior comment 43 and as defined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paragraph 33 of IFRS 15. Your analysis should include your consideration of the fact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combining and integrating the computing power assigned to your customers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control these combined inputs to provide the integrated computing power to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pool operator.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refer to your response to prior comment 16 regarding your Cloud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Hash Rate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 Please clarify why you believe principal/agent considerations are not applicable,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referring to how you considered B34 of IFRS 15. In this regard, we note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terms in your service agreement such as your classic and acceleration mode plans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ind w:right="739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March 28, 2022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provide the customer a net mining output or to recover electricity fees before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receiving a mining output when Bitdeer establishes the electricity fee, the fact that the user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only connect with mining pools that cooperate with Bitdeer, and, as noted in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18, that the additional rewards that mining pools agree to pay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paid to Bitdeer.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the mining pool operator have separate contracts with each of your Cloud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Hash Rate customers. Please clarify whether your Cloud Hash Rate and/or Cloud Hosting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participate in a distinct mining pool without other third-party mining pool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why you do not disaggregate revenues earned from proprietary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between mining rewards and transaction verification fees as noted from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24, 2022 response to prior comment 45.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22 regarding Cloud Hosting arrangements.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explain how the customer has the ability to direct the use of the mining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machine while in your possession. Clarify the enforceable rights and obligations under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Cloud Hosting arrangements, and provide us with a representative contract with your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Indicate whether you have an explicit or implicit repurchase right 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since you sell the mining machines on behalf of your customers. Explain how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determined to sell a mining machine. Tell us if customers ever take physical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possession of the mining machines and remove them from your data centers for their own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or disposition. Also explain how and when consideration for the arrangement is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transferred. Provide us with your comprehensive accounting analysis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if the customer obtains control of the mining machine under paragraphs 38,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BC64 to BC76, and B79 to B82 of IFRS 15.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your response to prior comment 22, you appear to indicate that the Cloud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LastNameLinghui Kong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Hosting arrangements convey the right to control the use of an identified asset for a period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NameBitdeer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time in exchangeTechnologies Group Please tell us whether these arrangements are or</w:t>
      </w: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consideration.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contain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2022a Page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 5under IFRS 16 and provide us with your accounting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Linghui Kong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LastNameLinghui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 Kong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NameBitdeer Technologies Group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March6 28, 2022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Priscilla Dao, Staff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(202) 551-5997 or Larry Spirgel, Office Chief, at (202) 551-3815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 Cai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07ED7AB"/>
    <w:multiLevelType w:val="hybridMultilevel"/>
    <w:lvl w:ilvl="0">
      <w:lvlJc w:val="left"/>
      <w:lvlText w:val="(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2023-05-22T23:11:28Z</dcterms:created>
  <dcterms:modified xsi:type="dcterms:W3CDTF">2023-05-22T23:11:28Z</dcterms:modified>
</cp:coreProperties>
</file>