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78306-6k_bitdeer.htm"/>
      <w:bookmarkStart w:id="1" w:name="ksea02783066k_bitdeer"/>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 UNDER</w:t>
        <w:br/>
        <w:t>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February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001-41687</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08 Kallang Avenue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Aperia tower 1, #09-03/04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339509</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This current report on Form 6-K is hereby incorporated by reference in the registration statements of Bitdeer Technologies Group on Form F-3 (No. </w:t>
      </w:r>
      <w:hyperlink r:id="rId2">
        <w:r>
          <w:rPr>
            <w:rStyle w:val="InternetLink"/>
            <w:rFonts w:ascii="Times New Roman;Times;Serif" w:hAnsi="Times New Roman;Times;Serif"/>
            <w:b w:val="false"/>
            <w:i w:val="false"/>
            <w:caps w:val="false"/>
            <w:smallCaps w:val="false"/>
            <w:sz w:val="20"/>
          </w:rPr>
          <w:t>333-273905</w:t>
        </w:r>
      </w:hyperlink>
      <w:r>
        <w:rPr>
          <w:rFonts w:ascii="Times New Roman;Times;Serif" w:hAnsi="Times New Roman;Times;Serif"/>
          <w:b w:val="false"/>
          <w:i w:val="false"/>
          <w:caps w:val="false"/>
          <w:smallCaps w:val="false"/>
          <w:sz w:val="20"/>
        </w:rPr>
        <w:t xml:space="preserve">, No. </w:t>
      </w:r>
      <w:hyperlink r:id="rId3">
        <w:r>
          <w:rPr>
            <w:rStyle w:val="InternetLink"/>
            <w:rFonts w:ascii="Times New Roman;Times;Serif" w:hAnsi="Times New Roman;Times;Serif"/>
            <w:b w:val="false"/>
            <w:i w:val="false"/>
            <w:caps w:val="false"/>
            <w:smallCaps w:val="false"/>
            <w:sz w:val="20"/>
          </w:rPr>
          <w:t>333-278027</w:t>
        </w:r>
      </w:hyperlink>
      <w:r>
        <w:rPr>
          <w:rFonts w:ascii="Times New Roman;Times;Serif" w:hAnsi="Times New Roman;Times;Serif"/>
          <w:b w:val="false"/>
          <w:i w:val="false"/>
          <w:caps w:val="false"/>
          <w:smallCaps w:val="false"/>
          <w:sz w:val="20"/>
        </w:rPr>
        <w:t xml:space="preserve">, No. </w:t>
      </w:r>
      <w:hyperlink r:id="rId4">
        <w:r>
          <w:rPr>
            <w:rStyle w:val="InternetLink"/>
            <w:rFonts w:ascii="Times New Roman;Times;Serif" w:hAnsi="Times New Roman;Times;Serif"/>
            <w:b w:val="false"/>
            <w:i w:val="false"/>
            <w:caps w:val="false"/>
            <w:smallCaps w:val="false"/>
            <w:sz w:val="20"/>
          </w:rPr>
          <w:t>333-278029</w:t>
        </w:r>
      </w:hyperlink>
      <w:r>
        <w:rPr>
          <w:rFonts w:ascii="Times New Roman;Times;Serif" w:hAnsi="Times New Roman;Times;Serif"/>
          <w:b w:val="false"/>
          <w:i w:val="false"/>
          <w:caps w:val="false"/>
          <w:smallCaps w:val="false"/>
          <w:sz w:val="20"/>
        </w:rPr>
        <w:t xml:space="preserve">, No. </w:t>
      </w:r>
      <w:hyperlink r:id="rId5">
        <w:r>
          <w:rPr>
            <w:rStyle w:val="InternetLink"/>
            <w:rFonts w:ascii="Times New Roman;Times;Serif" w:hAnsi="Times New Roman;Times;Serif"/>
            <w:b w:val="false"/>
            <w:i w:val="false"/>
            <w:caps w:val="false"/>
            <w:smallCaps w:val="false"/>
            <w:sz w:val="20"/>
          </w:rPr>
          <w:t>333-280041</w:t>
        </w:r>
      </w:hyperlink>
      <w:r>
        <w:rPr>
          <w:rFonts w:ascii="Times New Roman;Times;Serif" w:hAnsi="Times New Roman;Times;Serif"/>
          <w:b w:val="false"/>
          <w:i w:val="false"/>
          <w:caps w:val="false"/>
          <w:smallCaps w:val="false"/>
          <w:sz w:val="20"/>
        </w:rPr>
        <w:t xml:space="preserve">, No. </w:t>
      </w:r>
      <w:hyperlink r:id="rId6">
        <w:r>
          <w:rPr>
            <w:rStyle w:val="InternetLink"/>
            <w:rFonts w:ascii="Times New Roman;Times;Serif" w:hAnsi="Times New Roman;Times;Serif"/>
            <w:b w:val="false"/>
            <w:i w:val="false"/>
            <w:caps w:val="false"/>
            <w:smallCaps w:val="false"/>
            <w:sz w:val="20"/>
          </w:rPr>
          <w:t>333-283732</w:t>
        </w:r>
      </w:hyperlink>
      <w:r>
        <w:rPr>
          <w:rFonts w:ascii="Times New Roman;Times;Serif" w:hAnsi="Times New Roman;Times;Serif"/>
          <w:b w:val="false"/>
          <w:i w:val="false"/>
          <w:caps w:val="false"/>
          <w:smallCaps w:val="false"/>
          <w:sz w:val="20"/>
        </w:rPr>
        <w:t xml:space="preserve"> and </w:t>
      </w:r>
      <w:hyperlink r:id="rId7">
        <w:r>
          <w:rPr>
            <w:rStyle w:val="InternetLink"/>
            <w:rFonts w:ascii="Times New Roman;Times;Serif" w:hAnsi="Times New Roman;Times;Serif"/>
            <w:b w:val="false"/>
            <w:i w:val="false"/>
            <w:caps w:val="false"/>
            <w:smallCaps w:val="false"/>
            <w:sz w:val="20"/>
          </w:rPr>
          <w:t>333-289855</w:t>
        </w:r>
      </w:hyperlink>
      <w:r>
        <w:rPr>
          <w:rFonts w:ascii="Times New Roman;Times;Serif" w:hAnsi="Times New Roman;Times;Serif"/>
          <w:b w:val="false"/>
          <w:i w:val="false"/>
          <w:caps w:val="false"/>
          <w:smallCaps w:val="false"/>
          <w:sz w:val="20"/>
        </w:rPr>
        <w:t xml:space="preserve">) and Form S-8 (No. </w:t>
      </w:r>
      <w:hyperlink r:id="rId8">
        <w:r>
          <w:rPr>
            <w:rStyle w:val="InternetLink"/>
            <w:rFonts w:ascii="Times New Roman;Times;Serif" w:hAnsi="Times New Roman;Times;Serif"/>
            <w:b w:val="false"/>
            <w:i w:val="false"/>
            <w:caps w:val="false"/>
            <w:smallCaps w:val="false"/>
            <w:sz w:val="20"/>
          </w:rPr>
          <w:t>333-272858</w:t>
        </w:r>
      </w:hyperlink>
      <w:r>
        <w:rPr>
          <w:rFonts w:ascii="Times New Roman;Times;Serif" w:hAnsi="Times New Roman;Times;Serif"/>
          <w:b w:val="false"/>
          <w:i w:val="false"/>
          <w:caps w:val="false"/>
          <w:smallCaps w:val="false"/>
          <w:sz w:val="20"/>
        </w:rPr>
        <w:t xml:space="preserve"> and No. </w:t>
      </w:r>
      <w:hyperlink r:id="rId9">
        <w:r>
          <w:rPr>
            <w:rStyle w:val="InternetLink"/>
            <w:rFonts w:ascii="Times New Roman;Times;Serif" w:hAnsi="Times New Roman;Times;Serif"/>
            <w:b w:val="false"/>
            <w:i w:val="false"/>
            <w:caps w:val="false"/>
            <w:smallCaps w:val="false"/>
            <w:sz w:val="20"/>
          </w:rPr>
          <w:t>333-275342</w:t>
        </w:r>
      </w:hyperlink>
      <w:r>
        <w:rPr>
          <w:rFonts w:ascii="Times New Roman;Times;Serif" w:hAnsi="Times New Roman;Times;Serif"/>
          <w:b w:val="false"/>
          <w:i w:val="false"/>
          <w:caps w:val="false"/>
          <w:smallCaps w:val="false"/>
          <w:sz w:val="20"/>
        </w:rPr>
        <w:t>), to the extent not superseded by documents or reports subsequently filed or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Convertible Notes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2026 (the “Initial Closing Date”), Bitdeer Technologies Group (the “Company”) closed its private placement (the “Convertible Notes Offering”) of US$325.0 million principal amount of 5.00% Convertible Senior Notes due 2032 (the “notes”). The notes were issued pursuant to, and are governed by, an indenture, dated as of the Initial Closing Date (the “Indenture”), between the Company and U.S. Bank Trust Company, National Association, as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between the Company and the representatives of the initial purchasers in the Convertible Notes Offering, the Company granted such initial purchasers an option (the “Option) to purchase, within a 13-day period beginning on, and including, the Initial Closing Date, up to an additional US$50.0 million principal amount of notes. On February 26, 2026, the Company issued an additional US$50.0 million principal amount of notes under the Indenture pursuant to the initial purchasers’ exercise in full of their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the Form of Note are attached as Exhibits 4.1 and 4.2 to this Form 6-K.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Capped Call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19, 2026, in connection with the pricing of the Convertible Notes Offering, the Company entered into privately negotiated capped call transactions (the “Base Capped Call Transactions”) with certain of the initial purchasers or affiliates thereof and certain other financial institutions (the “Option Counterparties”). In addition, on February 24, 2026, in connection with the initial purchasers’ exercise of their Option in full, the Company entered into additional capped call transactions (the “Additional Capped Call Transactions,” and, together with the Base Capped Call Transactions, the “Capped Call Transactions”) with each of the Option Counterparties.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 of confirmation relating to the Capped Call Transactions is attached as Exhibit 99.1 to this Form 6-K.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Equity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26, 2026, the Company completed a registered direct offering of 5,503,030 of its Class A ordinary shares at a price of US$7.94 per share (the “Equity Offering”). In connection with the Equity Offering, the Company entered into individually negotiated share purchase agreements with certain institutional investors holding the Company’s existing 5.25% convertible senior notes due 2029 (the “Existing Notes”). The Company used the net proceeds from the Equity Offering, together with a portion of the net proceeds from the Convertible Notes Offering, to repurchase for cash US$135.0 million aggregate principal amount of the Existing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Offering was made pursuant to a prospectus supplement, dated February 19, 2026, and filed with the Securities and Exchange Commission on February 23, 2026, and the base prospectus, dated December 18, 2024, filed as part of the Company’s shelf registration statement (File No. 333-283732) that became effective under the Securities Act of 1933, as amended, on December 18,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 acted as the exclusive placement agent (the “Placement Agent”) in connection with the Equity Offering pursuant to that certain placement agency agreement (the “Placement Agency Agreement”), dated as of February 19, 2026, by and between the Company and the Placement Agent. Pursuant to the Placement Agency Agreement, the Company agreed to reimburse the Placement Agent for certain costs, expenses, fees and taxes in connection with the Equity Offering. The Placement Agency Agreement also contains representations, warranties, indemnification and other provisions customary for transactions of this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Placement Agency Agreement does not purport to be complete and is qualified in its entirety by reference to the full text of the Placement Agency Agreement, which is attached as Exhibit 1.1 to this Form 6-K and incorporated herein by reference.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79"/>
        <w:gridCol w:w="60"/>
        <w:gridCol w:w="9266"/>
      </w:tblGrid>
      <w:tr>
        <w:trPr/>
        <w:tc>
          <w:tcPr>
            <w:tcW w:w="879" w:type="dxa"/>
            <w:tcBorders>
              <w:bottom w:val="single" w:sz="12"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266" w:type="dxa"/>
            <w:tcBorders>
              <w:bottom w:val="single" w:sz="12" w:space="0" w:color="000000"/>
            </w:tcBorders>
            <w:vAlign w:val="center"/>
          </w:tcPr>
          <w:p>
            <w:pPr>
              <w:pStyle w:val="TableContents"/>
              <w:bidi w:val="0"/>
              <w:spacing w:before="0" w:after="283"/>
              <w:jc w:val="left"/>
              <w:rPr>
                <w:b/>
                <w:sz w:val="20"/>
              </w:rPr>
            </w:pPr>
            <w:r>
              <w:rPr>
                <w:b/>
                <w:sz w:val="20"/>
              </w:rPr>
              <w:t>Description</w:t>
            </w:r>
          </w:p>
        </w:tc>
      </w:tr>
      <w:tr>
        <w:trPr/>
        <w:tc>
          <w:tcPr>
            <w:tcW w:w="879" w:type="dxa"/>
            <w:tcBorders/>
            <w:shd w:fill="CCEEFF" w:val="clear"/>
            <w:tcMar>
              <w:bottom w:w="0" w:type="dxa"/>
            </w:tcMar>
            <w:vAlign w:val="center"/>
          </w:tcPr>
          <w:p>
            <w:pPr>
              <w:pStyle w:val="TableContents"/>
              <w:bidi w:val="0"/>
              <w:spacing w:before="0" w:after="283"/>
              <w:jc w:val="left"/>
              <w:rPr>
                <w:sz w:val="20"/>
              </w:rPr>
            </w:pPr>
            <w:r>
              <w:rPr>
                <w:sz w:val="20"/>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66" w:type="dxa"/>
            <w:tcBorders/>
            <w:shd w:fill="CCEEFF" w:val="clear"/>
            <w:tcMar>
              <w:bottom w:w="0" w:type="dxa"/>
            </w:tcMar>
            <w:vAlign w:val="center"/>
          </w:tcPr>
          <w:p>
            <w:pPr>
              <w:pStyle w:val="TableContents"/>
              <w:bidi w:val="0"/>
              <w:spacing w:before="0" w:after="283"/>
              <w:jc w:val="both"/>
              <w:rPr/>
            </w:pPr>
            <w:hyperlink w:anchor="ea027830601ex1-1.htm">
              <w:r>
                <w:rPr>
                  <w:rStyle w:val="InternetLink"/>
                  <w:sz w:val="20"/>
                </w:rPr>
                <w:t>Placement Agency Agreement, dated February 19, 2026, by and between Bitdeer Technologies Group and Barclays Capital Inc., as placement agent.</w:t>
              </w:r>
            </w:hyperlink>
          </w:p>
        </w:tc>
      </w:tr>
      <w:tr>
        <w:trPr/>
        <w:tc>
          <w:tcPr>
            <w:tcW w:w="879" w:type="dxa"/>
            <w:tcBorders/>
            <w:shd w:fill="FFFFFF" w:val="clear"/>
            <w:tcMar>
              <w:bottom w:w="0" w:type="dxa"/>
            </w:tcMar>
            <w:vAlign w:val="center"/>
          </w:tcPr>
          <w:p>
            <w:pPr>
              <w:pStyle w:val="TableContents"/>
              <w:bidi w:val="0"/>
              <w:spacing w:before="0" w:after="283"/>
              <w:jc w:val="left"/>
              <w:rPr>
                <w:sz w:val="20"/>
              </w:rPr>
            </w:pPr>
            <w:r>
              <w:rPr>
                <w:sz w:val="20"/>
              </w:rPr>
              <w:t>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66" w:type="dxa"/>
            <w:tcBorders/>
            <w:shd w:fill="FFFFFF" w:val="clear"/>
            <w:tcMar>
              <w:bottom w:w="0" w:type="dxa"/>
            </w:tcMar>
            <w:vAlign w:val="center"/>
          </w:tcPr>
          <w:p>
            <w:pPr>
              <w:pStyle w:val="TableContents"/>
              <w:bidi w:val="0"/>
              <w:spacing w:before="0" w:after="283"/>
              <w:jc w:val="both"/>
              <w:rPr/>
            </w:pPr>
            <w:hyperlink w:anchor="ea027830601ex4-1.htm">
              <w:r>
                <w:rPr>
                  <w:rStyle w:val="InternetLink"/>
                  <w:sz w:val="20"/>
                </w:rPr>
                <w:t>Indenture, dated February 24, 2026, by and between Bitdeer Technologies Group and U.S. Bank Trust Company, National Association</w:t>
              </w:r>
            </w:hyperlink>
          </w:p>
        </w:tc>
      </w:tr>
      <w:tr>
        <w:trPr/>
        <w:tc>
          <w:tcPr>
            <w:tcW w:w="879" w:type="dxa"/>
            <w:tcBorders/>
            <w:shd w:fill="CCEEFF" w:val="clear"/>
            <w:tcMar>
              <w:bottom w:w="0" w:type="dxa"/>
            </w:tcMar>
            <w:vAlign w:val="center"/>
          </w:tcPr>
          <w:p>
            <w:pPr>
              <w:pStyle w:val="TableContents"/>
              <w:bidi w:val="0"/>
              <w:spacing w:before="0" w:after="283"/>
              <w:jc w:val="left"/>
              <w:rPr>
                <w:sz w:val="20"/>
              </w:rPr>
            </w:pPr>
            <w:r>
              <w:rPr>
                <w:sz w:val="20"/>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66" w:type="dxa"/>
            <w:tcBorders/>
            <w:shd w:fill="CCEEFF" w:val="clear"/>
            <w:tcMar>
              <w:bottom w:w="0" w:type="dxa"/>
            </w:tcMar>
            <w:vAlign w:val="center"/>
          </w:tcPr>
          <w:p>
            <w:pPr>
              <w:pStyle w:val="TableContents"/>
              <w:bidi w:val="0"/>
              <w:spacing w:before="0" w:after="283"/>
              <w:jc w:val="both"/>
              <w:rPr/>
            </w:pPr>
            <w:hyperlink w:anchor="ea027830601ex4-1.htm">
              <w:r>
                <w:rPr>
                  <w:rStyle w:val="InternetLink"/>
                  <w:sz w:val="20"/>
                </w:rPr>
                <w:t>Form of Global Note, representing Bitdeer Technologies Group’s 5.00% Convertible Senior Notes due 2032 (included as Exhibit A to the Indenture filed as Exhibit 4.1)</w:t>
              </w:r>
            </w:hyperlink>
          </w:p>
        </w:tc>
      </w:tr>
      <w:tr>
        <w:trPr/>
        <w:tc>
          <w:tcPr>
            <w:tcW w:w="879" w:type="dxa"/>
            <w:tcBorders/>
            <w:shd w:fill="FFFFFF" w:val="clear"/>
            <w:tcMar>
              <w:bottom w:w="0" w:type="dxa"/>
            </w:tcMar>
            <w:vAlign w:val="center"/>
          </w:tcPr>
          <w:p>
            <w:pPr>
              <w:pStyle w:val="TableContents"/>
              <w:bidi w:val="0"/>
              <w:spacing w:before="0" w:after="283"/>
              <w:jc w:val="left"/>
              <w:rPr>
                <w:sz w:val="20"/>
              </w:rPr>
            </w:pPr>
            <w:r>
              <w:rPr>
                <w:sz w:val="20"/>
              </w:rPr>
              <w:t>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66" w:type="dxa"/>
            <w:tcBorders/>
            <w:shd w:fill="FFFFFF" w:val="clear"/>
            <w:tcMar>
              <w:bottom w:w="0" w:type="dxa"/>
            </w:tcMar>
            <w:vAlign w:val="center"/>
          </w:tcPr>
          <w:p>
            <w:pPr>
              <w:pStyle w:val="TableContents"/>
              <w:bidi w:val="0"/>
              <w:spacing w:before="0" w:after="283"/>
              <w:jc w:val="both"/>
              <w:rPr/>
            </w:pPr>
            <w:hyperlink w:anchor="ea027830601ex5-1.htm">
              <w:r>
                <w:rPr>
                  <w:rStyle w:val="InternetLink"/>
                  <w:sz w:val="20"/>
                </w:rPr>
                <w:t>Opinion of Ogier relating to the Class A ordinary shares and the Equity Offering</w:t>
              </w:r>
            </w:hyperlink>
          </w:p>
        </w:tc>
      </w:tr>
      <w:tr>
        <w:trPr/>
        <w:tc>
          <w:tcPr>
            <w:tcW w:w="879" w:type="dxa"/>
            <w:tcBorders/>
            <w:shd w:fill="CCEEFF" w:val="clear"/>
            <w:tcMar>
              <w:bottom w:w="0" w:type="dxa"/>
            </w:tcMar>
            <w:vAlign w:val="center"/>
          </w:tcPr>
          <w:p>
            <w:pPr>
              <w:pStyle w:val="TableContents"/>
              <w:bidi w:val="0"/>
              <w:spacing w:before="0" w:after="283"/>
              <w:jc w:val="left"/>
              <w:rPr>
                <w:sz w:val="20"/>
              </w:rPr>
            </w:pPr>
            <w:r>
              <w:rPr>
                <w:sz w:val="20"/>
              </w:rPr>
              <w:t>23.1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66" w:type="dxa"/>
            <w:tcBorders/>
            <w:shd w:fill="CCEEFF" w:val="clear"/>
            <w:tcMar>
              <w:bottom w:w="0" w:type="dxa"/>
            </w:tcMar>
            <w:vAlign w:val="center"/>
          </w:tcPr>
          <w:p>
            <w:pPr>
              <w:pStyle w:val="TableContents"/>
              <w:bidi w:val="0"/>
              <w:spacing w:before="0" w:after="283"/>
              <w:jc w:val="both"/>
              <w:rPr/>
            </w:pPr>
            <w:hyperlink w:anchor="ea027830601ex5-1.htm">
              <w:r>
                <w:rPr>
                  <w:rStyle w:val="InternetLink"/>
                  <w:sz w:val="20"/>
                </w:rPr>
                <w:t>Consent of Ogier (included in Exhibit 5.1)</w:t>
              </w:r>
            </w:hyperlink>
          </w:p>
        </w:tc>
      </w:tr>
      <w:tr>
        <w:trPr/>
        <w:tc>
          <w:tcPr>
            <w:tcW w:w="879" w:type="dxa"/>
            <w:tcBorders/>
            <w:shd w:fill="FFFFFF" w:val="clear"/>
            <w:tcMar>
              <w:bottom w:w="0" w:type="dxa"/>
            </w:tcMar>
            <w:vAlign w:val="center"/>
          </w:tcPr>
          <w:p>
            <w:pPr>
              <w:pStyle w:val="TableContents"/>
              <w:bidi w:val="0"/>
              <w:spacing w:before="0" w:after="283"/>
              <w:jc w:val="left"/>
              <w:rPr>
                <w:sz w:val="20"/>
              </w:rPr>
            </w:pPr>
            <w:r>
              <w:rPr>
                <w:sz w:val="20"/>
              </w:rPr>
              <w:t>99.1*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66" w:type="dxa"/>
            <w:tcBorders/>
            <w:shd w:fill="FFFFFF" w:val="clear"/>
            <w:tcMar>
              <w:bottom w:w="0" w:type="dxa"/>
            </w:tcMar>
            <w:vAlign w:val="center"/>
          </w:tcPr>
          <w:p>
            <w:pPr>
              <w:pStyle w:val="TableContents"/>
              <w:bidi w:val="0"/>
              <w:spacing w:before="0" w:after="283"/>
              <w:jc w:val="both"/>
              <w:rPr/>
            </w:pPr>
            <w:hyperlink w:anchor="ea027830601ex99-1.htm">
              <w:r>
                <w:rPr>
                  <w:rStyle w:val="InternetLink"/>
                  <w:sz w:val="20"/>
                </w:rPr>
                <w:t>Form of Capped Call Confirmation</w:t>
              </w:r>
            </w:hyperlink>
          </w:p>
        </w:tc>
      </w:tr>
    </w:tbl>
    <w:p>
      <w:pPr>
        <w:pStyle w:val="TextBody"/>
        <w:bidi w:val="0"/>
        <w:spacing w:before="0" w:after="0"/>
        <w:ind w:left="0" w:right="0" w:hanging="0"/>
        <w:jc w:val="center"/>
        <w:rPr>
          <w:caps w:val="false"/>
          <w:smallCaps w:val="false"/>
        </w:rPr>
      </w:pPr>
      <w:r>
        <w:rPr>
          <w:caps w:val="false"/>
          <w:smallCaps w:val="false"/>
        </w:rPr>
        <w:t> </w:t>
      </w:r>
    </w:p>
    <w:tbl>
      <w:tblPr>
        <w:tblW w:w="9505" w:type="dxa"/>
        <w:jc w:val="left"/>
        <w:tblInd w:w="0" w:type="dxa"/>
        <w:tblLayout w:type="fixed"/>
        <w:tblCellMar>
          <w:top w:w="0" w:type="dxa"/>
          <w:left w:w="0" w:type="dxa"/>
          <w:bottom w:w="0" w:type="dxa"/>
          <w:right w:w="0" w:type="dxa"/>
        </w:tblCellMar>
      </w:tblPr>
      <w:tblGrid>
        <w:gridCol w:w="140"/>
        <w:gridCol w:w="9365"/>
      </w:tblGrid>
      <w:tr>
        <w:trPr/>
        <w:tc>
          <w:tcPr>
            <w:tcW w:w="140" w:type="dxa"/>
            <w:tcBorders/>
            <w:vAlign w:val="center"/>
          </w:tcPr>
          <w:p>
            <w:pPr>
              <w:pStyle w:val="TableContents"/>
              <w:bidi w:val="0"/>
              <w:spacing w:before="0" w:after="283"/>
              <w:jc w:val="left"/>
              <w:rPr>
                <w:sz w:val="20"/>
              </w:rPr>
            </w:pPr>
            <w:r>
              <w:rPr>
                <w:sz w:val="20"/>
              </w:rPr>
              <w:t>*</w:t>
            </w:r>
          </w:p>
        </w:tc>
        <w:tc>
          <w:tcPr>
            <w:tcW w:w="9365" w:type="dxa"/>
            <w:tcBorders/>
            <w:vAlign w:val="center"/>
          </w:tcPr>
          <w:p>
            <w:pPr>
              <w:pStyle w:val="TableContents"/>
              <w:bidi w:val="0"/>
              <w:spacing w:before="0" w:after="283"/>
              <w:jc w:val="both"/>
              <w:rPr>
                <w:sz w:val="20"/>
              </w:rPr>
            </w:pPr>
            <w:r>
              <w:rPr>
                <w:sz w:val="20"/>
              </w:rPr>
              <w:t>Certain portions of this exhibit have been redacted or omitted in accordance with Item 601(a)(6) of Regulation 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75"/>
        <w:gridCol w:w="545"/>
        <w:gridCol w:w="4190"/>
      </w:tblGrid>
      <w:tr>
        <w:trPr/>
        <w:tc>
          <w:tcPr>
            <w:tcW w:w="75" w:type="dxa"/>
            <w:tcBorders/>
            <w:vAlign w:val="center"/>
          </w:tcPr>
          <w:p>
            <w:pPr>
              <w:pStyle w:val="TableContents"/>
              <w:bidi w:val="0"/>
              <w:spacing w:before="0" w:after="283"/>
              <w:jc w:val="left"/>
              <w:rPr/>
            </w:pPr>
            <w:r>
              <w:rPr/>
              <w:t> </w:t>
            </w:r>
          </w:p>
        </w:tc>
        <w:tc>
          <w:tcPr>
            <w:tcW w:w="4735" w:type="dxa"/>
            <w:gridSpan w:val="2"/>
            <w:tcBorders/>
            <w:vAlign w:val="center"/>
          </w:tcPr>
          <w:p>
            <w:pPr>
              <w:pStyle w:val="TableContents"/>
              <w:bidi w:val="0"/>
              <w:spacing w:before="0" w:after="283"/>
              <w:jc w:val="left"/>
              <w:rPr>
                <w:b/>
                <w:sz w:val="20"/>
              </w:rPr>
            </w:pPr>
            <w:r>
              <w:rPr>
                <w:b/>
                <w:sz w:val="20"/>
              </w:rPr>
              <w:t>Bitdeer Technologies Group</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419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Jihan Wu</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4190" w:type="dxa"/>
            <w:tcBorders/>
            <w:vAlign w:val="center"/>
          </w:tcPr>
          <w:p>
            <w:pPr>
              <w:pStyle w:val="TableContents"/>
              <w:bidi w:val="0"/>
              <w:spacing w:before="0" w:after="283"/>
              <w:jc w:val="left"/>
              <w:rPr>
                <w:sz w:val="20"/>
              </w:rPr>
            </w:pPr>
            <w:r>
              <w:rPr>
                <w:sz w:val="20"/>
              </w:rPr>
              <w:t>Jihan Wu</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4190" w:type="dxa"/>
            <w:tcBorders/>
            <w:vAlign w:val="center"/>
          </w:tcPr>
          <w:p>
            <w:pPr>
              <w:pStyle w:val="TableContents"/>
              <w:bidi w:val="0"/>
              <w:spacing w:before="0" w:after="283"/>
              <w:jc w:val="left"/>
              <w:rPr>
                <w:sz w:val="20"/>
              </w:rPr>
            </w:pPr>
            <w:r>
              <w:rPr>
                <w:sz w:val="20"/>
              </w:rPr>
              <w:t>Chairman of the Board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February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27830601ex1-1.htm"/>
      <w:bookmarkStart w:id="3" w:name="ksea027830601ex11"/>
      <w:bookmarkEnd w:id="2"/>
      <w:bookmarkEnd w:id="3"/>
      <w:r>
        <w:rPr>
          <w:rFonts w:ascii="Times New Roman;Times;Serif" w:hAnsi="Times New Roman;Times;Serif"/>
          <w:b/>
          <w:i w:val="false"/>
          <w:caps w:val="false"/>
          <w:smallCaps w:val="false"/>
          <w:sz w:val="20"/>
        </w:rPr>
        <w:t>Exhibit 1.1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BITDEER TECHNOLOGIES GROUP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5,503,030 Ordinary Shares of Bitdeer Technologies Group</w:t>
        <w:br/>
        <w:t>(par value $0.0000001 per Ordinary Share)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Placement Agency Agreement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Placement Agent</w:t>
        <w:br/>
        <w:t>745 Seventh Avenue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Bitdeer Technologies Group, an exempted company incorporated under the laws of the Cayman Islands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proposes to issue and sell directly to the several Purchasers (as defined below) an aggregate of 5,503,030 ordinary shares, par value $0.0000001 per share (the “</w:t>
      </w:r>
      <w:r>
        <w:rPr>
          <w:rFonts w:ascii="Times New Roman;Times;Serif" w:hAnsi="Times New Roman;Times;Serif"/>
          <w:b w:val="false"/>
          <w:i w:val="false"/>
          <w:caps w:val="false"/>
          <w:smallCaps w:val="false"/>
          <w:sz w:val="20"/>
          <w:u w:val="single"/>
        </w:rPr>
        <w:t>Ordinary Shares</w:t>
      </w:r>
      <w:r>
        <w:rPr>
          <w:rFonts w:ascii="Times New Roman;Times;Serif" w:hAnsi="Times New Roman;Times;Serif"/>
          <w:b w:val="false"/>
          <w:i w:val="false"/>
          <w:caps w:val="false"/>
          <w:smallCaps w:val="false"/>
          <w:sz w:val="20"/>
        </w:rPr>
        <w:t>”), whereby the Purchasers will receive Ordinary Shares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and such sales of Shares, the “</w:t>
      </w:r>
      <w:r>
        <w:rPr>
          <w:rFonts w:ascii="Times New Roman;Times;Serif" w:hAnsi="Times New Roman;Times;Serif"/>
          <w:b w:val="false"/>
          <w:i w:val="false"/>
          <w:caps w:val="false"/>
          <w:smallCaps w:val="false"/>
          <w:sz w:val="20"/>
          <w:u w:val="single"/>
        </w:rPr>
        <w:t>Share Purchases</w:t>
      </w:r>
      <w:r>
        <w:rPr>
          <w:rFonts w:ascii="Times New Roman;Times;Serif" w:hAnsi="Times New Roman;Times;Serif"/>
          <w:b w:val="false"/>
          <w:i w:val="false"/>
          <w:caps w:val="false"/>
          <w:smallCaps w:val="false"/>
          <w:sz w:val="20"/>
        </w:rPr>
        <w:t>”). The Share Purchases will be governed by and pursuant to one or more securities purchase agreements (the “</w:t>
      </w:r>
      <w:r>
        <w:rPr>
          <w:rFonts w:ascii="Times New Roman;Times;Serif" w:hAnsi="Times New Roman;Times;Serif"/>
          <w:b w:val="false"/>
          <w:i w:val="false"/>
          <w:caps w:val="false"/>
          <w:smallCaps w:val="false"/>
          <w:sz w:val="20"/>
          <w:u w:val="single"/>
        </w:rPr>
        <w:t>Purchase Agreements</w:t>
      </w:r>
      <w:r>
        <w:rPr>
          <w:rFonts w:ascii="Times New Roman;Times;Serif" w:hAnsi="Times New Roman;Times;Serif"/>
          <w:b w:val="false"/>
          <w:i w:val="false"/>
          <w:caps w:val="false"/>
          <w:smallCaps w:val="false"/>
          <w:sz w:val="20"/>
        </w:rPr>
        <w:t>”) between the Company and the Purchasers. Payment by the Purchasers for the Shares shall be made pursuant to the terms of the Purchase Agreements at the time and date referred to therein as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proposes to repurchase for cash (through its agent) $135,000,000 aggregate principal amount of the Company’s 5.25% Convertible Senior Notes due 2029 issued pursuant to that certain Indenture, dated November 26, 2024, by and among the Company and U.S. Bank Trust Company, National Association, as trustee (collectively, the “</w:t>
      </w:r>
      <w:r>
        <w:rPr>
          <w:rFonts w:ascii="Times New Roman;Times;Serif" w:hAnsi="Times New Roman;Times;Serif"/>
          <w:b w:val="false"/>
          <w:i w:val="false"/>
          <w:caps w:val="false"/>
          <w:smallCaps w:val="false"/>
          <w:sz w:val="20"/>
          <w:u w:val="single"/>
        </w:rPr>
        <w:t>Notes Repurchases</w:t>
      </w:r>
      <w:r>
        <w:rPr>
          <w:rFonts w:ascii="Times New Roman;Times;Serif" w:hAnsi="Times New Roman;Times;Serif"/>
          <w:b w:val="false"/>
          <w:i w:val="false"/>
          <w:caps w:val="false"/>
          <w:smallCaps w:val="false"/>
          <w:sz w:val="20"/>
        </w:rPr>
        <w:t>”). The Company will use the net proceeds from the Share Purchases, together with a portion of the net proceeds of the Convertible Notes Offering (as defined below), to settle the cash amount due under the Notes Repurchases. In addition, concurrently with Share Purchases, the Company proposes to issue and sell in a private offering $325,000,000 aggregate principal amount of the Company’s 5.00% convertible senior notes due 2032 (the “</w:t>
      </w:r>
      <w:r>
        <w:rPr>
          <w:rFonts w:ascii="Times New Roman;Times;Serif" w:hAnsi="Times New Roman;Times;Serif"/>
          <w:b w:val="false"/>
          <w:i w:val="false"/>
          <w:caps w:val="false"/>
          <w:smallCaps w:val="false"/>
          <w:sz w:val="20"/>
          <w:u w:val="single"/>
        </w:rPr>
        <w:t>Convertible Notes Offering</w:t>
      </w:r>
      <w:r>
        <w:rPr>
          <w:rFonts w:ascii="Times New Roman;Times;Serif" w:hAnsi="Times New Roman;Times;Serif"/>
          <w:b w:val="false"/>
          <w:i w:val="false"/>
          <w:caps w:val="false"/>
          <w:smallCaps w:val="false"/>
          <w:sz w:val="20"/>
        </w:rPr>
        <w:t>” and, together with the Share Purchases and the Notes Repurchases, the “</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prepared and filed, in accordance with the provisions of the Securities Act of 1933, as amended, and the rules and regulations thereunder (collectively, the “</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a shelf registration statement on Form F-3 (File No. 333-283732) under the Act, including a prospectus relating to the Shares, which registration statement incorporates by reference documents which the Company has filed, or will file, in accordance with the provisions of the Securities Exchange Act of 1934, as amended, and the rules and regulations thereunder (collectively,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Amendments to such registration statement, if necessary or appropriate, have been similarly prepared and filed with the Commission in accordance with the Act. Such registration statement, as so amended, has become effective under the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where the context otherwise requires, “Registration Statement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as used herein, means such registration statement, as amended at the time of such registration statement’s effectiveness for purposes of Section 11 of the Act, as such section applies to the Placement Agent (as defined below) (the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including (i) all documents filed as a part thereof or incorporated or deemed to be incorporated by reference therein and (ii) any information contained or incorporated by reference in a prospectus filed with the Commission pursuant to Rule 424(b) under the Act, to the extent such information is deemed, pursuant to Rule 430B under the Act, to be part of the registration statement at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where the context otherwise requires, “Prospectus,” as used herein, means the final prospectus supplement to the Base Prospectus, together with the Base Prospectus, relating to the offering of the Shares, filed by the Company with the Commission pursuant to Rule 424(b) under the Act on or before the second business day after the date of determination of the offering price of the Shares (or such earlier time as may be required under the Act), in the form furnished by the Company to the Placement Agent for use by the Placement Agent in connection with the offering of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 in this Placement Agency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to the Registration Statement, the Base Prospectus, the Prospectus or any Permitted Pricing Terms Prospectus shall be deemed to refer to and include the documents, if any, incorporated by reference, or deemed to be incorporated by reference, therein (the “</w:t>
      </w:r>
      <w:r>
        <w:rPr>
          <w:rFonts w:ascii="Times New Roman;Times;Serif" w:hAnsi="Times New Roman;Times;Serif"/>
          <w:b w:val="false"/>
          <w:i w:val="false"/>
          <w:caps w:val="false"/>
          <w:smallCaps w:val="false"/>
          <w:sz w:val="20"/>
          <w:u w:val="single"/>
        </w:rPr>
        <w:t>Incorporated Documents</w:t>
      </w:r>
      <w:r>
        <w:rPr>
          <w:rFonts w:ascii="Times New Roman;Times;Serif" w:hAnsi="Times New Roman;Times;Serif"/>
          <w:b w:val="false"/>
          <w:i w:val="false"/>
          <w:caps w:val="false"/>
          <w:smallCaps w:val="false"/>
          <w:sz w:val="20"/>
        </w:rPr>
        <w:t>”), including, unless the context otherwise requires, the documents, if any, filed as exhibits to such Incorporated Documents. Any reference herein to the terms “amend,” “amendment” or “supplement” with respect to the Registration Statement, the Prospectus or any Permitted Pricing Terms Prospectus shall be deemed to refer to and include the filing of any document under the Exchange Act on or after the initial effective date of the Registration Statement, or the date of the Prospectus or such Permitted Pricing Terms Prospectus, as the case may be, and deemed to be incorporated therein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Applicable Time</w:t>
      </w:r>
      <w:r>
        <w:rPr>
          <w:rFonts w:ascii="Times New Roman;Times;Serif" w:hAnsi="Times New Roman;Times;Serif"/>
          <w:b w:val="false"/>
          <w:i w:val="false"/>
          <w:caps w:val="false"/>
          <w:smallCaps w:val="false"/>
          <w:sz w:val="20"/>
        </w:rPr>
        <w:t>,” as used herein, means 11:30 P.M., New York City time, on February 19, 2026, or such other time as agreed by the Company and the Placement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Base Prospectus</w:t>
      </w:r>
      <w:r>
        <w:rPr>
          <w:rFonts w:ascii="Times New Roman;Times;Serif" w:hAnsi="Times New Roman;Times;Serif"/>
          <w:b w:val="false"/>
          <w:i w:val="false"/>
          <w:caps w:val="false"/>
          <w:smallCaps w:val="false"/>
          <w:sz w:val="20"/>
        </w:rPr>
        <w:t>,” as used herein, means the base prospectus filed as part of such Registration Statement, in the form in which it has most recently been filed with the Commission on or prior to the date of this Agreement relating to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 day on which the Commission’s office in Washington, D.C. is open for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Disclosure Package</w:t>
      </w:r>
      <w:r>
        <w:rPr>
          <w:rFonts w:ascii="Times New Roman;Times;Serif" w:hAnsi="Times New Roman;Times;Serif"/>
          <w:b w:val="false"/>
          <w:i w:val="false"/>
          <w:caps w:val="false"/>
          <w:smallCaps w:val="false"/>
          <w:sz w:val="20"/>
        </w:rPr>
        <w:t>,” as used herein, means, collectively, the Pricing Term Sheet, the Base Prospectus, the Incorporated Documents, and all Permitted Pricing Terms Prospectuses if any, considered together.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Knowledge</w:t>
      </w:r>
      <w:r>
        <w:rPr>
          <w:rFonts w:ascii="Times New Roman;Times;Serif" w:hAnsi="Times New Roman;Times;Serif"/>
          <w:b w:val="false"/>
          <w:i w:val="false"/>
          <w:caps w:val="false"/>
          <w:smallCaps w:val="false"/>
          <w:sz w:val="20"/>
        </w:rPr>
        <w:t>” means the actual knowledge of any of (i) the Company’s Chairperson and Chief Executive Officer, (ii) the Company’s Chief Financial Officer (in his capacity as Chief Financial Officer and interim anti-money laundering officer), (iii) the Company’s Chief Business Officer and (iv) the Company’s Chief Strategy Officer, in each case after reasonable inquiry of officers, directors and employees of the Company and its subsidiaries under such person’s direct supervision who would reasonably be expected to have knowledge or information with respect to the matter in question.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Pricing Terms Prospectuses</w:t>
      </w:r>
      <w:r>
        <w:rPr>
          <w:rFonts w:ascii="Times New Roman;Times;Serif" w:hAnsi="Times New Roman;Times;Serif"/>
          <w:b w:val="false"/>
          <w:i w:val="false"/>
          <w:caps w:val="false"/>
          <w:smallCaps w:val="false"/>
          <w:sz w:val="20"/>
        </w:rPr>
        <w:t xml:space="preserve">,” as used herein, means the prospectus filed in respect of the pricing terms included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Pricing Term Sheet</w:t>
      </w:r>
      <w:r>
        <w:rPr>
          <w:rFonts w:ascii="Times New Roman;Times;Serif" w:hAnsi="Times New Roman;Times;Serif"/>
          <w:b w:val="false"/>
          <w:i w:val="false"/>
          <w:caps w:val="false"/>
          <w:smallCaps w:val="false"/>
          <w:sz w:val="20"/>
        </w:rPr>
        <w:t xml:space="preserve">,” as used herein, means the pricing term sheet attached as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Testing-the-Waters Communication</w:t>
      </w:r>
      <w:r>
        <w:rPr>
          <w:rFonts w:ascii="Times New Roman;Times;Serif" w:hAnsi="Times New Roman;Times;Serif"/>
          <w:b w:val="false"/>
          <w:i w:val="false"/>
          <w:caps w:val="false"/>
          <w:smallCaps w:val="false"/>
          <w:sz w:val="20"/>
        </w:rPr>
        <w:t>,” as used herein, means any oral or written communication with potential investors undertaken in reliance on Rule 163B under the Act; and any Testing-the-Waters Communication that is a written communication within the meaning of Rule 405 under the Act is hereinafter called a “</w:t>
      </w:r>
      <w:r>
        <w:rPr>
          <w:rFonts w:ascii="Times New Roman;Times;Serif" w:hAnsi="Times New Roman;Times;Serif"/>
          <w:b/>
          <w:i w:val="false"/>
          <w:caps w:val="false"/>
          <w:smallCaps w:val="false"/>
          <w:sz w:val="20"/>
        </w:rPr>
        <w:t>Written Testing-the-Waters Communication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“herein,” “hereof,” “hereto,” “hereinafter” and similar terms, as used in this Agreement, shall in each case refer to this Agreement as a whole and not to any particular section, paragraph, sentence or other subdivision of this Agreement. The term “or,” as used herein, is not exclusive.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Placement Agent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caps w:val="false"/>
          <w:smallCaps w:val="false"/>
          <w:sz w:val="20"/>
        </w:rPr>
        <w:t xml:space="preserve">Appointment as Placement Agent. </w:t>
      </w:r>
      <w:r>
        <w:rPr>
          <w:rFonts w:ascii="Times New Roman;Times;Serif" w:hAnsi="Times New Roman;Times;Serif"/>
          <w:b w:val="false"/>
          <w:i w:val="false"/>
          <w:caps w:val="false"/>
          <w:smallCaps w:val="false"/>
          <w:sz w:val="20"/>
        </w:rPr>
        <w:t>The Company and the Placement Agent agree: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hereby appoints you, Barclays Capital Inc. (“</w:t>
      </w:r>
      <w:r>
        <w:rPr>
          <w:rFonts w:ascii="Times New Roman;Times;Serif" w:hAnsi="Times New Roman;Times;Serif"/>
          <w:b w:val="false"/>
          <w:i w:val="false"/>
          <w:caps w:val="false"/>
          <w:smallCaps w:val="false"/>
          <w:sz w:val="20"/>
          <w:u w:val="single"/>
        </w:rPr>
        <w:t>Barclays</w:t>
      </w:r>
      <w:r>
        <w:rPr>
          <w:rFonts w:ascii="Times New Roman;Times;Serif" w:hAnsi="Times New Roman;Times;Serif"/>
          <w:b w:val="false"/>
          <w:i w:val="false"/>
          <w:caps w:val="false"/>
          <w:smallCaps w:val="false"/>
          <w:sz w:val="20"/>
        </w:rPr>
        <w:t>”), as exclusive placement agent (the “</w:t>
      </w:r>
      <w:r>
        <w:rPr>
          <w:rFonts w:ascii="Times New Roman;Times;Serif" w:hAnsi="Times New Roman;Times;Serif"/>
          <w:b w:val="false"/>
          <w:i w:val="false"/>
          <w:caps w:val="false"/>
          <w:smallCaps w:val="false"/>
          <w:sz w:val="20"/>
          <w:u w:val="single"/>
        </w:rPr>
        <w:t>Placement Agent</w:t>
      </w:r>
      <w:r>
        <w:rPr>
          <w:rFonts w:ascii="Times New Roman;Times;Serif" w:hAnsi="Times New Roman;Times;Serif"/>
          <w:b w:val="false"/>
          <w:i w:val="false"/>
          <w:caps w:val="false"/>
          <w:smallCaps w:val="false"/>
          <w:sz w:val="20"/>
        </w:rPr>
        <w:t>”), and you hereby accept such appointment and agree to act as exclusive placement agent and to solicit offers from Purchasers to participate in Share Purchases, and the Company hereby authorizes you to act on its behalf in accordance with this Agreement. It is understood and agreed that you will act under this Agreement as an independent contractor with duties solely to the Company and nothing in this Agreement or the nature of your services in connection with this engagement or otherwise shall be deemed to create a fiduciary duty or fiduciary or agency relationship between you and the Company or its shareholders, employees or creditors, and the Company agrees that it shall not make, and hereby waives, any claim based on an assertion of such a fiduciary duty or relationship. Additionally, the Placement Agent is not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and the Placement Agent shall not have any responsibility or liability to the Company with respect thereto. Any review or due diligence by the Placement Agent of the Company, the Transactions or other matters relating to the Transactions will be performed solely for the benefit of the Placement Agent and shall not be on behalf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It is understood and agreed that any written or oral guidance provided by the Placement Agent in connection with the engagement described herein is exclusively for the information of the board of directors and senior management of the Company (solely in their capacities as directors and officers of the Company) in connection with their consideration of the Share Purchases, and such guidance and the terms of this Agreement may not be disclosed to any third party (other than the Company’s outside law firm or accounting firm, in each case who has been informed by the Company of the confidential nature of such guidance and the terms of this Agreement and has agreed to treat such information confidentially or is otherwise subject to professional duties of confidentiality) or circulated or referred to publicly (including any reference to the fact that the Placement Agent has rendered such guidance or entered into this Agreement) or used or relied on by any other party or for any other purpose without the Company’s prior written consent, except to the extent the Company is required or requested to disclose such information (i) under compulsion of law (whether by oral question, interrogatory, subpoena, civil investigative demand or otherwise), by order or act of any court or governmental or regulatory authority or body or (ii) as otherwise required by applicable law, rule or regulation, including any listing exchange, or to the extent requested by the Staff of the Commission, any representative of the Nasdaq Stock Market LLC (“</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or any other regulatory agency; provided, in each case, the Company shall, to the extent practicable, provide the Placement Agent with prior written notice of such disclosure and cooperate, to a reasonable extent, with the Placement Agent in any efforts Placement Agent may make to obtain an order or other reliable assurance that confidential treatment will be accorded to such guidance and this Agreement. For the avoidance of doubt, this paragraph shall not prohibit any persons from disclosing information to any governmental, regulatory, or self-regulatory organization.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to the contrary contained in this Agreement, the Placement Agent shall have no obligation to purchase any of the Shares, or any liability to the Company if any prospective purchaser fails to consummate a purchase of or pay for any of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2. Share Purchases. </w:t>
      </w:r>
      <w:r>
        <w:rPr>
          <w:rFonts w:ascii="Times New Roman;Times;Serif" w:hAnsi="Times New Roman;Times;Serif"/>
          <w:b w:val="false"/>
          <w:i w:val="false"/>
          <w:caps w:val="false"/>
          <w:smallCaps w:val="false"/>
          <w:sz w:val="20"/>
        </w:rPr>
        <w:t>The Placement Agent agrees to use its reasonable best efforts to solicit offers from Purchasers to participate in Share Purchases. Neither the Placement Agent nor any of its affiliates, nor any partners, directors, officers, agents, employees or controlling persons (if any) of the Placement Agent or any of its affiliates, shall have any liability to the Company or any other person for any act or omission on the part of any securities broker or dealer (other than the Placement Agent or its successors and assigns), commercial bank or trust company that solicits Share Purchases, and neither the Placement Agent nor any of such persons or entities referred to above related to the Placement Agent shall have any liability to the Company or any person asserting claims on behalf of or in right of the Company in connection with or as a result of the Placement Agent’s engagement or any matter referred to in this Agreement. In soliciting Share Purchases, no securities broker or dealer (other than the Placement Agent or its successors and assigns), commercial bank or trust company shall be deemed to act as the Placement Agent’s agent or the agent of the Company and you, as the Placement Agent, shall not be deemed the agent of any other securities broker or dealer or of any commercial bank or trust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caps w:val="false"/>
          <w:smallCaps w:val="false"/>
          <w:sz w:val="20"/>
        </w:rPr>
        <w:t>[Reserved].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4. Representations and Warranties of the Company</w:t>
      </w:r>
      <w:r>
        <w:rPr>
          <w:rFonts w:ascii="Times New Roman;Times;Serif" w:hAnsi="Times New Roman;Times;Serif"/>
          <w:b w:val="false"/>
          <w:i w:val="false"/>
          <w:caps w:val="false"/>
          <w:smallCaps w:val="false"/>
          <w:sz w:val="20"/>
        </w:rPr>
        <w:t>. The Company represents and warrants to you that: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Registration Statement has heretofore become effective under the Act; no stop order of the Commission preventing or suspending the use of any Base Prospectus, or the effectiveness of the Registration Statement, has been issued, and no proceedings for such purpose have been instituted or, to the Company’s knowledge, are contemplated by the Commission.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the Effective Time, the Registration Statement complied in all material respects with the requirements of the Act and the conditions to the use of Form F-3 in connection with the offering and issue of the Shares as contemplated hereby have been satisfied; the Registration Statement meets, and the offering and issue of the Shares as contemplated hereby complies with, the requirements of Rule 415 under the Act (including, without limitation, Rule 415(a)(5) under the Act) and, as of the Effective Time, did not contain an untrue statement of a material fact or omit to state a material fact required to be stated therein or necessary to make the statements therein not misleading; as of the Applicable Time and as of the Closing Date, the Base Prospectus complied and will comply in all material respects with the requirements of the Act (including, without limitation, Section 10(a) of the Act) and the Disclosure Package did not include and will not include an untrue statement of a material fact or omit to state a material fact necessary in order to make the statements therein, in the light of the circumstances under which they were made, not misleading; each Permitted Terms Pricing Prospectus and each Written Testing-the-Waters Communication does not conflict with the information contained in the Registration Statement, the Base Prospectus or the Prospectus and each Permitted Terms Pricing Prospectus and each Written Testing-the-Waters Communication, as supplemented by and taken together with the Disclosure Package as of the Applicable Time, did not, and as of the Closing Date will not, include any untrue statement of a material fact or omit to state any material fact necessary in order to make the statements therein, in the light of the circumstances under which they were made, not misleading; the Prospectus will comply, as of its date and as of the Closing Date, in all material respects, with the requirements of the Act (including, without limitation, Section 10(a) of the Act) and, as of the date the Prospectus is filed with the Commission and as of the Closing Date, the Prospectus will not, as then amended or supplemented, include an untrue statement of a material fact or omit to state a material fact necessary in order to make the statements therein, in the light of the circumstances under which they were made, not misleading; provided, however, that the Company makes no representation or warranty in this Section ‎‎4(b) with respect to any statement contained in the Registration Statement, the Disclosure Package or the Prospectus made in reliance upon and in conformity with information concerning the Placement Agent and furnished in writing by or on behalf of the Placement Agent to the Company expressly for use in the Registration Statement, the Disclosure Package or the Prospectus (such information, the “</w:t>
      </w:r>
      <w:r>
        <w:rPr>
          <w:rFonts w:ascii="Times New Roman;Times;Serif" w:hAnsi="Times New Roman;Times;Serif"/>
          <w:b w:val="false"/>
          <w:i w:val="false"/>
          <w:caps w:val="false"/>
          <w:smallCaps w:val="false"/>
          <w:sz w:val="20"/>
          <w:u w:val="single"/>
        </w:rPr>
        <w:t>Placement Agent Information</w:t>
      </w:r>
      <w:r>
        <w:rPr>
          <w:rFonts w:ascii="Times New Roman;Times;Serif" w:hAnsi="Times New Roman;Times;Serif"/>
          <w:b w:val="false"/>
          <w:i w:val="false"/>
          <w:caps w:val="false"/>
          <w:smallCaps w:val="false"/>
          <w:sz w:val="20"/>
        </w:rPr>
        <w:t>”); each Incorporated Document, as of its date, as of the Applicable Time and as of the Closing Date, complied, in all material respects, with the requirements of the Exchange Act and did not include an untrue statement of a material fact or omit to state a material fact necessary in order to make the statements therein, in the light of the circumstances under which they were made, not misleading.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Prior to the execution of this Agreement, the Company has not, directly or indirectly, offered or issued any Shares by means of any “prospectus” (within the meaning of the Act) or used any “prospectus” (within the meaning of the Act) in connection with the offer or issue of the Shares, in each case other than the Base Prospectus and the Permitted Pricing Terms Prospectus.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Reserved</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None of the Company, any of its subsidiaries or any of their respective affiliates has taken or will take, directly or indirectly, any action designed to or that has constituted, or that might be reasonably expected to cause or result in, under the Exchange Act or otherwise, stabilization or manipulation of the price of any security of the Company or any of its subsidiaries to facilitate the sale or resale of the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of the Company and its subsidiaries has been duly incorporated or organized, and is validly existing and in good standing (to the extent such concept is applicable) under the laws of their respective jurisdictions of incorporation or organization, are duly qualified to do business and are in good standing (to the extent such concept is applicable)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would not, individually or in the aggregate, have a material adverse effect on the business, properties, management (financial position), shareholders’ equity, results of operations or prospects of the Company and its subsidiaries taken as a whole or on the performance by the Company of its obligations under this Agreement and the Purchase Agreements (a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The amended and restated memorandum and articles of association of the Company comply with the requirements of applicable Cayman law and are in full force and effect. The Company owns, directly or indirectly, all of the equity interests of the subsidiaries free and clear of any lien, charge, security interest, encumbrance, right of first refusal or other restriction, and all the equity interests of the subsidiaries are validly issued and are fully paid, nonassessable and free of preemptive and similar rights. The Company does not own or control, directly or indirectly, any corporation, association or other entity other than the subsidiaries listed in Exhibit 8.1 to the Annual Report and other than (i) those subsidiaries not required to be listed on Exhibit 8.1 by Item 601 of Regulation S-K under the Exchange Act, and (ii) those subsidiaries formed or acquired since the last day of the most recently ended fiscal year.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has an authorized capitalization as set forth under the heading “Capitalization” in the Disclosure Package or the Prospectus as of the date or dates set forth therein; all the outstanding capital shares of the Company have been duly and validly authorized and issued and are fully paid and non-assessable and are not subject to any pre-emptive or similar rights. There are no outstanding rights (including pre-emptive rights or warrants, except as described in or expressly contemplated by the Registration Statement, the Disclosure Package or the Prospectus as of the date or dates set forth therein), or options to acquire, or instruments convertible into or exchangeable for, any capital shares or other equity interest in the Company or any of its subsidiaries, or any contract, commitment, agreement, understanding or arrangement of any kind relating to the issuance of any capital shares of the Company or any such subsidiary, any such convertible or exchangeable securities or any such rights, warrants or options; the capital shares of the Company conform in all material respects to the description thereof contained in the Registration Statement, the Disclosure Package or the Prospectus as of the dates set forth therein. All the outstanding capital shares or other equity interests of each subsidiary owned, directly or indirectly, by the Company have been duly and validly authorized and issued, are fully paid and non-assessable and are owned directly or indirectly by the Company, free and clear of any lien, charge, encumbrance, security interest, restriction on voting or transfer or any other claim of any third party, except as would not reasonably be expected to have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execution, delivery and performance by the Company of the Agreement, the Purchase Agreements and the consummation by it of the Transactions contemplated hereby and thereby, and the Share Purchases, have been duly and validly authorized by all necessary corporate action, and no further consent or authorization of the Company, its Board of Directors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or its shareholders is required; the execution, delivery and performance by the Company of the Agreement by the Company and the issuance of the Shares, the application of the proceeds from the sale of the Ordinary Shares as described under “Use of Proceeds” in the Disclosure Package or the Prospectus, and the consummation by the Company of the Transactions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the Company or any of its subsidiaries pursuant to, any indenture, mortgage, deed of trust, loan agreement or other agreement or instrument to which the Company or any of its subsidiaries is a party or by which the Company or any of its subsidiaries is bound or to which any property, right or asset of the Company or any of its subsidiaries is subject, (ii) result in any violation of the provisions of the memorandum and articles of association, charter or by-laws or similar organizational documents of the Company or any of its subsidiaries or (iii) result in the violation of any Cayman Islands, Singapore or U.S. law or statute or any judgment, order, rule or regulation of any court or arbitrator or governmental or regulatory authority or body having jurisdiction over the Company or any of its subsidiaries or their properties, except, in the case of clauses (i) and (iii) above, (1) as described in the Disclosure Package and the Prospectus, or (2) for any such conflict, breach, violation, default, lien, charge or encumbrance that would not reasonably be expected to have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the Company nor any of its subsidiaries is (i) in violation of its respective memorandum and articles of association,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property or asset of the Company or any of its subsidiaries is subject or (iii) in violation of any statute, law, rule, regulation, ordinance, directive, judgment, decree, guideline, notice or order of any judicial, regulatory or other legal or governmental agency or body, foreign or domestic, having jurisdiction over the Company or any of its subsidiaries, except, in the case of clauses (ii) and (iii), (1) as described in the Registration Statement, the Disclosure Package or the Prospectus, or (2) for any such default or violation that would not have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Purchase Agreements will conform in all material respects to the descriptions thereof in the Prospectus.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Company and its subsidiaries have good and marketable title to, or have valid rights to lease or otherwise use, all items of real and personal property that are material to the respective businesses of the Company and its subsidiaries taken as a whole, in each case free and clear of all liens, encumbrances, claims and defects and imperfections of title except those that (i) do not materially interfere with the use made and proposed to be made of such property by the Company and its subsidiaries or (ii) could not reasonably be expected to have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No consent, approval, authorization, order, registration or qualification of or with any court or arbitrator or any governmental or regulatory authority or applicable law is required for the issue and sale of the Shares and the consummation of the Transactions, except for such consents, approvals, authorizations, orders and registrations or qualifications (i) as may be required under applicable state securities laws or Blue Sky laws of the United States, in connection with the issuance of the Shares and the listing of the Shares on the Nasdaq Capital Market, and (ii) as have been previously obtained by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Company has the requisite corporate power and authority to enter into this Agreement and the Purchase Agreements (together, the “</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and perform the Transactions contemplated by the Transaction Documents and to issue the Shares in accordance with the terms hereof and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consolidated financial statements (including the related notes thereto) of the Company and its consolidated subsidiaries included or incorporated by reference in the Registration Statement, the Disclosure Package or the Prospectus comply in all material respects with the applicable requirements of the Act and present fairly the financial position of the Company and its consolidated subsidiaries as of the dates indicated and the results of their operations and the changes in their cash flows for the periods specified; such consolidated financial statements have been prepared in conformity with the International Financial Reporting Standards as issued by the International Accounting Standards Boards (“</w:t>
      </w:r>
      <w:r>
        <w:rPr>
          <w:rFonts w:ascii="Times New Roman;Times;Serif" w:hAnsi="Times New Roman;Times;Serif"/>
          <w:b w:val="false"/>
          <w:i w:val="false"/>
          <w:caps w:val="false"/>
          <w:smallCaps w:val="false"/>
          <w:sz w:val="20"/>
          <w:u w:val="single"/>
        </w:rPr>
        <w:t>IFRS</w:t>
      </w:r>
      <w:r>
        <w:rPr>
          <w:rFonts w:ascii="Times New Roman;Times;Serif" w:hAnsi="Times New Roman;Times;Serif"/>
          <w:b w:val="false"/>
          <w:i w:val="false"/>
          <w:caps w:val="false"/>
          <w:smallCaps w:val="false"/>
          <w:sz w:val="20"/>
        </w:rPr>
        <w:t>”) applied on a consistent basis throughout the periods covered thereby, and any supporting schedules included in the Registration Statement, the Disclosure Package or the Prospectus present fairly the information required to be stated therein; and the other financial information included in the Registration Statement, the Disclosure Package or the Prospectus has been derived from the accounting records of the Company and its consolidated subsidiaries and presents fairly the information shown thereby; all disclosures included in the Registration Statement, the Disclosure Package or the Prospectus regarding “non-IFRS financial measures” (as such term is defined by the rules and regulations of the Commission) comply in all material respects with Regulation G of the Exchange Act and Item 10 of Regulation S-K of the Act, to the extent applicable. The Company and its consolidated subsidiaries do not have any material liabilities or obligations, direct or contingent (including any off-balance sheet obligations), that are not described in the Registration Statement, the Disclosure Package or the Prospectus. The interactive data in eXtensible Business Reporting Language included or incorporated by reference in the Registration Statement, the Disclosure Package or the Prospectus fairly present the information called for in all material respects and have been prepared in accordance with the Commission’s rules and guidelines applicable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There are no legal, governmental or regulatory investigations, actions, demands, claims, suits, arbitrations, inquiries or proceedings (“</w:t>
      </w:r>
      <w:r>
        <w:rPr>
          <w:rFonts w:ascii="Times New Roman;Times;Serif" w:hAnsi="Times New Roman;Times;Serif"/>
          <w:b w:val="false"/>
          <w:i w:val="false"/>
          <w:caps w:val="false"/>
          <w:smallCaps w:val="false"/>
          <w:sz w:val="20"/>
          <w:u w:val="single"/>
        </w:rPr>
        <w:t>Actions</w:t>
      </w:r>
      <w:r>
        <w:rPr>
          <w:rFonts w:ascii="Times New Roman;Times;Serif" w:hAnsi="Times New Roman;Times;Serif"/>
          <w:b w:val="false"/>
          <w:i w:val="false"/>
          <w:caps w:val="false"/>
          <w:smallCaps w:val="false"/>
          <w:sz w:val="20"/>
        </w:rPr>
        <w:t>”) pending to which the Company or any of its subsidiaries is or may be a party or to which any property of the Company or any of its subsidiaries is or may be the subject that, if determined adversely to the Company or any of its subsidiaries, would reasonably be expected to have a Material Adverse Effect or which are otherwise material in the context of the sale of the Shares or could, in the aggregate, reasonably be expected to have a Material Adverse Effect on the performance by the Company of its obligations under the Transaction Documents or the consummation of the Transactions; no such Actions are, to the Company’s Knowledge, threatened or contemplated by any governmental or regulatory authority or threatened by others. There are (i) no current or pending Actions or statutes or regulations that would be required to be described in a registration statement on Form F-3 filed under the Act that are not so described in the Registration Statement, the Disclosure Package or the Prospectus, and (ii) no contracts or other documents that would be required to be described in or filed as an exhibit to a registration statement on Form F-3 filed under the Act (collectively, the “</w:t>
      </w:r>
      <w:r>
        <w:rPr>
          <w:rFonts w:ascii="Times New Roman;Times;Serif" w:hAnsi="Times New Roman;Times;Serif"/>
          <w:b w:val="false"/>
          <w:i w:val="false"/>
          <w:caps w:val="false"/>
          <w:smallCaps w:val="false"/>
          <w:sz w:val="20"/>
          <w:u w:val="single"/>
        </w:rPr>
        <w:t>Filed Documents</w:t>
      </w:r>
      <w:r>
        <w:rPr>
          <w:rFonts w:ascii="Times New Roman;Times;Serif" w:hAnsi="Times New Roman;Times;Serif"/>
          <w:b w:val="false"/>
          <w:i w:val="false"/>
          <w:caps w:val="false"/>
          <w:smallCaps w:val="false"/>
          <w:sz w:val="20"/>
        </w:rPr>
        <w:t>”) that are not so described in the Registration Statement, the Disclosure Package or the Prospectus. To the Knowledge of the Company, there is no actual or threatened material breach by any other party to any Filed Documents of their respective obligations contemplated by the terms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Each of the Company and its subsidiaries has not received any written notice from any governmental authority of or been charged by any governmental authority with the violation of any applicable law, except for any such violation that would not be reasonably expected to have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MaloneBailey LLP, whose report on the consolidated financial statements of the Company is filed with the Commission as part of the Annual Report with the Commission and incorporated into the Registration Statement, the Disclosure Package or the Prospectus, and who have delivered the initial letter referred to in Section 8(c) hereof, are and during the periods covered by their report, were independent registered public accountants within the meaning of the Act and the Public Company Accounting Oversight Board (United States).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Since April 13, 2023, the Company has timely filed all certifications and statements the Company is required to file or furnish under (i) Rule 13a-14 or Rule 15d-14 under the Exchange Act or (ii) 18 U.S.C. Section 1350 (Section 906 of the Sarbanes-Oxley Act) with respect to all Exchange Act Reports with respect to which the Company is required to file such certifications and statements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No labor disturbance by or dispute with employees of the Company or any of its subsidiaries exists or, to the Knowledge of the Company, is contemplated or threatened, and the Company is not aware of any existing or imminent labor disturbance by, or dispute with, the employees of any of its or its subsidiaries’ principal suppliers, contractors, third-party logistics providers, IT service providers, or customers, except (1) as otherwise disclosed in the Registration Statement, the Disclosure Package or the Prospectu or (2) as would not have, or be reasonably expected to have, a Material Adverse Effect. Neither the Company nor any of its subsidiaries has received any notice of cancellation or termination with respect to any collective bargaining agreement to which it is a party.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Since the date of the most recent financial statements of the Company included in the Registration Statement, the Disclosure Package or the Prospectus, there has been (i) no dividend or distribution of any kind declared, paid or made by the Company on any class of its share capital and (ii) no material adverse change in the share capital, short-term indebtedness or long-term indebtedness of the Company and its subsidiaries, taken as a whole. Neither the Company nor any of its subsidiaries has entered (A) into any material transaction or agreement or incurred any material liability or obligation, direct or contingent, that is not disclosed or contemplated in the Registration Statement, the Disclosure Package or the Prospectus, or (B) sustained any material loss or material interference with its business from fire, explosion, flood or other calamity, whether or not covered by insurance, or from any labor dispute or court or governmental action, order or decree.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No relationship, direct or indirect, exists between or among the Company or any of its subsidiaries, on the one hand, and the directors, officers, shareholders, customers, suppliers or other affiliates of the Company or any of its subsidiaries, on the other, that would be required to be described in a registration statement of the Company pursuant to Item 404 of Regulation S-K (or such successor provision) that has not been described in the Registration Statement, the Disclosure Package or the Prospectus.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proceeds from the sale of the Shares by the Company shall be used by the Company and its subsidiaries in the manner as will be set forth in the Registration Statement, the Disclosure Package or the Prospectus. The application of the net proceeds received by the Company in connection with the offering of the Shares as described in the Registration Statement, the Disclosure Package and the Prospectus will not (i) contravene any provision of any laws applicable to the Company or any of its subsidiaries, (ii) contravene the memorandum and articles of association, charter or other constitutive documents of the Company or any of its subsidiaries, (iii) contravene the terms or provisions of, or constitute a default under, any indenture, mortgage, deed of trust, loan agreement, note, lease or other agreement or instrument currently binding upon the Company or any of its subsidiaries, or (iv) contravene or violate the terms or provisions of any governmental authorization applicable to any of the Company or any of its subsidiaries, except, in the case of (iii) and (iv) above, such contravention or violation that would not have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The Company is not, and will not be, either after giving effect to the receipt of the net proceeds from the offering and sale of the Shares as contemplated by the Transaction Documents or after the application of the net proceeds from the Transactions as described in the Registration Statement, the Disclosure Package or the Prospectus, required to register as an “investment company” as such term is defined in the U.S. Investment Company Act of 1940, as amended.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Company and its subsidiaries possess all licenses, sub-licenses, certificates,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the Registration Statement, the Disclosure Package or the Prospectus, except where the failure to possess or make the same would not have a Material Adverse Effect. Except as described in the Registration Statement, the Disclosure Package or the Prospectus or would not have a Material Adverse Effect neither the Company nor any of its subsidiaries received notice of any revocation or modification of any such license, sub-license, certificate, permit or authorization or has any reason to believe that any such license, sub-license, certificate, permit or authorization will not be renewed in the ordinary course. This Section does not relate to environmental matters, such items being the subject of Section 4(z) below.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The Company and its subsidiaries maintain systems of “internal control over financial reporting” (as defined in Rule 13a-15(f) of the Exchange Act) that comply with the requirements of the Exchange Act, as applicable to the Company,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IFRS. The Company and its subsidiaries maintain internal accounting controls designed to provide reasonable assurance that (i) transactions are executed in accordance with management’s general or specific authorizations; (ii) transactions are recorded as necessary to permit preparation of financial statements in conformity with IFRS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Registration Statement, the Disclosure Package or the Prospectus, there are no material weaknesses in the Company’s internal controls (it being understood that the Company is not required as of the date hereof to comply with Section 404(b) of the Sarbanes-Oxley Act of 2002 (the “</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Except as disclosed in the Registration Statement, the Disclosure Package or the Prospectus, as of the date of the most recent balance sheet of the Company reviewed or audited by the Company’s auditors and the Audit Committee of the Board, there was: (i) no significant deficiency and/or material weakness in the design or operation of internal controls over financial reporting which have adversely affected or are reasonably likely to adversely affect the Company’s ability to record, process, summarize and report financial information; (ii) no fraud, whether or not material, that involves management or other employees who have a significant role in the Company’s internal controls over financial reporting; and (iii) the interactive data in eXtensible Business Reporting Language included or incorporated by reference in the Registration Statement, the Disclosure Package and the Prospectus fairly present the information called for in all material respects and have been prepared in accordance with the Commission’s rules and guidelines applicable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(i) The Company and each of its subsidiaries (x) are and since December 31, 2022 have been in compliance with all, and have not violated any, applicable federal, state, local and foreign laws (including common law), rules, regulations, decisions, judgments, decrees, orders and other legally enforceable requirements relating to pollution, the protection of human health or safety, the environment, hazardous or toxic substances or wastes, chemicals, pollutants or contaminants (collectively, “</w:t>
      </w:r>
      <w:r>
        <w:rPr>
          <w:rFonts w:ascii="Times New Roman;Times;Serif" w:hAnsi="Times New Roman;Times;Serif"/>
          <w:b w:val="false"/>
          <w:i w:val="false"/>
          <w:caps w:val="false"/>
          <w:smallCaps w:val="false"/>
          <w:sz w:val="20"/>
          <w:u w:val="single"/>
        </w:rPr>
        <w:t>Hazardous Substances</w:t>
      </w:r>
      <w:r>
        <w:rPr>
          <w:rFonts w:ascii="Times New Roman;Times;Serif" w:hAnsi="Times New Roman;Times;Serif"/>
          <w:b w:val="false"/>
          <w:i w:val="false"/>
          <w:caps w:val="false"/>
          <w:smallCaps w:val="false"/>
          <w:sz w:val="20"/>
        </w:rPr>
        <w:t>”), or the protection of natural resources from Hazardous Substances (collectively,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(y) have received and are and have been in compliance with all, and have not violated any, permits, licenses, certificates or other authorizations or approvals required of them under any Environmental Laws to conduct their respective businesses; and (z) have not received notice of any actual or potential liability or obligation under or relating to, or any actual or potential violation of, any Environmental Laws, including for the investigation or remediation of any Hazardous Substances, and have no Knowledge of any event or condition that would reasonably be expected to result in any such notice, liability, obligation or violation; and (ii) there are no costs, obligations or liabilities associated with Environmental Laws of or relating to the Company or any of its subsidiaries, except in the case of each of (i) and (ii) above, (1) as otherwise disclosed in the Registration Statement, the Disclosure Package or the Prospectus or (2) for any such matter as would not reasonably be expected to have a Material Adverse Effect; and (iii) except as described in the Registration Statement, the Disclosure Package or the Prospectus, (x) there is no proceeding that is pending, or to the Company’s Knowledge, that is contemplated, against the Company or any of its subsidiaries under any Environmental Laws in which a governmental entity is also a party, (y) the Company and its subsidiaries are not aware of any facts or issues regarding compliance with Environmental Laws that would reasonably be expected to have a material effect on the capital expenditures, earnings or competitive position of the Company and its subsidiaries, and (z) none of the Company or its subsidiaries anticipates any material capital expenditures relating to any Environmental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(i) Each employee benefit plan, within the meaning of Section 3(3) of the Employee Retirement Income Security Act of 1974, as amended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that is maintained, administered or contributed to by the Company or any of its subsidiaries for employees or former employees, directors or independent contractors of the Company, or under which the Company has had or has any present or future obligation or liability, has been maintained in material compliance with its terms and the requirements of any applicable laws, including but not limited to ERISA and the Internal Revenue Code of 1986, as amended (the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(ii) no prohibited transaction, within the meaning of Section 406 of ERISA or Section 4975 of the Code, has occurred which would result in a material liability to the Company with respect to any such plan excluding transactions effected pursuant to a statutory or administrative exemption; (iii) no event has occurred (including a “reportable event” as such term is defined in Section 4043 of ERISA) and no condition exists that would subject the Company to any material tax, fine, lien, penalty, or liability imposed by ERISA, the Code or other applicable law; and for each such plan that is subject to the funding rules of Section 412 of the Code or Section 302 of ERISA, no “accumulated funding deficiency” as defined in Section 412 of the Code has been incurred, whether or not waived, and the fair market value of the assets of each such plan (excluding for these purposes accrued but unpaid contributions) exceeds the present value of all benefits accrued under such plan determined using reasonable actuarial assumptions.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Except as otherwise disclosed in the Registration Statement, the Disclosure Package or the Prospectus or where the failure to have any of the following would not reasonably be expected to have a Material Adverse Effect: (i) the Company and its subsidiaries own or have valid and enforceable rights to use all patents, trademarks, service marks, trade names, domain names and other source indicators, copyrights and copyrightable works, know-how (including trade secrets and other unpatented or unpatentable proprietary or confidential information, systems or procedures) and all other similar intellectual property, industrial property and proprietary rights (including all registrations and applications for registration of, and all goodwill associated with, the foregoing) (collectively,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used in or necessary for the conduct of their respective businesses and as proposed to be conducted; (ii) the Company’s and its subsidiaries’ conduct of their respective businesses has not infringed, misappropriated or otherwise violated any Intellectual Property of any third party; (iii) the Company and its subsidiaries have not received any written notice and are not otherwise aware of any pending or threatened claim alleging infringement, misappropriation or other violation of any Intellectual Property of any third party, or challenging the validity, enforceability, scope or ownership of any Intellectual Property of the Company or its subsidiaries; (iv) to the Knowledge of the Company, no Intellectual Property owned by or exclusively licensed to the Company and its subsidiaries has been infringed, misappropriated or otherwise violated by any third party; (v) to the Knowledge of the Company, all Intellectual Property owned by or exclusively licensed to the Company and its subsidiaries is valid and enforceable in all material respects; and (vi) the Company and its subsidiaries have taken reasonable steps in accordance with normal industry practice to maintain the confidentiality of all Intellectual Property, the value of which to the Company or any of its subsidiaries is contingent upon maintaining the confidentiality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Except as otherwise disclosed in the Registration Statement, the Disclosure Package or the Prospectus, the Company and its subsidiaries have paid all Cayman Islands federal, state, local and foreign taxes and filed all tax returns required to be paid or filed through the date hereof except, in each case, where the failure to pay or file would not have a Material Adverse Effect; and except as otherwise disclosed in the Registration Statement, the Disclosure Package or the Prospectus, there is no tax deficiency that has been, or would reasonably be expected to be, asserted against the Company or any of its subsidiaries or any of their respective properties or assets, except a tax deficiency that would not have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Except as otherwise disclosed in the Registration Statement, the Disclosure Package or the Prospectus, the Company and the subsidiaries have insurance covering their respective material properties, operations, personnel and businesses, which insurance is in amounts and insures against such losses and risks as are appropriate and commercially reasonable (including reference to standard industry practice) to protect the Company and the subsidiaries and their respective businesses (which shall exclude business interruption insurance); and except as otherwise disclosed in the Registration Statement, the Disclosure Package or the Prospectus, neither the Company nor any of its subsidiaries has (i) received notice from any insurer or agent of such insurer that capital improvements or other expenditures are required or necessary to be made in order to continue such insurance or (ii) to the Company’s Knowledge, any reason to believe that it will not be able to renew its existing insurance coverage as and when such coverage expires or to obtain similar coverage from similar insurers as may be necessary to continue its business without a significant increase in cost other than increases in premium costs generally applicable to the types of insurance maintained by the Company. There is no material insurance claim made by or against the Company or any of its subsidiaries, pending, outstanding or threatened, and no facts or circumstances exist which would reasonably be expected to give rise to any such claim and all due premiums in respect thereof have been paid.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Neither the Company nor any of its officers and directors nor, to the Knowledge of the Company, its affiliates has taken, directly or indirectly, any action designed to or that might cause or result in stabilization or manipulation of the price of the Ordinary Shares or of any “reference security” (as defined in Rule 100 of Regulation M under the Exchange Act (“</w:t>
      </w:r>
      <w:r>
        <w:rPr>
          <w:rFonts w:ascii="Times New Roman;Times;Serif" w:hAnsi="Times New Roman;Times;Serif"/>
          <w:b w:val="false"/>
          <w:i w:val="false"/>
          <w:caps w:val="false"/>
          <w:smallCaps w:val="false"/>
          <w:sz w:val="20"/>
          <w:u w:val="single"/>
        </w:rPr>
        <w:t>Regulation M</w:t>
      </w:r>
      <w:r>
        <w:rPr>
          <w:rFonts w:ascii="Times New Roman;Times;Serif" w:hAnsi="Times New Roman;Times;Serif"/>
          <w:b w:val="false"/>
          <w:i w:val="false"/>
          <w:caps w:val="false"/>
          <w:smallCaps w:val="false"/>
          <w:sz w:val="20"/>
        </w:rPr>
        <w:t>”)) with respect to the Ordinary Shares, whether to facilitate the sale of the Shares or otherwise, in each case that would violate Regulation M, and has taken no action which would directly or indirectly violate Regulation 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The Ordinary Shares are registered pursuant to Section 12(b) of the Exchange Act, and the Company has taken no action designed to, or which to its Knowledge is likely to have the effect of, terminating the registration of the Ordinary Shares under the Exchange Act, nor has the Company received any notification that the Commission is contemplating terminating such registration. The Company has not received notice from Nasdaq to the effect that the Company is not in compliance with the listing or maintenance requirements of Nasdaq.</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Neither the Company nor any of its subsidiaries, any of the Company’s affiliates, any director, officer, nor, to the Knowledge of the Company, after due inquiry, agent, employee or other person associated with or acting on behalf of the Company or any of its subsidiaries, has in the course of its actions for, or on behalf of, the Company or any of its subsidiaries: (i) made any unlawful contribution, gift or other unlawful expense relating to political activity; (ii) made any direct or indirect bribe, kickback, rebate, payoff, influence payment, or otherwise unlawfully provided anything of value, to any “foreign official” (as defined in the U.S. Foreign Corrupt Practices Act of 1977, as amended (collectively, the “</w:t>
      </w:r>
      <w:r>
        <w:rPr>
          <w:rFonts w:ascii="Times New Roman;Times;Serif" w:hAnsi="Times New Roman;Times;Serif"/>
          <w:b w:val="false"/>
          <w:i w:val="false"/>
          <w:caps w:val="false"/>
          <w:smallCaps w:val="false"/>
          <w:sz w:val="20"/>
          <w:u w:val="single"/>
        </w:rPr>
        <w:t>FCPA</w:t>
      </w:r>
      <w:r>
        <w:rPr>
          <w:rFonts w:ascii="Times New Roman;Times;Serif" w:hAnsi="Times New Roman;Times;Serif"/>
          <w:b w:val="false"/>
          <w:i w:val="false"/>
          <w:caps w:val="false"/>
          <w:smallCaps w:val="false"/>
          <w:sz w:val="20"/>
        </w:rPr>
        <w:t>”)) or domestic government official; or (iii) violated or is in violation of any provision of the FCPA, the Bribery Act 2010 of the United Kingdom, as amended (the “</w:t>
      </w:r>
      <w:r>
        <w:rPr>
          <w:rFonts w:ascii="Times New Roman;Times;Serif" w:hAnsi="Times New Roman;Times;Serif"/>
          <w:b w:val="false"/>
          <w:i w:val="false"/>
          <w:caps w:val="false"/>
          <w:smallCaps w:val="false"/>
          <w:sz w:val="20"/>
          <w:u w:val="single"/>
        </w:rPr>
        <w:t>Bribery Act 2010</w:t>
      </w:r>
      <w:r>
        <w:rPr>
          <w:rFonts w:ascii="Times New Roman;Times;Serif" w:hAnsi="Times New Roman;Times;Serif"/>
          <w:b w:val="false"/>
          <w:i w:val="false"/>
          <w:caps w:val="false"/>
          <w:smallCaps w:val="false"/>
          <w:sz w:val="20"/>
        </w:rPr>
        <w:t>”), or any other applicable anti-corruption or anti-bribery statute or regulation. The Company and its subsidiaries and, to the Knowledge of the Company, the Company’s affiliates, have conducted their respective businesses in compliance with the FCPA, Bribery Act 2010, and all other applicable anti-corruption and anti-bribery statutes or regulations, and have instituted and maintain policies and procedures designed to ensure, and which are reasonably expected to ensure, continued compliance therewith and with the representations and warranties contained herein.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or anti-bribery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The Company and its subsidiaries’ information technology assets and equipment, computers, systems, networks, hardware, software, websites, applications, and databases (including the data of their respective customers, employees, suppliers, vendors and any third party data maintained by or on behalf of the Company and its subsidiaries) (collectively, “</w:t>
      </w:r>
      <w:r>
        <w:rPr>
          <w:rFonts w:ascii="Times New Roman;Times;Serif" w:hAnsi="Times New Roman;Times;Serif"/>
          <w:b w:val="false"/>
          <w:i w:val="false"/>
          <w:caps w:val="false"/>
          <w:smallCaps w:val="false"/>
          <w:sz w:val="20"/>
          <w:u w:val="single"/>
        </w:rPr>
        <w:t>IT Systems</w:t>
      </w:r>
      <w:r>
        <w:rPr>
          <w:rFonts w:ascii="Times New Roman;Times;Serif" w:hAnsi="Times New Roman;Times;Serif"/>
          <w:b w:val="false"/>
          <w:i w:val="false"/>
          <w:caps w:val="false"/>
          <w:smallCaps w:val="false"/>
          <w:sz w:val="20"/>
        </w:rPr>
        <w:t>”) are adequate for, and operate and perform in all material respects as required in connection with, the operation of the business of the Company and to the Knowledge of the Company, its subsidiaries are free and clear of all material bugs, errors, defects, Trojan horses, time bombs, malware and other corruptants. The Company and its subsidiaries have implemented and maintained appropriate controls, policies, procedures, and safeguards necessary to maintain and protect their material confidential information and the integrity, continuous operation, redundancy and security of all IT Systems and data (including all personal, personally identifiable, sensitive, confidential or regulated data (collectively, “</w:t>
      </w:r>
      <w:r>
        <w:rPr>
          <w:rFonts w:ascii="Times New Roman;Times;Serif" w:hAnsi="Times New Roman;Times;Serif"/>
          <w:b w:val="false"/>
          <w:i w:val="false"/>
          <w:caps w:val="false"/>
          <w:smallCaps w:val="false"/>
          <w:sz w:val="20"/>
          <w:u w:val="single"/>
        </w:rPr>
        <w:t>Data</w:t>
      </w:r>
      <w:r>
        <w:rPr>
          <w:rFonts w:ascii="Times New Roman;Times;Serif" w:hAnsi="Times New Roman;Times;Serif"/>
          <w:b w:val="false"/>
          <w:i w:val="false"/>
          <w:caps w:val="false"/>
          <w:smallCaps w:val="false"/>
          <w:sz w:val="20"/>
        </w:rPr>
        <w:t>”)) used in connection with their businesses. Without limiting the foregoing, the Company and its subsidiaries have used reasonable efforts to establish, maintain, implement and comply with reasonable information technology, information security, cyber security and data protection controls, policies and procedures, including oversight, access controls, encryption, technological and physical safeguards and business continuity/disaster recovery and security plans that are designed to protect against and prevent breach, destruction, loss, unauthorized distribution, use, access, disablement, misappropriation or modification, or other compromise or misuse of or relating to any information technology system or Data used in connection with the operation of the Company’s and its subsidiaries’ businesses (“</w:t>
      </w:r>
      <w:r>
        <w:rPr>
          <w:rFonts w:ascii="Times New Roman;Times;Serif" w:hAnsi="Times New Roman;Times;Serif"/>
          <w:b w:val="false"/>
          <w:i w:val="false"/>
          <w:caps w:val="false"/>
          <w:smallCaps w:val="false"/>
          <w:sz w:val="20"/>
          <w:u w:val="single"/>
        </w:rPr>
        <w:t>Breach</w:t>
      </w:r>
      <w:r>
        <w:rPr>
          <w:rFonts w:ascii="Times New Roman;Times;Serif" w:hAnsi="Times New Roman;Times;Serif"/>
          <w:b w:val="false"/>
          <w:i w:val="false"/>
          <w:caps w:val="false"/>
          <w:smallCaps w:val="false"/>
          <w:sz w:val="20"/>
        </w:rPr>
        <w:t>”) and there has been no such Breach. The Company and its subsidiaries have not been notified of and have no Knowledge of any event or condition that would reasonably be expected to result in, any such Breach. This representation is limited in each case to the extent that such breach or noncompliance would not reasonably be expected to have a Material Adverse Effect, and except as otherwise disclosed in the Registration Statement, the Disclosure Package or the Prospectus.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and its subsidiaries have complied, and are presently in compliance, in all material respects, with all internal and external privacy policies, contractual obligations, industry standards, applicable laws, statutes, judgments, orders, rules and regulations of any court or arbitrator or other governmental or regulatory authority and any legal obligations regarding the collection, use, transfer, import, export, storage, protection, disposal and disclosure by the Company and its subsidiaries of Data (“</w:t>
      </w:r>
      <w:r>
        <w:rPr>
          <w:rFonts w:ascii="Times New Roman;Times;Serif" w:hAnsi="Times New Roman;Times;Serif"/>
          <w:b w:val="false"/>
          <w:i w:val="false"/>
          <w:caps w:val="false"/>
          <w:smallCaps w:val="false"/>
          <w:sz w:val="20"/>
          <w:u w:val="single"/>
        </w:rPr>
        <w:t>Data Security Obligations</w:t>
      </w:r>
      <w:r>
        <w:rPr>
          <w:rFonts w:ascii="Times New Roman;Times;Serif" w:hAnsi="Times New Roman;Times;Serif"/>
          <w:b w:val="false"/>
          <w:i w:val="false"/>
          <w:caps w:val="false"/>
          <w:smallCaps w:val="false"/>
          <w:sz w:val="20"/>
        </w:rPr>
        <w:t>”). Neither the Company nor any of its subsidiaries has received any notification of or complaint regarding, or have knowledge of any other facts that, individually or in the aggregate, would reasonably indicate non-compliance with any applicable Data Security Obligation in all material respects. There is no pending, or threatened, action, suit or proceeding by or before any court or governmental agency, authority or body pending or to the Knowledge of the Company, threatened alleging non-compliance with any applicable Data Security Obligation. The Company and its subsidiaries have at all times taken reasonable steps in accordance with industry standard practices to protect Data used in connection with their businesses against loss and against unauthorized access, use, modification, disclosure or other misuse. There has been no unauthorized access to such information. To the extent applicable to the operations of the Company and its subsidiaries, the Company and its subsidiaries are in material compliance with the European Union General Data Protection Regulation (and all other laws and regulations applicable to the operations of the Company and its subsidiaries with respect to Data).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The operations of the Company and each of its subsidiaries are and have been conducted at all times in compliance in all material respects with applicable financial record keeping and reporting requirements of the Currency and Foreign Transactions Reporting Act of 1970, as amended, the applicable money laundering statutes of all jurisdictions where the Company or any of its subsidiaries conducts business, the rules and regulations thereunder and any related or similar rules, regulations or guidelines, that have been issued, administered or enforced by any governmental agency (collectively, the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and no action, suit or proceeding by or before any court or governmental agency, authority or body or any arbitrator or non-governmental authority involving the Company or any of its subsidiaries with respect to the Money Laundering Laws is pending or, to the Knowledge of the Company, threatened.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Neither the issuance, sale and delivery of the Shares nor the application of the proceeds thereof by the Company as described in the Registration Statement, the Disclosure Package or the Prospectus will violate Regulation T, U or X of the Board of Governors of the Federal Reserve System or any other regulation of such Board of Governors.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Neither the Company nor any of its subsidiaries, nor, to the Knowledge of the Company, after due inquiry, any of the Company’s affiliates, any director, officer, agent, employee or affiliate of the Company or any of its subsidiaries is (i) currently the subject or the target of any sanctions administered or enforced by the Office of Foreign Assets Control of the U.S. Treasury Department, the U.S. Department of State, the United Nations Security Council, the European Union, His Majesty’s Treasury, or other relevant sanctions authority (collectively, “</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or (ii) located, organized or resident in a country or territory that is the subject or target of Sanctions (including, without limitation, Cuba, Iran, North Korea, Syria, the Crimea region of Ukraine, the so-called Donetsk People’s Republic and the so-called Luhansk People’s Republic); and the Company will not directly or indirectly use the proceeds of the offering, or lend, contribute or otherwise make available such proceeds to any subsidiary, joint venture partner or other person or entity, for the purpose of financing or facilitating the activities or business of any person, or in any country or territory, that at the time of such financing or facilitation and is the subject or target of Sanctions or in any other manner that will result in a violation by any person (including any person participating in the transaction whether as an underwriter, advisor, investor or otherwise) of Sanctions. Neither the Company nor any of its subsidiaries, nor any of their directors, officers, employees, or affiliates has violated any laws or regulations relating to economic sanctions, export controls, import, customs, or antiboycott laws, in each case only in their capacity acting for, on behalf of, or otherwise in relation to the Company or any of its subsidiaries. Each of the Company and its subsidiaries is and has been in possession of and in compliance with any and all licenses, registrations, and permits that may be required for its lawful conduct under any economic sanctions, import, and export control laws or regulations. The Company and each of its subsidiaries have not knowingly engaged in since April 24, 2019, are not now knowingly engaged in, and will not engage in, any dealings or transactions with any individual or entity, or in any country or territory, that at the time of the dealing or transaction, is or was the subject or target of Sanction. Each of the Company and its subsidiaries have instituted, and maintain, policies and procedures designed to promote and achieve compliance with Sanctions or applicable export control laws and regulations administered by the Bureau of Industry and Security, or other relevant authorities, including the Export Administration Regulations.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Except pursuant to any other financing arrangements the Company has entered into or may enter into from time to time and disclosed in the Registration Statement, the Disclosure Package or the Prospectus, no subsidiary of the Company is currently prohibited, directly or indirectly, under any applicable laws or regulations, or agreement or other instrument to which it is a party or is subject, from paying any dividends to the Company, from making any other distribution on such subsidiary’s capital shares or similar ownership interest, from repaying to the Company any loans or advances to such subsidiary from the Company or from transferring any of such subsidiary’s properties or assets to the Company or any other subsidiary of the Company except as would be reasonably expected to have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Except for any Cayman Islands stamp duty if the Transaction Documents are executed in, or brought to, the Cayman Islands (including being produced to a court of the Cayman Islands) in which case nominal stamp duty would be payable, no stamp duties or other issuance or transfer taxes are payable in the Cayman Islands or Singapore, or any political subdivision or taxing authority thereof solely in connection with (A) the execution, delivery and performance of the Transaction Documents, (B) the issuance and delivery of the Shares in the manner contemplated by this Agreement and the Purchase Agreements, or (C) the sale and delivery of the Shares as contemplated in the Purchase Agreements.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Neither the Company nor any of its subsidiaries or their properties or assets has immunity under Cayman Islands, U.S. federal or New York state law from any legal action, suit or proceeding, from the giving of any relief in any such legal action, suit or proceeding, from set-off or counterclaim, from the jurisdiction of any Cayman Islands, U.S. federal or New York state court, from service of process, attachment upon or prior to judgment, or attachment in aid of execution of judgment, or from execution of a judgment, or other legal process or proceeding for the giving of any relief or for the enforcement of a judgment, in any such court with respect to their respective obligations, liabilities or any other matter under or arising out of or in connection herewith; and, to the extent that the Company or any of its subsidiaries or any of its properties, assets or revenues may have or may hereafter become entitled to any such right of immunity in any such court in which proceedings arising out of, or relating to the transactions contemplated by this Agreement, may at any time be commenced, the Company has waived or will waive, pursuant to Section 20 of this Agreement, and upon execution of the Purchase Agreements, pursuant to Section 4.10 of each Purchase Agreement, and it will cause its subsidiaries to waive, such right to the extent permitted by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Any final and conclusive judgment for a fixed, definite or determined sum of money and not in respect of a tax, fine or other penalty rendered by any U.S. District Court and other courts of the United States in the State of New York having jurisdiction under its own laws in respect of any suit, action or proceeding against the Company based upon this Agreement which was not obtained by fraud and is not of a kind, the enforcement of which is contrary to public policy in the Cayman Islands would be enforceable against the Company by the courts of the Cayman Islands, without re-examination or re-litigation of the matters adjudicated upon.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 The choice of laws of the State of New York as the governing law of this Agreement is a valid choice of law under the laws of the Cayman Islands and will be recognized and upheld by the courts of the Cayman Islands, subject to exceptions including but not limited to fraud, public policy, and natural justice. The Company has the power to submit, and pursuant to Section 15 of this Agreement and Section 4.12 of each Purchase Agreement, has or upon execution and delivery of the Purchase Agreements by the Company, will have, legally, validly, effectively and irrevocably submitted, to the personal jurisdiction of each New York state and United States federal court sitting in the City of New York and has, or in the case of the Purchase Agreements, upon execution and delivery by the Company, will have, validly and irrevocably waived any objection to the laying of venue of any suit, action or proceeding brought in such court. The Company has the power to designate, appoint and empower, and pursuant to Section 15 of this Agreement and Section 4.13 of each Purchase Agreement, has, or in the case of the Purchase Agreements, upon execution and delivery by the Company, will have, legally, validly, effectively and irrevocably designated, appointed and empowered, an authorized agent for service of process in any action arising out of or relating to the Transaction Documents or the Transactions contemplated thereunder, in any New York Court, and service of process in any manner permitted by applicable laws effected on such authorized agent will be effective to confer valid personal jurisdiction over the Company as provided herein or in any other Transaction Document.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 The indemnification and contribution provisions set forth in Section 11 hereof do not contravene Cayman Islands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 The Company believes that it was not a “passive foreign investment company” as defined in Section 1297 of the Code for the Company’s taxable year ended December 31, 2025.</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 The legality, validity or enforceability of any of the Registration Statement, the Disclosure Package or the Prospectus, the Transaction Documents or the Shares in any jurisdiction in which the Company is organized or does business is not dependent upon such document being submitted into, filed or recorded with any court or other authority in any such jurisdiction on or before the date hereof or that any tax, imposition or charge be paid in any such jurisdiction on or in respect of any such document. Any final judgment for a fixed sum of money rendered by a New York Court having jurisdiction under its own domestic laws in respect of any suit, action or proceeding against the Company based upon the Transaction Documents would be recognized and enforced by Cayman courts without reexamining the merits of the case.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(uu) Subject to the limitations described in Section 15 hereof, the Placement Agent is entitled to sue as plaintiff in the court of the jurisdiction of formation and domicile of the Company for the enforcement of its rights under the Transaction Documents and the Shares and such access to such courts will not be subject to any conditions which are not applicable to residents of such jurisdiction or a company incorporated in such jurisdiction except that plaintiffs not residing in the Cayman Islands may be required to guarantee payment of a possible order for payment of costs or damages at the request of the defendant.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(vv) The Company is a “foreign private issuer” as defined in Rule 405 under the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 The Company has not relied upon the Placement Agent or legal counsel for the Placement Agent for any legal, tax or accounting advice in connection with the offering and sale of the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No forward-looking statement (within the meaning of Section 27A of the Act and Section 21E of the Exchange Act) contained in any of the Registration Statement, the Disclosure Package or the Prospectus or any “road show” (as defined in Rule 433 under the Act) has been made or reaffirmed without a reasonable basis or has been disclosed other than in good faith.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 Neither the Company nor any of its subsidiaries has sent or received any communication regarding termination of, or, where applicable, intent not to renew, any of the material contracts or agreements referred to or described in the Registration Statement, the Disclosure Package or the Prospectus or filed as an exhibit to the Annual Report, and no such termination or nonrenewal has been threatened by the Company or any of its subsidiaries or, to the Knowledge of the Company, by any other party to any such contract or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(zz) Except as disclosed in the Registration Statement, the Disclosure Package or the Prospectus, there are no contracts, agreements or understandings between the Company and any person granting such person the right to require the Company to file a registration statement under the Act with respect to any securities of the Company owned or to be owned by such person or to require the Company to include such securities in the securities registered pursuant to a registration statement or in any securities being registered pursuant to any other registration statement filed by the Company under the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(aaa) The Company is subject to Section 13 or 15(d) of the Exchange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(bbb) The Company has not issued any debt securities that have been or are rated by any “nationally recognized statistical rating organization”, as defined in Section 3(a)(62) of the Exchange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(ccc) The Company maintains a system of “disclosure controls and procedures” (as defined in Rule 13a-15(e) under the Exchange Act) that complies with the requirements of the Exchange Act and is designed to ensure that material information relating to the Company and its subsidiaries is made known to the Company’s management as appropriate. The Company has carried out evaluations of the effectiveness of its disclosure controls and procedures as required by Rule 13a-15 under the Exchange Act. The Company’s disclosure controls and procedures were effective as of December 31, 2023.</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(ddd) The statements in the Disclosure Package and the Prospectus under the headings “The Offering,” “Risk Factors,” “Description of Share Capital,” and “Taxation” insofar as such statements summarize legal matters, agreements, documents or proceedings discussed therein, are accurate and fair summaries of such legal matters, agreements, documents or proceedings in all material respects. The preceding sentence, insofar as it relates to statements in the Registration Statement, the Disclosure Package or the Prospectus under the heading “Plan of Distribution” does not apply to Placement Agent Information. The statements set forth in the Annual Report under the headings “Item 4. Information on the Company - B. Business Overview,” “Item 5. Operating and Financial Review and Prospects - A.- Operating Results - Liquidity and Capital Resources,” “Item 6. Directors, Senior Management and Employees - B. Compensation,” “Item 6. Directors, Senior Management and Employees - C. Board Practices,” “Item 8. Financial Information – A. Consolidated Statements and Other Financial Information - Legal Proceedings,” “Item 10. Additional Information - B. Memorandum and Articles of Association” and “Item 10. Additional Information - E. Taxation,” as supplemented or modified by the information included in the Disclosure Package and the Prospectus, and the statements set forth in Exhibit 99.1 filed as part of the interim report on Form 6-K as filed with the Commission on May 15, 2025, Exhibit 99.1 filed as part of the interim report on Form 6-K as filed with the Commission on August 19, 2025, Exhibit 99.1 filed as part of the interim report on Form 6-K as filed with the Commission on November 10, 2025, and Exhibit 99.1 filed as part of the interim report on Form 6-K with the Commission on February 12, 2026, insofar as such statements summarize legal matters, agreements, documents or proceedings discussed therein, are accurate and fair summaries of such legal matters, agreements, documents or proceedings in all material respects.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(eee) Any third-party statistical, industry and market-related data included or incorporated by reference in the Registration Statement, the Disclosure Package or the Prospectus are based on or derived from sources that the Company believes to be reliable and accurate, and such data agree with the sources from which they are derived. The Company has obtained written consents for the use of such data from such sources to the extent required as determined in the Company’s reasonable discretion.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(fff) To the Company’s Knowledge, the Company’s directors and executive officers are not a party to any legal, governmental or regulatory proceedings that would result in such director or officer to be unsuitable for his or her position on the Company’s Board or in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(ggg) The section entitled “Item 5. Operating and Financial Review and Prospects - A. Operating Results - Critical Accounting Policies and Significant Judgments and Estimates” in the Annual Report, as updated by the Registration Statement, the Disclosure Package or the Prospectus, fairly and accurately describes (i) material accounting policies that the Company believes are the most significant in the portrayal of the Company’s financial condition and results of operations and that require management’s most difficult, subjective or complex judgments, (ii) material judgments, estimates and uncertainties affecting the application of the foregoing critical accounting policies and (iii) the likelihood that different amounts would be reported under different conditions or using different assumptions and an explanation thereof (to the extent required to be so disclosed). The Company’s directors and management have reviewed and agreed with the selection, application and disclosure of the Company’s critical accounting policies as described in the Annual Report, the Registration Statement, the Disclosure Package or the Prospectus.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(hhh) The Registration Statement, the Disclosure Package or the Prospectus fairly and accurately describe all material trends, demands, commitments and events known to the Company, that the Company believes would materially affect its liquidity and are reasonably likely to occur. The Registration Statement, the Disclosure Package or the Prospectus fairly and accurately describe in all material respects all off-balance sheet transactions, arrangements, commitments and obligations of the Company and its subsidiaries.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ceased to be an issuer as described in Rule 144(i)(1)(i) of the Act on March 9, 2024.</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(jjj) The Company is not a “legal entity customer” for the purposes of 31 CFR § 1010.230(e).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(kkk) Neither the Company nor any of its subsidiaries (1) is a “covered foreign person,” as that term is defined in 31 C.F.R. 850.209 (“</w:t>
      </w:r>
      <w:r>
        <w:rPr>
          <w:rFonts w:ascii="Times New Roman;Times;Serif" w:hAnsi="Times New Roman;Times;Serif"/>
          <w:b w:val="false"/>
          <w:i w:val="false"/>
          <w:caps w:val="false"/>
          <w:smallCaps w:val="false"/>
          <w:sz w:val="20"/>
          <w:u w:val="single"/>
        </w:rPr>
        <w:t>Covered Foreign Person</w:t>
      </w:r>
      <w:r>
        <w:rPr>
          <w:rFonts w:ascii="Times New Roman;Times;Serif" w:hAnsi="Times New Roman;Times;Serif"/>
          <w:b w:val="false"/>
          <w:i w:val="false"/>
          <w:caps w:val="false"/>
          <w:smallCaps w:val="false"/>
          <w:sz w:val="20"/>
        </w:rPr>
        <w:t>”), or (2) has plans to engage, directly or indirectly, make an investment, become a party of any joint venture, or other arrangement or engage in any other activity as a result of which the Company would be or become a Covered Foreign Person.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(lll) Subject to such qualifications and assumptions as are set forth in the opinion of relevant local counsel for the Company, the Placement Agent is entitled to sue as plaintiffs in the courts of the jurisdiction of incorporation and domicile of the Company for the enforcement of its rights under this Agreement and such access to such courts will not be subject to any conditions which are not applicable to residents of such jurisdiction or a company incorporated in such jurisdiction, other than the requirement to post a bond or guarantee with respect to court costs and legal fees.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(mmm) Except pursuant to this Agreement and as contemplated under the Transactions, neither the Company nor any of its subsidiaries has incurred any liability for any finder’s or broker’s fee or agent’s commission in connection with the offering, sale and delivery of the Shares or any other Transaction.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(nnn) The Shares to be issued by the Company pursuant to the Purchase Agreements have been duly and validly authorized and, when issued and delivered against payment therefor as provided in the Purchase Agreements, will be duly and validly issued, fully paid, non-assessable and free of statutory and contractual preemptive rights, resale rights, rights of first refusal and similar rights and will be free of any restriction upon the voting or transfer thereof pursuant to Cayman Islands law or the Company’s memorandum and articles of association, charter or by-laws, similar organizational documents or any agreement or other instrument to which the Company is a party except as otherwise set forth in the Registration Statement, the Disclosure Package and the Prospectus.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(ooo) No person has the right, contractual or otherwise, to cause the Company to register under the Act any Ordinary Shares, any other shares in the capital of the Company or other equity interests in the Company, or to include any such shares or interests in the Registration Statement or the offering contemplated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certificate signed by any officer of the Company or any of its subsidiaries and delivered to the Placement Agent or counsel for the Placement Agent in connection with the offering of the Shares shall be deemed to be a representation and warranty by the Company or such subsidiary, as the case may be, as to matters covered thereby, to the Placement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5. Certain Covenants of the Company</w:t>
      </w:r>
      <w:r>
        <w:rPr>
          <w:rFonts w:ascii="Times New Roman;Times;Serif" w:hAnsi="Times New Roman;Times;Serif"/>
          <w:b w:val="false"/>
          <w:i w:val="false"/>
          <w:caps w:val="false"/>
          <w:smallCaps w:val="false"/>
          <w:sz w:val="20"/>
        </w:rPr>
        <w:t>. The Company agrees: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furnish such information as may be reasonably required and otherwise to cooperate in qualifying the Shares for offering and issue under the securities or blue sky laws of such states or other jurisdictions as you may designate; provided, however, that the Company shall not be required to qualify as a foreign corporation or to consent to the service of process under the laws of any such jurisdiction (except service of process with respect to the offering and issue of the Shares); and to promptly advise you of the receipt by the Company of any notification with respect to the suspension of the qualification of the Shares for offer or issue in any jurisdiction or the initiation or threatening of any proceeding for such purpose;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make available to the Placement Agent in New York City, as soon as practicable after this Agreement becomes effective, and thereafter from time to time to furnish to the Placement Agent, as many copies of the Prospectus (or of the Prospectus as amended or supplemented if the Company shall have made any amendments or supplements thereto after the effective date of the Registration Statement) as the Placement Agent may reasonably request for the purposes contemplated by the Act; in case the Placement Agent is required to deliver (whether physically or through compliance with Rule 172 under the Act or any similar rule), in connection with the issue of the Shares, a prospectus after the nine-month period referred to in Section 10(a)(3) of the Act, the Company will prepare, at its expense, promptly upon reasonable request such amendment or amendments to the Registration Statement and the Prospectus as may be necessary to permit compliance with the requirements of Section 10(a)(3) of the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at the time this Agreement is executed and delivered, it is necessary or appropriate for a post-effective amendment to the Registration Statement to be filed with the Commission and become effective before the Shares may be issued, the Company will use its best efforts to cause such post-effective amendment to be filed and become effective, and will pay any applicable fees in accordance with the Act, as soon as possible; and the Company will advise you promptly and, if requested by you, will confirm such advice in writing, (i) when such post-effective amendment has become effective, and (ii) when the Prospectus is filed with the Commission pursuant to Rule 424(b) under the Act (which the Company agrees to file in a timely manner in accordance with such rule);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at any time during the period when a prospectus is required by the Act to be delivered (whether physically or through compliance with Rule 172 under the Act or any similar rule) in connection with any issue of Shares, the Registration Statement shall cease to comply with the requirements of the Act with respect to eligibility for the use of the form on which the Registration Statement was filed with the Commission or the Registration Statement shall cease to be an “automatic shelf registration statement” (as defined in Rule 405 under the Act) or the Company shall have received, from the Commission, a notice, pursuant to Rule 401(g)(2), of objection to the use of the form on which the Registration Statement was filed with the Commission, to (i) promptly notify the Placement Agent, (ii) promptly file with the Commission a new registration statement under the Act, relating to the Shares, or a post-effective amendment to the Registration Statement, which new registration statement or post-effective amendment shall comply with the requirements of the Act and shall be in a form satisfactory to you, (iii) use its best efforts to cause such new registration statement or post-effective amendment to become effective under the Act as soon as practicable, (iv) promptly notify the Placement Agent of such effectiveness and (v) take all other action necessary or appropriate to permit the public offering and issue of the Shares to continue as contemplated in the Prospectus; all references herein to the Registration Statement shall be deemed to include each such new registration statement or post-effective amendment, if 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advise you promptly, confirming such advice in writing, of any request by the Commission for amendments or supplements to the Registration Statement, the Disclosure Package and the Prospectus or for additional information with respect thereto, or of notice of institution of proceedings for, or the entry of a stop order, suspending the effectiveness of the Registration Statement and, if the Commission should enter a stop order suspending the effectiveness of the Registration Statement, to use its best efforts to obtain the lifting or removal of such order as soon as possible; to advise you promptly of any proposal to amend or supplement the Registration Statement or the Prospectus, and to provide you and your counsel copies of any such documents for review and comment a reasonable amount of time prior to any proposed filing and to file no such amendment or supplement to which you shall have objected as soon as reasonably practicable in writing;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subject to Section ‎5(e) hereof, to file promptly all reports and documents and any preliminary or definitive proxy or information statement required to be filed by the Company with the Commission in order to comply with the Exchange Act for so long as a prospectus is required by the Act to be delivered (whether physically or through compliance with Rule 172 under the Act or any similar rule) in connection with any issue of Shares; and to promptly notify the Placement Agent of such filing;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pay the fees applicable to the Registration Statement in connection with the offering of the Shares within the time required by Rule 456(b)(1)(i) under the Act (without reliance on the proviso to Rule 456(b)(1)(i) under the Act) and in compliance with Rule 456(b) and Rule 457(r) under the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advise the Placement Agent promptly of the happening of any event within the period during which a prospectus is required by the Act to be delivered (whether physically or through compliance with Rule 172 under the Act or any similar rule) in connection with any issue of Shares, which event could require the making of any change in the Prospectus then being used so that the Prospectus would not include an untrue statement of a material fact or omit to state a material fact necessary in order to make the statements therein, in the light of the circumstances under which they are made, not misleading, and to advise the Placement Agent promptly if, during such period, it shall become necessary to amend or supplement the Prospectus to cause the Prospectus to comply with the requirements of the Act, and, in each case, during such time, subject to Section ‎5(e) hereof, to prepare and furnish, at the Company’s expense, to the Placement Agent promptly such amendments or supplements to such Prospectus as may be necessary to reflect any such change or to effect such compliance;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make generally available to its security holders, and to deliver to you, an earnings statement of the Company which will satisfy the provisions of Section 11(a) of the Act and Rule 158, provided that (i) such delivery requirements to the Company’s security holders shall be deemed satisfied by the Company’s compliance with its reporting requirements pursuant to the Exchange Act if such compliance satisfies the conditions of Rule 158 and (ii) such delivery requirements to the Placement Agent shall be deemed met by the Company if the related reports are available on the Commission’s Electronic Data Gather, Analysis and Retrieval System (“</w:t>
      </w:r>
      <w:r>
        <w:rPr>
          <w:rFonts w:ascii="Times New Roman;Times;Serif" w:hAnsi="Times New Roman;Times;Serif"/>
          <w:b w:val="false"/>
          <w:i w:val="false"/>
          <w:caps w:val="false"/>
          <w:smallCaps w:val="false"/>
          <w:sz w:val="20"/>
          <w:u w:val="single"/>
        </w:rPr>
        <w:t>EDGAR</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to furnish to you copies of the Registration Statement, as initially filed with the Commission, and of all amendments thereto (including all exhibits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if requested by the Placement Agent, to prepare a final term sheet relating to the offering of the Shares, containing only information that describes the final terms of the offering in a form consented to by the Placement Agent, and to file a Permitted Pricing Terms Prospectus within the period required by Rule 424 under the Act following the date the final terms have been established for the offering of the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prior to the Closing Date, to issue no press release or other communication directly or indirectly and hold no press conferences with respect to the Company or any of its subsidiaries, the financial condition, results of operations, business, properties, assets, or liabilities of the Company or any of its subsidiaries, or the offering of the Shares, without your prior consent which shall not be unreasonably withheld;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not, at any time at or after the execution of this Agreement, to, directly or indirectly, offer or issue any Shares by means of any “prospectus” (within the meaning of the Act), or use any “prospectus” (within the meaning of the Act) in connection with the offer or issue of the Shares, in each case other than the Prospectus;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not to, and to cause its subsidiaries not to, take, directly or indirectly, any action designed, or which will constitute, or has constituted, or might reasonably be expected to cause or result in the stabilization or manipulation of the price of any security of the Company to facilitate the sale or resale of the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to maintain a transfer agent and, if necessary under the jurisdiction of incorporation of the Company, a registrar for the Ordinary Shares;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to use the proceeds from the issue of the Shares in the manner described in the Registration Statement, the Prospectus or any Permitted Pricing Terms Prospectus under the caption “Use of Proceeds.”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6. Covenant to Pay Costs</w:t>
      </w:r>
      <w:r>
        <w:rPr>
          <w:rFonts w:ascii="Times New Roman;Times;Serif" w:hAnsi="Times New Roman;Times;Serif"/>
          <w:b w:val="false"/>
          <w:i w:val="false"/>
          <w:caps w:val="false"/>
          <w:smallCaps w:val="false"/>
          <w:sz w:val="20"/>
        </w:rPr>
        <w:t>. The Company agrees: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whether or not the transactions contemplated by this Agreement are consummated or this Agreement is terminated, to pay all costs, expenses, fees and taxes in connection with (i) the preparation and filing of the Registration Statement, the Prospectus, the Permitted Pricing Terms Prospectus, any Written Testing-the-Waters Communication and any amendments or supplements thereto, and the printing and furnishing of copies of each thereof to the Placement Agent and to dealers (including costs of mailing and shipment) (other than legal fees and expenses of the Placement Agent’s counsel incurred in connection therewith), (ii) the registration, issue and delivery of the Shares, including any ordinary share or stamp or other issuance or transfer taxes or duties or other similar fees or charges imposed by any governmental authority payable on the issue or delivery of the Shares to the Purchasers, (iii) the producing, word processing and/or printing of this Agreement, any dealer agreements and any closing documents (including compilations thereof) and the reproduction and/or printing and furnishing of copies of each thereof to the Placement Agent and (except closing documents) to dealers (including costs of mailing and shipment), (iv) the qualification of the Shares for offering and issue under state or foreign laws and the determination of their eligibility for investment under state or foreign law (including the legal fees and filing fees and other disbursements of counsel for the Placement Agent in an amount not to exceed $35,000) and the printing and furnishing of copies of any blue sky surveys or legal investment surveys to the Placement Agent and to dealers, any listing of the Shares on any securities exchange or qualification of the Shares for quotation on Nasdaq and any registration thereof under the Exchange Act, and any filing for review of the public offering of the Shares by FINRA, (v) the fees and disbursements of any transfer agent or registrar for the Shares and (vi) the performance of the Company’s other obligations 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except as otherwise explicitly provided in this Agreement, the Placement Agent shall pay the costs and expenses incurred by it in connection with the offering of the Shares contemplated hereby, including the fees and expenses of its legal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caps w:val="false"/>
          <w:smallCaps w:val="false"/>
          <w:sz w:val="20"/>
        </w:rPr>
        <w:t>[Reserved].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8. Conditions of the Placement Agent’s Obligations</w:t>
      </w:r>
      <w:r>
        <w:rPr>
          <w:rFonts w:ascii="Times New Roman;Times;Serif" w:hAnsi="Times New Roman;Times;Serif"/>
          <w:b w:val="false"/>
          <w:i w:val="false"/>
          <w:caps w:val="false"/>
          <w:smallCaps w:val="false"/>
          <w:sz w:val="20"/>
        </w:rPr>
        <w:t>. The obligations of the Placement Agent hereunder are subject to the accuracy of the representations and warranties on the part of the Company on the date hereof, the performance by the Company of its obligations hereunder (except as would have a de minimis effect) and to the following additional conditions precedent: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furnish to you at the Closing Date (i) an opinion letter and a negative assurance letter of Cooley LLP, counsel for the Company, in form reasonably acceptable to the Placement Agent, (ii) an opinion of Ogier, Cayman counsel for the Company, in form reasonably acceptable to the Placement Agent, and (iii) an opinion of WongPartnership LLP, Singapore counsel for the Company, in form reasonably acceptable to the Placement Agent, in each case, addressed to the Placement Agent, and dated the Closing Date, with executed copies for the Placement Agent.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Reserved</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You shall have received from MaloneBailey LLP letters dated, respectively, the date of this Agreement and the Closing Date and addressed to the Placement Agent in the forms reasonably satisfactory to the Placement Agent, which letters shall cover, without limitation, the various financial disclosures incorporated by reference in the Registration Statement, the Disclosure Package and the Prospectus.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will deliver to you a certificate dated, respectively, the date of this Agreement and the Closing Date, of its Chief Financial Officer, to the effect that certain operating and financial data disclosed in the Registration Statement, Disclosure Package and the Prospectus have been derived from and verified against the Company’s accounting and business records, and he has no reason to believe that such data is not true and correct.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You shall have received at the Closing Date the favorable opinion of Goodwin Procter LLP, counsel for the Placement Agent, dated the Closing Date, in form and substance reasonably satisfactory to the Placement Agent.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Registration Statement shall have been filed and shall have become effective under the Act. The Prospectus and any Permitted Terms Pricing Prospectus shall have been filed with the Commission in accordance with the rules and regulations under the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Prior to and at the Closing Date, no stop order with respect to the effectiveness of the Registration Statement shall have been issued under the Act or proceedings initiated under Section 8(d) or 8(e) of the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The Company will, at the Closing Date, deliver to you a certificate of its duly authorized executive officer, dated as of the Closing Date in the form attached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FINRA shall not have raised any objection with respect to the fairness or reasonableness of the arrangements of the transactions contemplated 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 “Listing of Additional Shares” notification related to the Shares shall have been submitted to, and not rejected by, Nasdaq.</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On or prior to the Closing Date, the Company shall have furnished to the Placement Agent such further certificates and documents as the Placement Agent may reasonably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9. Effective Date of Agreement; Termination</w:t>
      </w:r>
      <w:r>
        <w:rPr>
          <w:rFonts w:ascii="Times New Roman;Times;Serif" w:hAnsi="Times New Roman;Times;Serif"/>
          <w:b w:val="false"/>
          <w:i w:val="false"/>
          <w:caps w:val="false"/>
          <w:smallCaps w:val="false"/>
          <w:sz w:val="20"/>
        </w:rPr>
        <w:t>. This Agreement shall become effective when the parties hereto have executed and delivered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subject to termination in the absolute discretion of the Placement Agent, by prompt written notice given to the Company, if (1) since the time of execution of this Agreement there has been any change or any development involving a prospective change in the business, properties, management, financial condition or results of operations of the Company and its subsidiaries taken as a whole, except as disclosed in Registration Statement, the Disclosure Package and the Prospectus, the effect of which change or development is, in the judgment of the Placement Agent, so material and adverse as to make it impracticable or inadvisable to proceed with the public offering or the delivery of the Shares on the terms and in the manner contemplated in the Registration Statement, the Disclosure Package and the Prospectus, (2) at any time since the execution of this Agreement (i) there shall have occurred a suspension or material limitation in trading in the securities of the Company on Nasdaq or trading in any securities generally on the New York Stock Exchange or Nasdaq shall have been suspended or materially limited or minimum prices shall have been established on such exchange or the Nasdaq Stock Market; (ii) a commercial banking moratorium shall have been declared either by U.S. federal or New York State authorities or a material disruption shall have occurred in commercial banking or securities settlement or clearance services in the United States; or (iii) there shall have occurred any outbreak or escalation of hostilities, declaration by the United States of a national emergency or war or other calamity or crisis the effect of which on financial markets is such as to make it, in the judgment of the Placement Agent, impractical or inadvisable to proceed with the offering, sale or delivery of the Shares as contemplated in the Registration Statement, the Disclosure Package and the Prospectus or (3) since the time of execution of this Agreement, there shall have occurred any downgrading, or any notice or announcement shall have been given or made of: (A) any intended or potential downgrading or (B) any watch, review or possible change that does not indicate an affirmation or improvement in the rating accorded any securities of or guaranteed by the Company or any subsidiary by any “nationally recognized statistical rating organization” registered under Section 15E of the Exchange Act. If the issue to the Purchasers of the Shares, as contemplated by the Purchase Agreements, is not carried out because any Purchaser or the Company, as the case may be, shall be unable to comply with any of the terms of the Purchase Agreements, the Placement Agent shall be under no obligation or liability to the Company under this Agreement (except to the extent provided in Section 11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caps w:val="false"/>
          <w:smallCaps w:val="false"/>
          <w:sz w:val="20"/>
        </w:rPr>
        <w:t>[Reserved].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caps w:val="false"/>
          <w:smallCaps w:val="false"/>
          <w:sz w:val="20"/>
        </w:rPr>
        <w:t>Indemnity and Contribution.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agrees to (x) indemnify, defend and hold harmless the Placement Agent, its partners, directors, officers and members, any person who controls the Placement Agent within the meaning of Section 15 of the Act or Section 20 of the Exchange Act, and any “affiliate” (within the meaning of Rule 405 under the Act) of the Placement Agent, and the successors and assigns of all of the foregoing persons, from and against any loss, damage, expense, liability or claim (including the reasonable cost of investigation) which the Placement Agent or any such person may incur under the Act, the Exchange Act, the common law or otherwise, insofar as such loss, damage, expense, liability or claim arises out of or is based upon (i) any untrue statement or alleged untrue statement of a material fact contained in the Registration Statement (or in the Registration Statement as amended by any post-effective amendment thereof by the Company) or any omission or alleged omission to state a material fact required to be stated therein or necessary to make the statements therein not misleading, except insofar as any such loss, damage, expense, liability or claim arises out of or is based upon any untrue statement or alleged untrue statement of a material fact made in reliance upon and in conformity with any Placement Agent Information or arises out of or is based upon any omission or alleged omission to state a material fact in the Registration Statement in connection with the Placement Agent Information, which material fact was not contained in the Placement Agent Information and which material fact was required to be stated in such Registration Statement or was necessary to make such information not misleading or (ii) any untrue statement or alleged untrue statement of a material fact included in any Prospectus (the term Prospectus for the purpose of this Section 11 being deemed to include the Base Prospectus, the Prospectus and any amendments or supplements to the foregoing), in any Permitted Terms Pricing Prospectus, in any Testing-the-Waters Communication, in any “issuer information” (as defined in Rule 433 under the Act) of the Company or in any Prospectus together with any combination of one or more of the Permitted Terms Pricing Prospectuses, if any, or any omission or alleged omission to state a material fact necessary in order to make the statements therein, in the light of the circumstances under which they were made, not misleading, except, with respect to such Prospectus or the Permitted Pricing Terms Prospectus, or any Testing-the-Waters Communication, insofar as any such loss, damage, expense, liability or claim arises out of or is based upon any untrue statement or alleged untrue statement of a material fact made in reliance upon and in conformity with any Placement Agent Information or arises out of or is based upon any omission or alleged omission to state a material fact in such Prospectus or Permitted Pricing Terms Prospectus in connection with the Placement Agent Information, which material fact was not contained in the Placement Agent Information and which material fact was necessary in order to make the statements in such information, in the light of the circumstances under which they were made, not misleading and (y) indemnify and hold harmless the Placement Agent, its affiliates, directors and officers and each person, if any, who controls the Placement Agent within the meaning of Section 15 of the Act or Section 20 of the Exchange Act, from and against any and all other losses, damages, liabilities or claims (or actions in respect thereof) that otherwise arise out of or are based upon or asserted against the Placement Agent, its affiliates, directors and officers and each person, if any, who controls the Placement Agent within the meaning of Section 15 of the Act or Section 20 of the Exchange Act, as applicable, by any person, including stockholders of the Company, in connection with or as a result of your acting as the Placement Agent in connection with the Share Purchases or that arise in connection with any other matter referred to in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Placement Agent agrees to indemnify, defend and hold harmless the Company and its subsidiaries, each of their respective directors and officers, and any person who controls the Company within the meaning of Section 15 of the Act or Section 20 of the Exchange Act, and the successors and assigns of all of the foregoing persons, from and against any loss, damage, expense, liability or claim (including the reasonable cost of investigation) which, jointly or severally, the Company or any such person may incur under the Act, the Exchange Act, the common law or otherwise, insofar as such loss, damage, expense, liability or claim arises out of or is based upon (i) any untrue statement or alleged untrue statement of a material fact made in reliance upon and in conformity with any Placement Agent Information or any omission or alleged omission to state a material fact in such Registration Statement in connection with the Placement Agent Information, which material fact was not contained in the Placement Agent Information and which material fact was required to be stated in such Registration Statement or was necessary to make such information, in light of the circumstances under which they were made, not misleading or (ii) any untrue statement or alleged untrue statement of a material fact made in reliance upon and in conformity with any Placement Agent Information or any omission or alleged omission to state a material fact in such Prospectus or Permitted Pricing Terms Prospectus or Testing-the-Waters Communication in connection with the Placement Agent Information, which material fact was not contained in the Placement Agent Information and which material fact was necessary in order to make the statements in such information, in the light of the circumstances under which they were made, not misleading.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any action, suit or proceeding (each, a “</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is brought against a person (an “</w:t>
      </w:r>
      <w:r>
        <w:rPr>
          <w:rFonts w:ascii="Times New Roman;Times;Serif" w:hAnsi="Times New Roman;Times;Serif"/>
          <w:b w:val="false"/>
          <w:i w:val="false"/>
          <w:caps w:val="false"/>
          <w:smallCaps w:val="false"/>
          <w:sz w:val="20"/>
          <w:u w:val="single"/>
        </w:rPr>
        <w:t>indemnified party</w:t>
      </w:r>
      <w:r>
        <w:rPr>
          <w:rFonts w:ascii="Times New Roman;Times;Serif" w:hAnsi="Times New Roman;Times;Serif"/>
          <w:b w:val="false"/>
          <w:i w:val="false"/>
          <w:caps w:val="false"/>
          <w:smallCaps w:val="false"/>
          <w:sz w:val="20"/>
        </w:rPr>
        <w:t>”) in respect of which indemnity may be sought against the Company or the Placement Agent (as applicable, the “</w:t>
      </w:r>
      <w:r>
        <w:rPr>
          <w:rFonts w:ascii="Times New Roman;Times;Serif" w:hAnsi="Times New Roman;Times;Serif"/>
          <w:b w:val="false"/>
          <w:i w:val="false"/>
          <w:caps w:val="false"/>
          <w:smallCaps w:val="false"/>
          <w:sz w:val="20"/>
          <w:u w:val="single"/>
        </w:rPr>
        <w:t>indemnifying party</w:t>
      </w:r>
      <w:r>
        <w:rPr>
          <w:rFonts w:ascii="Times New Roman;Times;Serif" w:hAnsi="Times New Roman;Times;Serif"/>
          <w:b w:val="false"/>
          <w:i w:val="false"/>
          <w:caps w:val="false"/>
          <w:smallCaps w:val="false"/>
          <w:sz w:val="20"/>
        </w:rPr>
        <w:t>”) pursuant to subsection ‎(a) or ‎(b) respectively, of this Section 11, such indemnified party shall promptly notify such indemnifying party in writing of the institution of such Proceeding and such indemnifying party shall be entitled to assume the defense of such Proceeding, including the employment of counsel reasonably satisfactory to such indemnified party and payment of all fees and expenses; provided, however, that the omission to so notify such indemnifying party shall not relieve such indemnifying party from any liability which such indemnifying party may have to any indemnified party or otherwise unless and to the extent the indemnifying party did not otherwise learn of such Proceeding and such failure results in the forfeiture by the indemnifying party of substantive rights and defenses as determined by a final non-appealable judicial determination. The indemnified party or parties shall have the right to employ its or their own counsel in any such case, but the fees and expenses of such counsel shall be at the expense of such indemnified party or parties unless the employment of such counsel shall have been authorized in writing by the indemnifying party in connection with the defense of such Proceeding or the indemnifying party shall not have, within a reasonable period of time in light of the circumstances, employed counsel to defend such Proceeding or such indemnified party or parties shall have reasonably concluded that there may be defenses available to it or them which are different from, additional to or in conflict with those available to such indemnifying party (in which case such indemnifying party shall not have the right to direct the defense of such Proceeding on behalf of the indemnified party or parties), in any of which events such fees and expenses shall be borne by such indemnifying party and paid as incurred (it being understood, however, that such indemnifying party shall not be liable for the expenses of more than one separate counsel (in addition to any local counsel), in any one Proceeding or series of related Proceedings in the same jurisdiction representing the indemnified parties who are parties to such Proceeding). The indemnifying party shall not be liable for any settlement of any Proceeding effected without its written consent but, if settled with its written consent such indemnifying party agrees to indemnify and hold harmless the indemnified party or parties from and against any loss or liability by reason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and does not include an admission of fault or culpability or a failure to act by or on behalf of such indemnified party.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the indemnification provided for in this Section 11 is unavailable to an indemnified party under subsections ‎(a) or ‎(b) of this Section 11 or insufficient to hold an indemnified party harmless in respect of any losses, damages, expenses, liabilities or claims referred to therein, then each applicable indemnifying party shall contribute to the amount paid or payable by such indemnified party as a result of such losses, damages, expenses, liabilities or claims (i) in such proportion as is appropriate to reflect the relative benefits received by the indemnifying party on the one hand and the indemnified party on the other hand from the offering of the Shares or (ii) if the allocation provided by clause ‎(i) above is not permitted by applicable law, in such proportion as is appropriate to reflect not only the relative benefits referred to in clause ‎(i) above but also the relative fault of the indemnifying party on the one hand and of the indemnified party on the other in connection with the statements or omissions which resulted in such losses, damages, expenses, liabilities or claims, as well as any other relevant equitable considerations. The relative benefits received by the Company on the one hand and the Placement Agent on the other shall be deemed to be in the same respective proportions as the total proceeds from the offering (net of the placement fee but before deducting expenses) received by the Company and the placement fee received by the Placement Agent, bear to the aggregate public offering price of the Shares. The relative fault of the Company on the one hand and of the Placement Agent on the other shall be determined by reference to, among other things, whether the untrue statement or alleged untrue statement of a material fact or omission or alleged omission relates to information supplied by the Company or by the Placement Agent and the parties’ relative intent, knowledge, access to information and opportunity to correct or prevent such statement or omission. The amount paid or payable by a party as a result of the losses, damages, expenses, liabilities and claims referred to in this subsection shall be deemed to include any legal or other fees or expenses reasonably incurred by such party in connection with investigating, preparing to defend or defending any Proceeding.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and the Placement Agent agree that it would not be just and equitable if contribution pursuant to this Section 11 were determined by pro rata allocation or by any other method of allocation that does not take account of the equitable considerations referred to in subsection ‎(d) above. Notwithstanding the provisions of this Section 11, the Placement Agent shall not be required to contribute any amount in excess of the amount by which the total placement fee received by the Placement Agent exceeds the amount of any damages that the Placement Agent has otherwise been required to pay by reason of (i) such untrue statement or alleged untrue statement or omission or alleged omission or (ii) such loss, damage, expense, liability or claim (or action in respect thereof). No person guilty of fraudulent misrepresentation (within the meaning of Section 11(f) of the Act) shall be entitled to contribution from any person who was not guilty of such fraudulent misrepresentation.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indemnity and contribution agreements contained in this Section 11 and the covenants, warranties and representations of the Company contained in this Agreement shall remain in full force and effect regardless of any investigation made by or on behalf of the Placement Agent, its partners, directors, officers or members or any person (including each partner, officer, director or member of such person) who controls the Placement Agent within the meaning of Section 15 of the Act or Section 20 of the Exchange Act, or by or on behalf of the Company, its directors or officers or any person who controls the Company within the meaning of Section 15 of the Act or Section 20 of the Exchange Act, and shall survive any termination of this Agreement or the issuance and delivery of Shares. the Company and the Placement Agent agree promptly to notify each other of the commencement of any Proceeding against it and, in the case of the Company, against any of its officers or directors in connection with the issuance of the Shares, or in connection with the Registration Statement, the Prospectus or the Permitted Pricing Terms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caps w:val="false"/>
          <w:smallCaps w:val="false"/>
          <w:sz w:val="20"/>
        </w:rPr>
        <w:t>Information Furnished by the Placement Agent</w:t>
      </w:r>
      <w:r>
        <w:rPr>
          <w:rFonts w:ascii="Times New Roman;Times;Serif" w:hAnsi="Times New Roman;Times;Serif"/>
          <w:b w:val="false"/>
          <w:i w:val="false"/>
          <w:caps w:val="false"/>
          <w:smallCaps w:val="false"/>
          <w:sz w:val="20"/>
        </w:rPr>
        <w:t>. The name of the Placement Agent constitutes the only information furnished by or on behalf of the Placement Agent as “Placement Agent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caps w:val="false"/>
          <w:smallCaps w:val="false"/>
          <w:sz w:val="20"/>
        </w:rPr>
        <w:t>Notices</w:t>
      </w:r>
      <w:r>
        <w:rPr>
          <w:rFonts w:ascii="Times New Roman;Times;Serif" w:hAnsi="Times New Roman;Times;Serif"/>
          <w:b w:val="false"/>
          <w:i w:val="false"/>
          <w:caps w:val="false"/>
          <w:smallCaps w:val="false"/>
          <w:sz w:val="20"/>
        </w:rPr>
        <w:t>. All communications hereunder will be in writing and effective only on receipt,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to the Placement Agent, shall be sent by hand delivery, mail, overnight courier or facsimile transmission to:</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745 Seventh Avenue</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10019</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Syndicated Registration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With a copy to</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Goodwin Procter LLP</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 Eighth Avenue</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10018</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James P. Barri</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to the Company, shall be sent by mail, telex, overnight courier or facsimile transmission to:</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 Kallang Avenue, Aperia Tower 1</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#09-03/04, Singapore 339509</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CEO</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With a copy to</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Cooley LLP</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35th Floor, Two Exchange Square</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Connaught Place, Central, Hong Kong</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Will H. Cai</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caps w:val="false"/>
          <w:smallCaps w:val="false"/>
          <w:sz w:val="20"/>
        </w:rPr>
        <w:t>Governing Law; Construction</w:t>
      </w:r>
      <w:r>
        <w:rPr>
          <w:rFonts w:ascii="Times New Roman;Times;Serif" w:hAnsi="Times New Roman;Times;Serif"/>
          <w:b w:val="false"/>
          <w:i w:val="false"/>
          <w:caps w:val="false"/>
          <w:smallCaps w:val="false"/>
          <w:sz w:val="20"/>
        </w:rPr>
        <w:t>. This Agreement and any transaction contemplated by this Agreement and any claim, controversy or dispute arising under or related to this Agreement shall be governed by and construed in accordance with the laws of the State of New York without regard to conflict of laws principles that would result in the application of any other law than the laws of the State of New York (other than Section 5-1401 of the General Obligations Law). The section headings in this Agreement have been inserted as a matter of convenience of reference and are not a part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caps w:val="false"/>
          <w:smallCaps w:val="false"/>
          <w:sz w:val="20"/>
        </w:rPr>
        <w:t>Submission to Jurisdiction</w:t>
      </w:r>
      <w:r>
        <w:rPr>
          <w:rFonts w:ascii="Times New Roman;Times;Serif" w:hAnsi="Times New Roman;Times;Serif"/>
          <w:b w:val="false"/>
          <w:i w:val="false"/>
          <w:caps w:val="false"/>
          <w:smallCaps w:val="false"/>
          <w:sz w:val="20"/>
        </w:rPr>
        <w:t>. The Company and the Placement Agent agree that any suit, action or proceeding arising out of or based upon this Agreement or the transactions contemplated hereby may be instituted in any State or U.S. federal court in The City of New York and County of New York, and waives any objection that such party may now or hereafter have to the laying of venue of any such proceeding, and irrevocably submits to the exclusive jurisdiction of such courts in any suit, action or proceeding. The Company irrevocably appointed Cogency Global Inc., located 122 E. 42nd Street, 18th Floor, New York, New York 10168, as its authorized agent in the State of New York, the City of New York and County of New York, upon which process may be served in any such suit or proceeding, and agrees that service of process upon such agent, and written notice of said service to the Company by the person serving the same to the address provided in Section 13, shall be deemed in every respect effective service of process upon the Company in any such suit or proceeding. The Company further agrees to take any and all action as may be necessary to maintain such designation and appointment of such agent in full force and effect for a period of seven years from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caps w:val="false"/>
          <w:smallCaps w:val="false"/>
          <w:sz w:val="20"/>
        </w:rPr>
        <w:t>Parties at Interest</w:t>
      </w:r>
      <w:r>
        <w:rPr>
          <w:rFonts w:ascii="Times New Roman;Times;Serif" w:hAnsi="Times New Roman;Times;Serif"/>
          <w:b w:val="false"/>
          <w:i w:val="false"/>
          <w:caps w:val="false"/>
          <w:smallCaps w:val="false"/>
          <w:sz w:val="20"/>
        </w:rPr>
        <w:t>. This Agreement shall inure to the benefit of and be binding upon the Placement Agent, the Company, and their respective successors. This Agreement and the terms and provisions hereof are for the sole benefit of only those persons, except that the representations, warranties, indemnities and agreements of the Company contained in this Agreement shall also be deemed to be for the benefit of affiliates, directors, officers and employees of the Placement Agent and each person or persons, if any, controlling any Placement Agent within the meaning of Section 15 of the Act or Section 20 of the Exchange Act. Nothing in this Agreement is intended or shall be construed to give any person, other than the persons referred to in this Section 16, any legal or equitable right, remedy or claim under or in respect of this Agreement or any provision contained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caps w:val="false"/>
          <w:smallCaps w:val="false"/>
          <w:sz w:val="20"/>
        </w:rPr>
        <w:t>No Fiduciary Relationship</w:t>
      </w:r>
      <w:r>
        <w:rPr>
          <w:rFonts w:ascii="Times New Roman;Times;Serif" w:hAnsi="Times New Roman;Times;Serif"/>
          <w:b w:val="false"/>
          <w:i w:val="false"/>
          <w:caps w:val="false"/>
          <w:smallCaps w:val="false"/>
          <w:sz w:val="20"/>
        </w:rPr>
        <w:t>. The Company acknowledges and agrees that in connection with this offering, or any other services the Placement Agent may be deemed to be providing hereunder, notwithstanding any preexisting relationship, advisory or otherwise, between the parties or any oral representations or assurances previously or subsequently made by the Placement Agent: (a) no fiduciary or agency relationship exists between the Company and any other person, on the one hand, and the Placement Agent, on the other hand; (b) the Placement Agent is not acting as advisors, expert or otherwise, to the Company, including, without limitation, with respect to the Transactions, and such relationship between the Company, on the one hand, and the Placement Agent, on the other hand, is entirely and solely commercial, based on arms-length negotiations; (c) any duties and obligations that the Placement Agent may have to the Company shall be limited to those duties and obligations specifically stated herein; (d) the Placement Agent and their respective affiliates may have interests that differ from those of the Company; and (e) the Company has consulted its own legal and financial advisors to the extent it deemed appropriate. The Company hereby waives any claims that the Company may have against the Placement Agent with respect to any breach of fiduciary duty in connection with the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caps w:val="false"/>
          <w:smallCaps w:val="false"/>
          <w:sz w:val="20"/>
        </w:rPr>
        <w:t>Counterparts</w:t>
      </w:r>
      <w:r>
        <w:rPr>
          <w:rFonts w:ascii="Times New Roman;Times;Serif" w:hAnsi="Times New Roman;Times;Serif"/>
          <w:b w:val="false"/>
          <w:i w:val="false"/>
          <w:caps w:val="false"/>
          <w:smallCaps w:val="false"/>
          <w:sz w:val="20"/>
        </w:rPr>
        <w:t>. This Agreement may be executed in one or more counterparts and, if executed in more than one counterpart, the executed counterparts shall each be deemed to be an original but all such counterparts shall together constitute one and the same instrument. Delivery of an executed Agreement by one party to any other party may be made by facsimile, electronic mail (including any electronic signature complying with the New York Electronic Signatures and Records Act (N.Y. State Tech. §§ 301-309), as amended from time to time, or other applicable law) or other transmission method, and the parties hereto agree that any counterpart so delivered shall be deemed to have been duly and validly delivered and be valid and effective for all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caps w:val="false"/>
          <w:smallCaps w:val="false"/>
          <w:sz w:val="20"/>
        </w:rPr>
        <w:t>Successors and Assigns</w:t>
      </w:r>
      <w:r>
        <w:rPr>
          <w:rFonts w:ascii="Times New Roman;Times;Serif" w:hAnsi="Times New Roman;Times;Serif"/>
          <w:b w:val="false"/>
          <w:i w:val="false"/>
          <w:caps w:val="false"/>
          <w:smallCaps w:val="false"/>
          <w:sz w:val="20"/>
        </w:rPr>
        <w:t>. This Agreement shall be binding upon the Placement Agent and the Company and their successors and assigns and any successor or assign of any substantial portion of the Company’s and the Placement Agent’s respective businesses and/or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val="false"/>
          <w:i/>
          <w:caps w:val="false"/>
          <w:smallCaps w:val="false"/>
          <w:sz w:val="20"/>
        </w:rPr>
        <w:t>Waiver of Immunities</w:t>
      </w:r>
      <w:r>
        <w:rPr>
          <w:rFonts w:ascii="Times New Roman;Times;Serif" w:hAnsi="Times New Roman;Times;Serif"/>
          <w:b w:val="false"/>
          <w:i w:val="false"/>
          <w:caps w:val="false"/>
          <w:smallCaps w:val="false"/>
          <w:sz w:val="20"/>
        </w:rPr>
        <w:t>. To the extent that the Company or any of its properties, assets or revenues may have or may hereafter become entitled to, or have attributed to it, any right of immunity, on the grounds of sovereignty, from any legal action, suit or proceeding, from set-off or counterclaim, from the jurisdiction of any court, from service of process, from attachment upon or prior to judgment, or from attachment in aid of execution of judgment, or from execution of judgment, or other legal process or proceeding for the giving of any relief or for the enforcement of any judgment, in any jurisdiction in which proceedings may at any time be commenced, with respect to their obligations, liabilities or any other matter under or arising out of or in connection with this Agreement, the Company hereby irrevocably and unconditionally, to the extent permitted by applicable law, waives and agrees not to plead or claim any such immunity and consents to such relief and enforcement.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caps w:val="false"/>
          <w:smallCaps w:val="false"/>
          <w:sz w:val="20"/>
        </w:rPr>
        <w:t>Foreign Taxes</w:t>
      </w:r>
      <w:r>
        <w:rPr>
          <w:rFonts w:ascii="Times New Roman;Times;Serif" w:hAnsi="Times New Roman;Times;Serif"/>
          <w:b w:val="false"/>
          <w:i w:val="false"/>
          <w:caps w:val="false"/>
          <w:smallCaps w:val="false"/>
          <w:sz w:val="20"/>
        </w:rPr>
        <w:t>. All payments by the Company to the Placement Agent hereunder shall be made free and clear of, and without deduction or withholding for or on account of, any and all present and future income, stamp or other taxes, levies, imposts, duties, charges, fees, deductions or withholdings, now or hereinafter imposed, levied, collected, withheld or assessed by any jurisdiction in which the Company is organized, resident, doing business or has an office from which payment is made or deemed to be made, excluding (i) any such tax imposed by reason of the Placement Agent having some connection with the taxing jurisdiction other than its participation as the Placement Agent hereunder and (ii) any income or franchise tax on the overall net income of the Placement Agent imposed by the United States, by the State of New York or any other state thereof, or the District of Columbia, or any political subdivision or territory of the United States, of any state thereof, of the District of Columbia or of the State of New York (all such non-excluded taxes, “</w:t>
      </w:r>
      <w:r>
        <w:rPr>
          <w:rFonts w:ascii="Times New Roman;Times;Serif" w:hAnsi="Times New Roman;Times;Serif"/>
          <w:b w:val="false"/>
          <w:i w:val="false"/>
          <w:caps w:val="false"/>
          <w:smallCaps w:val="false"/>
          <w:sz w:val="20"/>
          <w:u w:val="single"/>
        </w:rPr>
        <w:t>Foreign Taxes</w:t>
      </w:r>
      <w:r>
        <w:rPr>
          <w:rFonts w:ascii="Times New Roman;Times;Serif" w:hAnsi="Times New Roman;Times;Serif"/>
          <w:b w:val="false"/>
          <w:i w:val="false"/>
          <w:caps w:val="false"/>
          <w:smallCaps w:val="false"/>
          <w:sz w:val="20"/>
        </w:rPr>
        <w:t>”). If the Company is prevented by operation of law or otherwise from paying, causing to be paid or remitting that portion of amounts payable hereunder represented by Foreign Taxes withheld or deducted, then amounts payable under this Agreement shall, to the extent permitted by law, be increased to such amount as is necessary to yield and remit to the Placement Agent an amount which, after deduction of all Foreign Taxes (including all Foreign Taxes payable on such increased payments) equals the amount that would have been payable if no Foreign Taxes applied.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caps w:val="false"/>
          <w:smallCaps w:val="false"/>
          <w:sz w:val="20"/>
        </w:rPr>
        <w:t>Judgment Currency</w:t>
      </w:r>
      <w:r>
        <w:rPr>
          <w:rFonts w:ascii="Times New Roman;Times;Serif" w:hAnsi="Times New Roman;Times;Serif"/>
          <w:b w:val="false"/>
          <w:i w:val="false"/>
          <w:caps w:val="false"/>
          <w:smallCaps w:val="false"/>
          <w:sz w:val="20"/>
        </w:rPr>
        <w:t>. The obligation of the Company pursuant to this Agreement in respect of any sum due to the Placement Agent shall, notwithstanding any judgment in a currency other than United States dollars, not be discharged until the first business day, following receipt by the Placement Agent of any sum adjudged to be so due in such other currency, on which (and only to the extent that) the Placement Agent may in accordance with normal banking procedures purchase United States dollars with such other currency; if the United States dollars so purchased are less than the sum originally due to the Placement Agent hereunder, the Company agrees, as a separate obligation and notwithstanding any such judgment, to indemnify the Placement Agent against such loss. If the United States dollars so purchased are greater than the sum originally due to the Placement Agent hereunder, the Placement Agent agrees to pay to the Company an amount equal to the excess of the dollars so purchased over the sum originally due to the Placement Agent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caps w:val="false"/>
          <w:smallCaps w:val="false"/>
          <w:sz w:val="20"/>
        </w:rPr>
        <w:t>VAT.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sums payable by the Company pursuant to this Agreement are exclusive of any value added tax (“</w:t>
      </w:r>
      <w:r>
        <w:rPr>
          <w:rFonts w:ascii="Times New Roman;Times;Serif" w:hAnsi="Times New Roman;Times;Serif"/>
          <w:b w:val="false"/>
          <w:i w:val="false"/>
          <w:caps w:val="false"/>
          <w:smallCaps w:val="false"/>
          <w:sz w:val="20"/>
          <w:u w:val="single"/>
        </w:rPr>
        <w:t>VAT</w:t>
      </w:r>
      <w:r>
        <w:rPr>
          <w:rFonts w:ascii="Times New Roman;Times;Serif" w:hAnsi="Times New Roman;Times;Serif"/>
          <w:b w:val="false"/>
          <w:i w:val="false"/>
          <w:caps w:val="false"/>
          <w:smallCaps w:val="false"/>
          <w:sz w:val="20"/>
        </w:rPr>
        <w:t>”). Accordingly, if any payment by the Company pursuant to this Agreement constitutes the consideration for a taxable supply for VAT purposes, then, in addition to that payment, the Company shall pay an amount equal to any VAT chargeable on such supply subject, where applicable, to the receipt of a valid VAT invoice by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Where under the terms of this Agreement the Company is liable to pay, indemnify or reimburse the Placement Agent in respect of any costs, charges or expenses, the payment shall include an amount equal to any VAT thereon not recoverable by the Placement Agent or any group of which the Placement Agent is a member for VAT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caps w:val="false"/>
          <w:smallCaps w:val="false"/>
          <w:sz w:val="20"/>
        </w:rPr>
        <w:t>Recognition of the U.S. Special Resolution Regimes.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that the Placement Agent is a Covered Entity subject to a proceeding under a U.S. Special Resolution Regime, the transfer from the Placement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that the Placement Agent is a Covered Entity or a BHC Act Affiliate of the Placement Agent becomes subject to a proceeding under a U.S. Special Resolution Regime, Default Rights under this Agreement that may be exercised against the Placement Agent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used in this section: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BHC Act Affiliate” has the meaning assigned to the term “affiliate” in, and shall be interpreted in accordance with, 12 U.S.C. § 1841(k).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Covered Entity” means any of the following:</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“covered entity” as that term is defined in, and interpreted in accordance with, 12 C.F.R. § 252.82(b);</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“covered bank” as that term is defined in, and interpreted in accordance with, 12 C.F.R. § 47.3(b);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“covered FSI” as that term is defined in, and interpreted in accordance with, 12 C.F.R. § 382.2(b).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Default Right” has the meaning assigned to that term in, and shall be interpreted in accordance with, 12 C.F.R. §§ 252.81, 47.2 or 382.1, as applicable.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U.S. Special Resolution Regime” means each of (i) the Federal Deposit Insurance Act and the regulations promulgated thereunder and (ii) Title II of the Dodd- Frank Wall Street Reform and Consumer Protection Act and the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25. Miscellaneous</w:t>
      </w:r>
      <w:r>
        <w:rPr>
          <w:rFonts w:ascii="Times New Roman;Times;Serif" w:hAnsi="Times New Roman;Times;Serif"/>
          <w:b w:val="false"/>
          <w:i w:val="false"/>
          <w:caps w:val="false"/>
          <w:smallCaps w:val="false"/>
          <w:sz w:val="20"/>
        </w:rPr>
        <w:t>. In accordance with the requirements of the USA Patriot Act (Title III of Pub. L. 107-56 (signed into law October 26, 2001)), the Placement Agent are required to obtain, verify and record information that identifies its clients, including the Company, which information may include the name and address of its clients, as well as other information that will allow the Placement Agent to properly identify their clients.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The Remainder of This Page Intentionally Left Blank; 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correctly sets forth the understanding between the Company and the Placement Agent, please so indicate in the space provided below for that purpose, whereupon this Agreement and your acceptance shall constitute a binding agreement between the Company and the Placement Agent.</w:t>
      </w:r>
    </w:p>
    <w:p>
      <w:pPr>
        <w:pStyle w:val="TextBody"/>
        <w:bidi w:val="0"/>
        <w:spacing w:before="0" w:after="0"/>
        <w:ind w:left="4680" w:right="0" w:hanging="360"/>
        <w:jc w:val="left"/>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75"/>
        <w:gridCol w:w="650"/>
        <w:gridCol w:w="4940"/>
      </w:tblGrid>
      <w:tr>
        <w:trPr/>
        <w:tc>
          <w:tcPr>
            <w:tcW w:w="75" w:type="dxa"/>
            <w:tcBorders/>
            <w:vAlign w:val="center"/>
          </w:tcPr>
          <w:p>
            <w:pPr>
              <w:pStyle w:val="TableContents"/>
              <w:bidi w:val="0"/>
              <w:spacing w:before="0" w:after="283"/>
              <w:jc w:val="left"/>
              <w:rPr/>
            </w:pPr>
            <w:r>
              <w:rPr/>
              <w:t> </w:t>
            </w:r>
          </w:p>
        </w:tc>
        <w:tc>
          <w:tcPr>
            <w:tcW w:w="5590" w:type="dxa"/>
            <w:gridSpan w:val="2"/>
            <w:tcBorders/>
            <w:vAlign w:val="center"/>
          </w:tcPr>
          <w:p>
            <w:pPr>
              <w:pStyle w:val="TableContents"/>
              <w:bidi w:val="0"/>
              <w:spacing w:before="0" w:after="283"/>
              <w:jc w:val="left"/>
              <w:rPr/>
            </w:pPr>
            <w:r>
              <w:rPr/>
              <w:t>Very truly yours,</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90" w:type="dxa"/>
            <w:gridSpan w:val="2"/>
            <w:tcBorders/>
            <w:vAlign w:val="center"/>
          </w:tcPr>
          <w:p>
            <w:pPr>
              <w:pStyle w:val="TableContents"/>
              <w:bidi w:val="0"/>
              <w:spacing w:before="0" w:after="283"/>
              <w:jc w:val="left"/>
              <w:rPr/>
            </w:pPr>
            <w:r>
              <w:rPr/>
              <w:t>Bitdeer Technologies Group</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4940" w:type="dxa"/>
            <w:tcBorders>
              <w:bottom w:val="single" w:sz="12" w:space="0" w:color="000000"/>
            </w:tcBorders>
            <w:tcMar>
              <w:bottom w:w="28" w:type="dxa"/>
            </w:tcMar>
            <w:vAlign w:val="center"/>
          </w:tcPr>
          <w:p>
            <w:pPr>
              <w:pStyle w:val="TableContents"/>
              <w:bidi w:val="0"/>
              <w:spacing w:before="0" w:after="283"/>
              <w:jc w:val="left"/>
              <w:rPr>
                <w:i/>
              </w:rPr>
            </w:pPr>
            <w:r>
              <w:rPr>
                <w:i/>
              </w:rPr>
              <w:t>/s/ Jihan Wu</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4940" w:type="dxa"/>
            <w:tcBorders/>
            <w:vAlign w:val="center"/>
          </w:tcPr>
          <w:p>
            <w:pPr>
              <w:pStyle w:val="TableContents"/>
              <w:bidi w:val="0"/>
              <w:spacing w:before="0" w:after="283"/>
              <w:jc w:val="left"/>
              <w:rPr/>
            </w:pPr>
            <w:r>
              <w:rPr/>
              <w:t>Jihan Wu</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4940" w:type="dxa"/>
            <w:tcBorders/>
            <w:vAlign w:val="center"/>
          </w:tcPr>
          <w:p>
            <w:pPr>
              <w:pStyle w:val="TableContents"/>
              <w:bidi w:val="0"/>
              <w:spacing w:before="0" w:after="283"/>
              <w:jc w:val="left"/>
              <w:rPr/>
            </w:pPr>
            <w:r>
              <w:rPr/>
              <w:t>Chairman of the Board and Chief Executive Officer</w:t>
            </w:r>
          </w:p>
        </w:tc>
      </w:tr>
    </w:tbl>
    <w:p>
      <w:pPr>
        <w:pStyle w:val="TextBody"/>
        <w:bidi w:val="0"/>
        <w:spacing w:before="0" w:after="0"/>
        <w:ind w:left="4680" w:right="0" w:hanging="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Agreement is hereby confirmed and accepted as of the date first above written.</w:t>
      </w:r>
    </w:p>
    <w:p>
      <w:pPr>
        <w:pStyle w:val="TextBody"/>
        <w:bidi w:val="0"/>
        <w:spacing w:before="0" w:after="0"/>
        <w:ind w:left="360" w:right="0" w:hanging="360"/>
        <w:jc w:val="left"/>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665"/>
        <w:gridCol w:w="2060"/>
        <w:gridCol w:w="75"/>
      </w:tblGrid>
      <w:tr>
        <w:trPr/>
        <w:tc>
          <w:tcPr>
            <w:tcW w:w="2725" w:type="dxa"/>
            <w:gridSpan w:val="2"/>
            <w:tcBorders/>
            <w:vAlign w:val="center"/>
          </w:tcPr>
          <w:p>
            <w:pPr>
              <w:pStyle w:val="TableContents"/>
              <w:bidi w:val="0"/>
              <w:spacing w:before="0" w:after="283"/>
              <w:jc w:val="left"/>
              <w:rPr>
                <w:b/>
              </w:rPr>
            </w:pPr>
            <w:r>
              <w:rPr>
                <w:b/>
              </w:rPr>
              <w:t>Barclays Capital Inc.</w:t>
            </w:r>
          </w:p>
        </w:tc>
        <w:tc>
          <w:tcPr>
            <w:tcW w:w="75" w:type="dxa"/>
            <w:tcBorders/>
            <w:vAlign w:val="center"/>
          </w:tcPr>
          <w:p>
            <w:pPr>
              <w:pStyle w:val="TableContents"/>
              <w:bidi w:val="0"/>
              <w:spacing w:before="0" w:after="283"/>
              <w:jc w:val="left"/>
              <w:rPr/>
            </w:pPr>
            <w:r>
              <w:rPr/>
              <w:t> </w:t>
            </w:r>
          </w:p>
        </w:tc>
      </w:tr>
      <w:tr>
        <w:trPr/>
        <w:tc>
          <w:tcPr>
            <w:tcW w:w="272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By:</w:t>
            </w:r>
          </w:p>
        </w:tc>
        <w:tc>
          <w:tcPr>
            <w:tcW w:w="2060" w:type="dxa"/>
            <w:tcBorders>
              <w:bottom w:val="single" w:sz="12" w:space="0" w:color="000000"/>
            </w:tcBorders>
            <w:tcMar>
              <w:bottom w:w="28" w:type="dxa"/>
            </w:tcMar>
            <w:vAlign w:val="center"/>
          </w:tcPr>
          <w:p>
            <w:pPr>
              <w:pStyle w:val="TableContents"/>
              <w:bidi w:val="0"/>
              <w:spacing w:before="0" w:after="283"/>
              <w:jc w:val="left"/>
              <w:rPr>
                <w:i/>
              </w:rPr>
            </w:pPr>
            <w:r>
              <w:rPr>
                <w:i/>
              </w:rPr>
              <w:t>/s/ Faiz Khan</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Name:</w:t>
            </w:r>
          </w:p>
        </w:tc>
        <w:tc>
          <w:tcPr>
            <w:tcW w:w="2060" w:type="dxa"/>
            <w:tcBorders/>
            <w:vAlign w:val="center"/>
          </w:tcPr>
          <w:p>
            <w:pPr>
              <w:pStyle w:val="TableContents"/>
              <w:bidi w:val="0"/>
              <w:spacing w:before="0" w:after="283"/>
              <w:jc w:val="left"/>
              <w:rPr/>
            </w:pPr>
            <w:r>
              <w:rPr/>
              <w:t>Faiz Khan</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Title:</w:t>
            </w:r>
          </w:p>
        </w:tc>
        <w:tc>
          <w:tcPr>
            <w:tcW w:w="2060" w:type="dxa"/>
            <w:tcBorders/>
            <w:vAlign w:val="center"/>
          </w:tcPr>
          <w:p>
            <w:pPr>
              <w:pStyle w:val="TableContents"/>
              <w:bidi w:val="0"/>
              <w:spacing w:before="0" w:after="283"/>
              <w:jc w:val="left"/>
              <w:rPr/>
            </w:pPr>
            <w:r>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Pricing Term Sheet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5,503,030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PRICING TERM SHEET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pricing term sheet of Bitdeer Technologies Group (“BTDR” or the “Issuer”) relates only to the registered direct offering of its ordinary shares described in, and should be read together with, the preliminary prospectus supplement, dated February 19, 2026 (the “Preliminary Prospectus Supplement”), which supplements the prospectus included in Issuer’s Registration Statement on Form F-3 (File No. 333-283732), as filed with the U.S. Securities and Exchange Commission (the “SEC”), before deciding to invest in the ordinary shares offered thereby. Terms used and not defined herein have the meanings assigned in the Preliminary Prospectus Supplement.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75"/>
        <w:gridCol w:w="60"/>
        <w:gridCol w:w="8170"/>
      </w:tblGrid>
      <w:tr>
        <w:trPr/>
        <w:tc>
          <w:tcPr>
            <w:tcW w:w="1975"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w:t>
            </w:r>
          </w:p>
        </w:tc>
        <w:tc>
          <w:tcPr>
            <w:tcW w:w="60" w:type="dxa"/>
            <w:tcBorders/>
            <w:vAlign w:val="center"/>
          </w:tcPr>
          <w:p>
            <w:pPr>
              <w:pStyle w:val="TableContents"/>
              <w:bidi w:val="0"/>
              <w:spacing w:before="0" w:after="283"/>
              <w:jc w:val="left"/>
              <w:rPr/>
            </w:pPr>
            <w:r>
              <w:rPr/>
              <w:t> </w:t>
            </w:r>
          </w:p>
        </w:tc>
        <w:tc>
          <w:tcPr>
            <w:tcW w:w="8170" w:type="dxa"/>
            <w:tcBorders/>
            <w:vAlign w:val="center"/>
          </w:tcPr>
          <w:p>
            <w:pPr>
              <w:pStyle w:val="TableContents"/>
              <w:bidi w:val="0"/>
              <w:spacing w:before="0" w:after="283"/>
              <w:jc w:val="both"/>
              <w:rPr/>
            </w:pPr>
            <w:r>
              <w:rPr/>
              <w:t>Bitdeer Technologies Group, a Cayman Islands exempted company</w:t>
            </w:r>
          </w:p>
        </w:tc>
      </w:tr>
      <w:tr>
        <w:trPr/>
        <w:tc>
          <w:tcPr>
            <w:tcW w:w="1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70" w:type="dxa"/>
            <w:tcBorders/>
            <w:vAlign w:val="center"/>
          </w:tcPr>
          <w:p>
            <w:pPr>
              <w:pStyle w:val="TableContents"/>
              <w:bidi w:val="0"/>
              <w:spacing w:before="0" w:after="283"/>
              <w:jc w:val="both"/>
              <w:rPr/>
            </w:pPr>
            <w:r>
              <w:rPr/>
              <w:t> </w:t>
            </w:r>
          </w:p>
        </w:tc>
      </w:tr>
      <w:tr>
        <w:trPr/>
        <w:tc>
          <w:tcPr>
            <w:tcW w:w="1975" w:type="dxa"/>
            <w:tcBorders/>
            <w:vAlign w:val="center"/>
          </w:tcPr>
          <w:p>
            <w:pPr>
              <w:pStyle w:val="TableContents"/>
              <w:bidi w:val="0"/>
              <w:spacing w:before="0" w:after="283"/>
              <w:jc w:val="both"/>
              <w:rPr/>
            </w:pPr>
            <w:r>
              <w:rPr>
                <w:b/>
              </w:rPr>
              <w:t>Ticker / Exchange for Class A ordinary shares</w:t>
            </w:r>
            <w:r>
              <w:rPr/>
              <w:t>:</w:t>
            </w:r>
          </w:p>
        </w:tc>
        <w:tc>
          <w:tcPr>
            <w:tcW w:w="60" w:type="dxa"/>
            <w:tcBorders/>
            <w:vAlign w:val="center"/>
          </w:tcPr>
          <w:p>
            <w:pPr>
              <w:pStyle w:val="TableContents"/>
              <w:bidi w:val="0"/>
              <w:spacing w:before="0" w:after="283"/>
              <w:jc w:val="left"/>
              <w:rPr/>
            </w:pPr>
            <w:r>
              <w:rPr/>
              <w:t> </w:t>
            </w:r>
          </w:p>
        </w:tc>
        <w:tc>
          <w:tcPr>
            <w:tcW w:w="8170" w:type="dxa"/>
            <w:tcBorders/>
            <w:vAlign w:val="center"/>
          </w:tcPr>
          <w:p>
            <w:pPr>
              <w:pStyle w:val="TableContents"/>
              <w:bidi w:val="0"/>
              <w:spacing w:before="0" w:after="283"/>
              <w:jc w:val="both"/>
              <w:rPr/>
            </w:pPr>
            <w:r>
              <w:rPr/>
              <w:t>BTDR / Nasdaq Capital Market (“Nasdaq”)</w:t>
            </w:r>
          </w:p>
        </w:tc>
      </w:tr>
      <w:tr>
        <w:trPr/>
        <w:tc>
          <w:tcPr>
            <w:tcW w:w="19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170" w:type="dxa"/>
            <w:tcBorders/>
            <w:vAlign w:val="center"/>
          </w:tcPr>
          <w:p>
            <w:pPr>
              <w:pStyle w:val="TableContents"/>
              <w:bidi w:val="0"/>
              <w:spacing w:before="0" w:after="283"/>
              <w:jc w:val="both"/>
              <w:rPr/>
            </w:pPr>
            <w:r>
              <w:rPr/>
              <w:t> </w:t>
            </w:r>
          </w:p>
        </w:tc>
      </w:tr>
      <w:tr>
        <w:trPr/>
        <w:tc>
          <w:tcPr>
            <w:tcW w:w="1975" w:type="dxa"/>
            <w:tcBorders/>
            <w:vAlign w:val="center"/>
          </w:tcPr>
          <w:p>
            <w:pPr>
              <w:pStyle w:val="TableContents"/>
              <w:bidi w:val="0"/>
              <w:spacing w:before="0" w:after="283"/>
              <w:jc w:val="both"/>
              <w:rPr/>
            </w:pPr>
            <w:r>
              <w:rPr>
                <w:b/>
              </w:rPr>
              <w:t>Number of Shares Offered</w:t>
            </w:r>
            <w:r>
              <w:rPr/>
              <w:t>:</w:t>
            </w:r>
          </w:p>
        </w:tc>
        <w:tc>
          <w:tcPr>
            <w:tcW w:w="60" w:type="dxa"/>
            <w:tcBorders/>
            <w:vAlign w:val="center"/>
          </w:tcPr>
          <w:p>
            <w:pPr>
              <w:pStyle w:val="TableContents"/>
              <w:bidi w:val="0"/>
              <w:spacing w:before="0" w:after="283"/>
              <w:jc w:val="left"/>
              <w:rPr/>
            </w:pPr>
            <w:r>
              <w:rPr/>
              <w:t> </w:t>
            </w:r>
          </w:p>
        </w:tc>
        <w:tc>
          <w:tcPr>
            <w:tcW w:w="8170" w:type="dxa"/>
            <w:tcBorders/>
            <w:vAlign w:val="center"/>
          </w:tcPr>
          <w:p>
            <w:pPr>
              <w:pStyle w:val="TableContents"/>
              <w:bidi w:val="0"/>
              <w:spacing w:before="0" w:after="283"/>
              <w:jc w:val="both"/>
              <w:rPr/>
            </w:pPr>
            <w:r>
              <w:rPr/>
              <w:t>5,503,030 Class A ordinary shares</w:t>
            </w:r>
          </w:p>
        </w:tc>
      </w:tr>
      <w:tr>
        <w:trPr/>
        <w:tc>
          <w:tcPr>
            <w:tcW w:w="19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170" w:type="dxa"/>
            <w:tcBorders/>
            <w:vAlign w:val="center"/>
          </w:tcPr>
          <w:p>
            <w:pPr>
              <w:pStyle w:val="TableContents"/>
              <w:bidi w:val="0"/>
              <w:spacing w:before="0" w:after="283"/>
              <w:jc w:val="both"/>
              <w:rPr/>
            </w:pPr>
            <w:r>
              <w:rPr/>
              <w:t> </w:t>
            </w:r>
          </w:p>
        </w:tc>
      </w:tr>
      <w:tr>
        <w:trPr/>
        <w:tc>
          <w:tcPr>
            <w:tcW w:w="1975" w:type="dxa"/>
            <w:tcBorders/>
            <w:vAlign w:val="center"/>
          </w:tcPr>
          <w:p>
            <w:pPr>
              <w:pStyle w:val="TableContents"/>
              <w:bidi w:val="0"/>
              <w:spacing w:before="0" w:after="283"/>
              <w:jc w:val="both"/>
              <w:rPr/>
            </w:pPr>
            <w:r>
              <w:rPr>
                <w:b/>
              </w:rPr>
              <w:t>Trade Date</w:t>
            </w:r>
            <w:r>
              <w:rPr/>
              <w:t>:</w:t>
            </w:r>
          </w:p>
        </w:tc>
        <w:tc>
          <w:tcPr>
            <w:tcW w:w="60" w:type="dxa"/>
            <w:tcBorders/>
            <w:vAlign w:val="center"/>
          </w:tcPr>
          <w:p>
            <w:pPr>
              <w:pStyle w:val="TableContents"/>
              <w:bidi w:val="0"/>
              <w:spacing w:before="0" w:after="283"/>
              <w:jc w:val="left"/>
              <w:rPr/>
            </w:pPr>
            <w:r>
              <w:rPr/>
              <w:t> </w:t>
            </w:r>
          </w:p>
        </w:tc>
        <w:tc>
          <w:tcPr>
            <w:tcW w:w="8170" w:type="dxa"/>
            <w:tcBorders/>
            <w:vAlign w:val="center"/>
          </w:tcPr>
          <w:p>
            <w:pPr>
              <w:pStyle w:val="TableContents"/>
              <w:bidi w:val="0"/>
              <w:spacing w:before="0" w:after="283"/>
              <w:jc w:val="both"/>
              <w:rPr/>
            </w:pPr>
            <w:r>
              <w:rPr/>
              <w:t>February 20, 2026</w:t>
            </w:r>
          </w:p>
        </w:tc>
      </w:tr>
      <w:tr>
        <w:trPr/>
        <w:tc>
          <w:tcPr>
            <w:tcW w:w="19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170" w:type="dxa"/>
            <w:tcBorders/>
            <w:vAlign w:val="center"/>
          </w:tcPr>
          <w:p>
            <w:pPr>
              <w:pStyle w:val="TableContents"/>
              <w:bidi w:val="0"/>
              <w:spacing w:before="0" w:after="283"/>
              <w:jc w:val="both"/>
              <w:rPr/>
            </w:pPr>
            <w:r>
              <w:rPr/>
              <w:t> </w:t>
            </w:r>
          </w:p>
        </w:tc>
      </w:tr>
      <w:tr>
        <w:trPr/>
        <w:tc>
          <w:tcPr>
            <w:tcW w:w="1975" w:type="dxa"/>
            <w:tcBorders/>
            <w:vAlign w:val="center"/>
          </w:tcPr>
          <w:p>
            <w:pPr>
              <w:pStyle w:val="TableContents"/>
              <w:bidi w:val="0"/>
              <w:spacing w:before="0" w:after="283"/>
              <w:jc w:val="both"/>
              <w:rPr/>
            </w:pPr>
            <w:r>
              <w:rPr>
                <w:b/>
              </w:rPr>
              <w:t>Settlement Date</w:t>
            </w:r>
            <w:r>
              <w:rPr/>
              <w:t>:</w:t>
            </w:r>
          </w:p>
        </w:tc>
        <w:tc>
          <w:tcPr>
            <w:tcW w:w="60" w:type="dxa"/>
            <w:tcBorders/>
            <w:vAlign w:val="center"/>
          </w:tcPr>
          <w:p>
            <w:pPr>
              <w:pStyle w:val="TableContents"/>
              <w:bidi w:val="0"/>
              <w:spacing w:before="0" w:after="283"/>
              <w:jc w:val="left"/>
              <w:rPr/>
            </w:pPr>
            <w:r>
              <w:rPr/>
              <w:t> </w:t>
            </w:r>
          </w:p>
        </w:tc>
        <w:tc>
          <w:tcPr>
            <w:tcW w:w="8170" w:type="dxa"/>
            <w:tcBorders/>
            <w:vAlign w:val="center"/>
          </w:tcPr>
          <w:p>
            <w:pPr>
              <w:pStyle w:val="TableContents"/>
              <w:bidi w:val="0"/>
              <w:spacing w:before="0" w:after="283"/>
              <w:jc w:val="both"/>
              <w:rPr/>
            </w:pPr>
            <w:r>
              <w:rPr/>
              <w:t>February 26, 2026 (T+4)</w:t>
            </w:r>
            <w:r>
              <w:rPr>
                <w:position w:val="8"/>
                <w:sz w:val="19"/>
              </w:rPr>
              <w:t>1</w:t>
            </w:r>
          </w:p>
        </w:tc>
      </w:tr>
      <w:tr>
        <w:trPr/>
        <w:tc>
          <w:tcPr>
            <w:tcW w:w="19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170" w:type="dxa"/>
            <w:tcBorders/>
            <w:vAlign w:val="center"/>
          </w:tcPr>
          <w:p>
            <w:pPr>
              <w:pStyle w:val="TableContents"/>
              <w:bidi w:val="0"/>
              <w:spacing w:before="0" w:after="283"/>
              <w:jc w:val="both"/>
              <w:rPr/>
            </w:pPr>
            <w:r>
              <w:rPr/>
              <w:t> </w:t>
            </w:r>
          </w:p>
        </w:tc>
      </w:tr>
      <w:tr>
        <w:trPr/>
        <w:tc>
          <w:tcPr>
            <w:tcW w:w="1975" w:type="dxa"/>
            <w:tcBorders/>
            <w:vAlign w:val="center"/>
          </w:tcPr>
          <w:p>
            <w:pPr>
              <w:pStyle w:val="TableContents"/>
              <w:bidi w:val="0"/>
              <w:spacing w:before="0" w:after="283"/>
              <w:jc w:val="both"/>
              <w:rPr/>
            </w:pPr>
            <w:r>
              <w:rPr>
                <w:b/>
              </w:rPr>
              <w:t>Nasdaq Last Reported Sale Price of Class A ordinary shares on February 19, 2026</w:t>
            </w:r>
            <w:r>
              <w:rPr/>
              <w:t>:</w:t>
            </w:r>
          </w:p>
        </w:tc>
        <w:tc>
          <w:tcPr>
            <w:tcW w:w="60" w:type="dxa"/>
            <w:tcBorders/>
            <w:vAlign w:val="center"/>
          </w:tcPr>
          <w:p>
            <w:pPr>
              <w:pStyle w:val="TableContents"/>
              <w:bidi w:val="0"/>
              <w:spacing w:before="0" w:after="283"/>
              <w:jc w:val="left"/>
              <w:rPr/>
            </w:pPr>
            <w:r>
              <w:rPr/>
              <w:t> </w:t>
            </w:r>
          </w:p>
        </w:tc>
        <w:tc>
          <w:tcPr>
            <w:tcW w:w="8170" w:type="dxa"/>
            <w:tcBorders/>
            <w:vAlign w:val="center"/>
          </w:tcPr>
          <w:p>
            <w:pPr>
              <w:pStyle w:val="TableContents"/>
              <w:bidi w:val="0"/>
              <w:spacing w:before="0" w:after="283"/>
              <w:jc w:val="both"/>
              <w:rPr/>
            </w:pPr>
            <w:r>
              <w:rPr/>
              <w:t>$7.94 per Class A ordinary share</w:t>
            </w:r>
          </w:p>
        </w:tc>
      </w:tr>
      <w:tr>
        <w:trPr/>
        <w:tc>
          <w:tcPr>
            <w:tcW w:w="19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170" w:type="dxa"/>
            <w:tcBorders/>
            <w:vAlign w:val="center"/>
          </w:tcPr>
          <w:p>
            <w:pPr>
              <w:pStyle w:val="TableContents"/>
              <w:bidi w:val="0"/>
              <w:spacing w:before="0" w:after="283"/>
              <w:jc w:val="both"/>
              <w:rPr/>
            </w:pPr>
            <w:r>
              <w:rPr/>
              <w:t> </w:t>
            </w:r>
          </w:p>
        </w:tc>
      </w:tr>
      <w:tr>
        <w:trPr/>
        <w:tc>
          <w:tcPr>
            <w:tcW w:w="1975" w:type="dxa"/>
            <w:tcBorders/>
            <w:vAlign w:val="center"/>
          </w:tcPr>
          <w:p>
            <w:pPr>
              <w:pStyle w:val="TableContents"/>
              <w:bidi w:val="0"/>
              <w:spacing w:before="0" w:after="283"/>
              <w:jc w:val="both"/>
              <w:rPr/>
            </w:pPr>
            <w:r>
              <w:rPr>
                <w:b/>
              </w:rPr>
              <w:t>Offering Price</w:t>
            </w:r>
            <w:r>
              <w:rPr/>
              <w:t>:</w:t>
            </w:r>
          </w:p>
        </w:tc>
        <w:tc>
          <w:tcPr>
            <w:tcW w:w="60" w:type="dxa"/>
            <w:tcBorders/>
            <w:vAlign w:val="center"/>
          </w:tcPr>
          <w:p>
            <w:pPr>
              <w:pStyle w:val="TableContents"/>
              <w:bidi w:val="0"/>
              <w:spacing w:before="0" w:after="283"/>
              <w:jc w:val="left"/>
              <w:rPr/>
            </w:pPr>
            <w:r>
              <w:rPr/>
              <w:t> </w:t>
            </w:r>
          </w:p>
        </w:tc>
        <w:tc>
          <w:tcPr>
            <w:tcW w:w="8170" w:type="dxa"/>
            <w:tcBorders/>
            <w:vAlign w:val="center"/>
          </w:tcPr>
          <w:p>
            <w:pPr>
              <w:pStyle w:val="TableContents"/>
              <w:bidi w:val="0"/>
              <w:spacing w:before="0" w:after="283"/>
              <w:jc w:val="both"/>
              <w:rPr/>
            </w:pPr>
            <w:r>
              <w:rPr/>
              <w:t>$7.94 per Class A ordinary share</w:t>
            </w:r>
          </w:p>
        </w:tc>
      </w:tr>
      <w:tr>
        <w:trPr/>
        <w:tc>
          <w:tcPr>
            <w:tcW w:w="19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170" w:type="dxa"/>
            <w:tcBorders/>
            <w:vAlign w:val="center"/>
          </w:tcPr>
          <w:p>
            <w:pPr>
              <w:pStyle w:val="TableContents"/>
              <w:bidi w:val="0"/>
              <w:spacing w:before="0" w:after="283"/>
              <w:jc w:val="both"/>
              <w:rPr/>
            </w:pPr>
            <w:r>
              <w:rPr/>
              <w:t> </w:t>
            </w:r>
          </w:p>
        </w:tc>
      </w:tr>
      <w:tr>
        <w:trPr/>
        <w:tc>
          <w:tcPr>
            <w:tcW w:w="1975" w:type="dxa"/>
            <w:tcBorders/>
            <w:vAlign w:val="center"/>
          </w:tcPr>
          <w:p>
            <w:pPr>
              <w:pStyle w:val="TableContents"/>
              <w:bidi w:val="0"/>
              <w:spacing w:before="0" w:after="283"/>
              <w:jc w:val="both"/>
              <w:rPr>
                <w:b/>
              </w:rPr>
            </w:pPr>
            <w:r>
              <w:rPr>
                <w:b/>
              </w:rPr>
              <w:t>Use of Proceeds:</w:t>
            </w:r>
          </w:p>
        </w:tc>
        <w:tc>
          <w:tcPr>
            <w:tcW w:w="60" w:type="dxa"/>
            <w:tcBorders/>
            <w:vAlign w:val="center"/>
          </w:tcPr>
          <w:p>
            <w:pPr>
              <w:pStyle w:val="TableContents"/>
              <w:bidi w:val="0"/>
              <w:spacing w:before="0" w:after="283"/>
              <w:jc w:val="left"/>
              <w:rPr/>
            </w:pPr>
            <w:r>
              <w:rPr/>
              <w:t> </w:t>
            </w:r>
          </w:p>
        </w:tc>
        <w:tc>
          <w:tcPr>
            <w:tcW w:w="817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net proceeds from the offering of our Class A ordinary shares will be approximately US$43.5 million, after deducting our estimated offering expenses payable by us. We estimate that the net proceeds from the Concurrent Note Offering (as defined below) will be approximately US$315.1 million (or approximately US$363.7 million if the initial purchasers in the Concurrent Note Offering exercise their option to purchase additional New Convertible Notes in full), after deducting initial purchasers’ discounts and estimated offering expenses payable by us.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this offering and the Concurrent Note Offering: (i) to pay the approximately US$29.2 million cost of the capped call transactions referred to in the preliminary prospectus that we entered into with the option counterparties; and (ii) to pay the approximately US$138.2 million cost of repurchasing for cash US$135.0 million aggregate principal amount of the November 2029 notes (including accrued and unpaid interest) in the Concurrent Note Repurchases. We intend to use the remaining net proceeds from this offering and the Concurrent Note Offering for datacenter expansion, HPC and AI cloud business expansion, ASIC-based mining rig development and manufacture, as well as working capital and other general corporate purposes.</w:t>
            </w:r>
          </w:p>
        </w:tc>
      </w:tr>
    </w:tbl>
    <w:p>
      <w:pPr>
        <w:pStyle w:val="TextBody"/>
        <w:bidi w:val="0"/>
        <w:spacing w:before="0" w:after="283"/>
        <w:jc w:val="left"/>
        <w:rPr/>
      </w:pPr>
      <w:r>
        <w:rPr/>
        <w:t> </w:t>
      </w:r>
    </w:p>
    <w:p>
      <w:pPr>
        <w:pStyle w:val="TextBody"/>
        <w:bidi w:val="0"/>
        <w:jc w:val="left"/>
        <w:rPr>
          <w:bdr w:val="single" w:sz="12" w:space="1" w:color="000000"/>
        </w:rPr>
      </w:pPr>
      <w:r>
        <w:rPr>
          <w:bdr w:val="single" w:sz="12" w:space="1" w:color="000000"/>
        </w:rPr>
        <w:t> </w:t>
      </w:r>
    </w:p>
    <w:p>
      <w:pPr>
        <w:pStyle w:val="TextBody"/>
        <w:bidi w:val="0"/>
        <w:spacing w:before="0" w:after="283"/>
        <w:jc w:val="left"/>
        <w:rPr/>
      </w:pPr>
      <w:r>
        <w:rPr>
          <w:position w:val="8"/>
          <w:sz w:val="19"/>
        </w:rPr>
        <w:t>1</w:t>
      </w:r>
      <w:r>
        <w:rPr/>
        <w:t xml:space="preserve"> </w:t>
      </w:r>
      <w:r>
        <w:rPr>
          <w:sz w:val="20"/>
        </w:rPr>
        <w:t>Under Rule 15c6-1 under the Securities Exchange Act of 1934, as amended (the “Exchange Act”), trades in the secondary market generally are required to settle in one business day, unless the parties to any such trade expressly agree otherwise. Accordingly, purchasers who wish to trade the Class A ordinary shares prior to the business day preceding the settlement date will be required, by virtue of the fact that the notes initially will settle T+4, to specify an alternate settlement cycle at the time of any such trade to prevent a failed settlement. Purchasers of the Class A ordinary shares who wish to trade the shares prior to the business day preceding the settlement date should consult their own advisors.</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45"/>
        <w:gridCol w:w="60"/>
        <w:gridCol w:w="8700"/>
      </w:tblGrid>
      <w:tr>
        <w:trPr/>
        <w:tc>
          <w:tcPr>
            <w:tcW w:w="1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00" w:type="dxa"/>
            <w:tcBorders/>
            <w:vAlign w:val="center"/>
          </w:tcPr>
          <w:p>
            <w:pPr>
              <w:pStyle w:val="TableContents"/>
              <w:bidi w:val="0"/>
              <w:spacing w:before="0" w:after="283"/>
              <w:jc w:val="both"/>
              <w:rPr/>
            </w:pPr>
            <w:r>
              <w:rPr/>
              <w:t>If the initial purchasers in the Concurrent Note Offering exercise their option to purchase additional New Convertible Notes (as defined below), we intend to use net proceeds from the sale of the additional New Convertible Notes to enter into additional capped call transactions with the option counterparties and the remaining net proceeds for HPC and AI cloud business expansion, ASIC-based mining rig development and manufacture, as well as working capital and other general corporate purposes as described above.</w:t>
              <w:br/>
              <w:br/>
              <w:t>See “Use of Proceeds” in the preliminary prospectus for additional information.</w:t>
            </w:r>
          </w:p>
        </w:tc>
      </w:tr>
      <w:tr>
        <w:trPr/>
        <w:tc>
          <w:tcPr>
            <w:tcW w:w="1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00" w:type="dxa"/>
            <w:tcBorders/>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both"/>
              <w:rPr/>
            </w:pPr>
            <w:r>
              <w:rPr>
                <w:b/>
              </w:rPr>
              <w:t>Concurrent Convertible Notes Offering</w:t>
            </w:r>
            <w:r>
              <w:rPr/>
              <w:t>:</w:t>
            </w:r>
          </w:p>
        </w:tc>
        <w:tc>
          <w:tcPr>
            <w:tcW w:w="60" w:type="dxa"/>
            <w:tcBorders/>
            <w:vAlign w:val="center"/>
          </w:tcPr>
          <w:p>
            <w:pPr>
              <w:pStyle w:val="TableContents"/>
              <w:bidi w:val="0"/>
              <w:spacing w:before="0" w:after="283"/>
              <w:jc w:val="left"/>
              <w:rPr/>
            </w:pPr>
            <w:r>
              <w:rPr/>
              <w:t> </w:t>
            </w:r>
          </w:p>
        </w:tc>
        <w:tc>
          <w:tcPr>
            <w:tcW w:w="87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offering of Class A ordinary shares, we are offering (the “Concurrent Note Offering”) US$325,000,000 aggregate principal amount of 5.00% convertible senior notes due 2032 (the “New Convertible Notes”) (or up to US$375,000,000 aggregate principal amount of New Convertible Notes if the initial purchasers in such offering exercise in full their option to purchase additional New Convertible Notes). The Concurrent Note Offering is being made pursuant to a confidential offering memorandum (and not pursuant to the prospectus supplement or this pricing term sheet) only to persons reasonably believed to be qualified institutional buyers (as defined in Rule 144A under the Securities Act) in transactions that are exempt from the registration and prospectus-delivery requirements of the Securities Act. The prospectus supplement and this pricing term sheet do not constitute an offer to sell, or the solicitation of an offer to buy, any of the New Convertible Notes, or the Class A ordinary shares, if any, issuable upon conversion of the New Convertible Notes. The completion of the offering of Class A ordinary shares is contingent on the completion of the Concurrent Note Offering.</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satisfaction of certain conditions and during certain periods, the New Convertible Notes may be converted at an initial conversion rate of 100.7557 Class A ordinary shares per US$1,000 principal amount of New Convertible Notes (equivalent to an initial conversion price of approximately US$9.93 per Class A ordinary share). The conversion rate is subject to adjustment if certain events occur. Notwithstanding anything to the contrary, in no event will the conversion rate be increased to an amount that exceeds 125.9445 Class A ordinary shares per $1,000 principal amount of New Convertible Notes, which amount is subject to adjustment in the same manner as, and at the same time and for the same events for which, the conversion rate is required to be adjusted pursuant to the indenture governing the notes.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31"/>
        <w:gridCol w:w="60"/>
        <w:gridCol w:w="8614"/>
      </w:tblGrid>
      <w:tr>
        <w:trPr/>
        <w:tc>
          <w:tcPr>
            <w:tcW w:w="1531" w:type="dxa"/>
            <w:tcBorders/>
            <w:vAlign w:val="center"/>
          </w:tcPr>
          <w:p>
            <w:pPr>
              <w:pStyle w:val="TableContents"/>
              <w:bidi w:val="0"/>
              <w:spacing w:before="0" w:after="283"/>
              <w:jc w:val="both"/>
              <w:rPr/>
            </w:pPr>
            <w:r>
              <w:rPr>
                <w:b/>
              </w:rPr>
              <w:t>Concurrent Note Repurchase Transactions</w:t>
            </w:r>
            <w:r>
              <w:rPr/>
              <w:t>:</w:t>
            </w:r>
          </w:p>
        </w:tc>
        <w:tc>
          <w:tcPr>
            <w:tcW w:w="60" w:type="dxa"/>
            <w:tcBorders/>
            <w:vAlign w:val="center"/>
          </w:tcPr>
          <w:p>
            <w:pPr>
              <w:pStyle w:val="TableContents"/>
              <w:bidi w:val="0"/>
              <w:spacing w:before="0" w:after="283"/>
              <w:jc w:val="left"/>
              <w:rPr/>
            </w:pPr>
            <w:r>
              <w:rPr/>
              <w:t> </w:t>
            </w:r>
          </w:p>
        </w:tc>
        <w:tc>
          <w:tcPr>
            <w:tcW w:w="861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offering of Class A ordinary shares, we entered into privately negotiated transactions with certain holders of our November 2029 notes to repurchase for cash US$135.0 million in aggregate principal amount of the November 2029 notes for approximately US$138.2 million (including accrued and unpaid interest).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concurrent note repurchase transactions, we expect that holders of the November 2029 notes who have agreed to have their November 2029 notes repurchased and who have hedged their equity price risk with respect to such notes (the “hedged holders”) will unwind all or part of their hedge positions by buying our Class A ordinary shares and/or entering into or unwinding various derivative transactions with respect to our Class A ordinary shares. The amount of our Class A ordinary shares to be purchased by the hedged holders or in connection with such derivative transactions may be substantial in relation to the historic average daily trading volume of our Class A ordinary shares. This activity by the hedged holders could increase (or reduce the size of any decrease in) the market price of our Class A ordinary shares, including concurrently with the pricing of the notes. We cannot predict the magnitude of such market activity or the overall effect it will have on the price of the notes offered hereby or our Class A ordinary shares. See the section titled “Risk Factors—Risks Related to the Concurrent Notes Offering and the Existing Notes—Any repurchases of the November 2029 notes may affect the value of our Class A ordinary shares.” Each of the prospectus supplement and this pricing term sheet does not constitute an offer to buy, or the solicitation of an offer to sell, any of our November 2029 notes. The completion of the concurrent note repurchase transactions is contingent upon the completion of the offering of Class A ordinary shares and the Concurrent Note Offering..</w:t>
            </w:r>
          </w:p>
        </w:tc>
      </w:tr>
      <w:tr>
        <w:trPr/>
        <w:tc>
          <w:tcPr>
            <w:tcW w:w="153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614" w:type="dxa"/>
            <w:tcBorders/>
            <w:vAlign w:val="center"/>
          </w:tcPr>
          <w:p>
            <w:pPr>
              <w:pStyle w:val="TableContents"/>
              <w:bidi w:val="0"/>
              <w:spacing w:before="0" w:after="283"/>
              <w:jc w:val="both"/>
              <w:rPr/>
            </w:pPr>
            <w:r>
              <w:rPr/>
              <w:t> </w:t>
            </w:r>
          </w:p>
        </w:tc>
      </w:tr>
      <w:tr>
        <w:trPr/>
        <w:tc>
          <w:tcPr>
            <w:tcW w:w="1531" w:type="dxa"/>
            <w:tcBorders/>
            <w:vAlign w:val="center"/>
          </w:tcPr>
          <w:p>
            <w:pPr>
              <w:pStyle w:val="TableContents"/>
              <w:bidi w:val="0"/>
              <w:spacing w:before="0" w:after="283"/>
              <w:jc w:val="left"/>
              <w:rPr>
                <w:b/>
              </w:rPr>
            </w:pPr>
            <w:r>
              <w:rPr>
                <w:b/>
              </w:rPr>
              <w:t>Cap Price:</w:t>
            </w:r>
          </w:p>
        </w:tc>
        <w:tc>
          <w:tcPr>
            <w:tcW w:w="60" w:type="dxa"/>
            <w:tcBorders/>
            <w:vAlign w:val="center"/>
          </w:tcPr>
          <w:p>
            <w:pPr>
              <w:pStyle w:val="TableContents"/>
              <w:bidi w:val="0"/>
              <w:spacing w:before="0" w:after="283"/>
              <w:jc w:val="left"/>
              <w:rPr/>
            </w:pPr>
            <w:r>
              <w:rPr/>
              <w:t> </w:t>
            </w:r>
          </w:p>
        </w:tc>
        <w:tc>
          <w:tcPr>
            <w:tcW w:w="8614" w:type="dxa"/>
            <w:tcBorders/>
            <w:vAlign w:val="center"/>
          </w:tcPr>
          <w:p>
            <w:pPr>
              <w:pStyle w:val="TableContents"/>
              <w:bidi w:val="0"/>
              <w:spacing w:before="0" w:after="283"/>
              <w:jc w:val="both"/>
              <w:rPr/>
            </w:pPr>
            <w:r>
              <w:rPr/>
              <w:t>The cap price of the capped call transactions referred to in the preliminary prospectus that we entered into with the option counterparties will initially be US$15.88 per share, which represents a premium of 100% above the offering price per share in the offering of our Class A ordinary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THE OFFERING. YOU MAY GET THESE DOCUMENTS FOR FREE BY VISITING EDGAR ON THE SEC WEBSITE AT </w:t>
      </w:r>
      <w:r>
        <w:rPr>
          <w:rFonts w:ascii="Times New Roman;Times;Serif" w:hAnsi="Times New Roman;Times;Serif"/>
          <w:b/>
          <w:i w:val="false"/>
          <w:caps w:val="false"/>
          <w:smallCaps w:val="false"/>
          <w:sz w:val="20"/>
          <w:u w:val="single"/>
        </w:rPr>
        <w:t>WWW.SEC.GOV</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BITDEER TECHNOLOGIES GROUP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EXECUTIVE OFFICERS’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Jihan Wu, Chief Executive Officer of Bitdeer Technologies Group, an exempted company incorporated under the laws of Cayman Islands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does hereby certify pursuant to Section 8(h) of that certain Placement Agency Agreement, dated February 19, 2026 (the “</w:t>
      </w:r>
      <w:r>
        <w:rPr>
          <w:rFonts w:ascii="Times New Roman;Times;Serif" w:hAnsi="Times New Roman;Times;Serif"/>
          <w:b/>
          <w:i w:val="false"/>
          <w:caps w:val="false"/>
          <w:smallCaps w:val="false"/>
          <w:sz w:val="20"/>
        </w:rPr>
        <w:t>Placement Agency Agreement</w:t>
      </w:r>
      <w:r>
        <w:rPr>
          <w:rFonts w:ascii="Times New Roman;Times;Serif" w:hAnsi="Times New Roman;Times;Serif"/>
          <w:b w:val="false"/>
          <w:i w:val="false"/>
          <w:caps w:val="false"/>
          <w:smallCaps w:val="false"/>
          <w:sz w:val="20"/>
        </w:rPr>
        <w:t>”), between the Company and Barclays Capital Inc., as placement agent, that as of February 26,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He has reviewed the Disclosure Package and the Prospectus and any amendment or supplement to the Disclosure Package and the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representations and warranties of the Company as set forth in the Placement Agency Agreement are true and correct in all material respects as of the date hereof and as if made on the date hereof, and the Company has complied in all material respects with all the agreements and satisfied all the conditions on its part to be performed or satisfied under the Placement Agency Agreement at or before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Since the date of the most recent financial statements incorporated by reference in the Disclosure Package and the Prospectus (exclusive of any amendment or supplement thereto), there has been no material adverse change in the condition (financial or otherwise), business or results of operations of the Company and its subsidiaries, taken as a whole, except as set forth in or contemplated in the Disclosure Package and the Prospectus (exclusive of any amendment or supplement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sales of the Shares pursuant to the Purchase Agreements have not been enjoined (temporarily or permanently).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defined in the Placement Agency Agreement and not otherwise defined herein, are used herein as therein defined.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immediately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hereunto set their hands on this [•] day of February, 2026.</w:t>
      </w:r>
    </w:p>
    <w:p>
      <w:pPr>
        <w:pStyle w:val="TextBody"/>
        <w:bidi w:val="0"/>
        <w:spacing w:before="0" w:after="0"/>
        <w:ind w:left="0" w:right="0" w:firstLine="720"/>
        <w:jc w:val="both"/>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75"/>
        <w:gridCol w:w="545"/>
        <w:gridCol w:w="4190"/>
      </w:tblGrid>
      <w:tr>
        <w:trPr/>
        <w:tc>
          <w:tcPr>
            <w:tcW w:w="75" w:type="dxa"/>
            <w:tcBorders/>
            <w:vAlign w:val="center"/>
          </w:tcPr>
          <w:p>
            <w:pPr>
              <w:pStyle w:val="TableContents"/>
              <w:bidi w:val="0"/>
              <w:spacing w:before="0" w:after="283"/>
              <w:jc w:val="left"/>
              <w:rPr/>
            </w:pPr>
            <w:r>
              <w:rPr/>
              <w:t> </w:t>
            </w:r>
          </w:p>
        </w:tc>
        <w:tc>
          <w:tcPr>
            <w:tcW w:w="4735" w:type="dxa"/>
            <w:gridSpan w:val="2"/>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4190" w:type="dxa"/>
            <w:tcBorders/>
            <w:vAlign w:val="center"/>
          </w:tcPr>
          <w:p>
            <w:pPr>
              <w:pStyle w:val="TableContents"/>
              <w:bidi w:val="0"/>
              <w:spacing w:before="0" w:after="283"/>
              <w:jc w:val="left"/>
              <w:rPr>
                <w:sz w:val="20"/>
              </w:rPr>
            </w:pPr>
            <w:r>
              <w:rPr>
                <w:sz w:val="20"/>
              </w:rPr>
              <w:t>Jihan Wu</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4190" w:type="dxa"/>
            <w:tcBorders/>
            <w:vAlign w:val="center"/>
          </w:tcPr>
          <w:p>
            <w:pPr>
              <w:pStyle w:val="TableContents"/>
              <w:bidi w:val="0"/>
              <w:spacing w:before="0" w:after="283"/>
              <w:jc w:val="left"/>
              <w:rPr>
                <w:sz w:val="20"/>
              </w:rPr>
            </w:pPr>
            <w:r>
              <w:rPr>
                <w:sz w:val="20"/>
              </w:rPr>
              <w:t>Chairman of the Board and Chief Executive Officer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Subsidiaries</w:t>
      </w:r>
    </w:p>
    <w:p>
      <w:pPr>
        <w:pStyle w:val="TextBody"/>
        <w:bidi w:val="0"/>
        <w:spacing w:before="0" w:after="0"/>
        <w:jc w:val="center"/>
        <w:rPr>
          <w:caps w:val="false"/>
          <w:smallCaps w:val="false"/>
        </w:rPr>
      </w:pPr>
      <w:r>
        <w:rPr>
          <w:caps w:val="false"/>
          <w:smallCaps w:val="false"/>
        </w:rPr>
        <w:t> </w:t>
      </w:r>
    </w:p>
    <w:tbl>
      <w:tblPr>
        <w:tblW w:w="7540" w:type="dxa"/>
        <w:jc w:val="left"/>
        <w:tblInd w:w="-10" w:type="dxa"/>
        <w:tblLayout w:type="fixed"/>
        <w:tblCellMar>
          <w:top w:w="28" w:type="dxa"/>
          <w:left w:w="108" w:type="dxa"/>
          <w:bottom w:w="28" w:type="dxa"/>
          <w:right w:w="108" w:type="dxa"/>
        </w:tblCellMar>
      </w:tblPr>
      <w:tblGrid>
        <w:gridCol w:w="4280"/>
        <w:gridCol w:w="3260"/>
      </w:tblGrid>
      <w:tr>
        <w:trPr/>
        <w:tc>
          <w:tcPr>
            <w:tcW w:w="428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Subsidiary</w:t>
            </w:r>
          </w:p>
        </w:tc>
        <w:tc>
          <w:tcPr>
            <w:tcW w:w="32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rPr>
            </w:pPr>
            <w:r>
              <w:rPr>
                <w:b/>
              </w:rPr>
              <w:t>Jurisdiction of Incorporation or</w:t>
              <w:br/>
              <w:t>Organization</w:t>
            </w:r>
          </w:p>
        </w:tc>
      </w:tr>
      <w:tr>
        <w:trPr/>
        <w:tc>
          <w:tcPr>
            <w:tcW w:w="4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32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4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Bitdeer Gedu Private Limited</w:t>
            </w:r>
          </w:p>
        </w:tc>
        <w:tc>
          <w:tcPr>
            <w:tcW w:w="32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Bhutan</w:t>
            </w:r>
          </w:p>
        </w:tc>
      </w:tr>
      <w:tr>
        <w:trPr/>
        <w:tc>
          <w:tcPr>
            <w:tcW w:w="4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Sharpening Technology Limited</w:t>
            </w:r>
          </w:p>
        </w:tc>
        <w:tc>
          <w:tcPr>
            <w:tcW w:w="32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British Virgin Islands</w:t>
            </w:r>
          </w:p>
        </w:tc>
      </w:tr>
      <w:tr>
        <w:trPr/>
        <w:tc>
          <w:tcPr>
            <w:tcW w:w="4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Singapura Technologies Limited</w:t>
            </w:r>
          </w:p>
        </w:tc>
        <w:tc>
          <w:tcPr>
            <w:tcW w:w="32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British Virgin Islands</w:t>
            </w:r>
          </w:p>
        </w:tc>
      </w:tr>
      <w:tr>
        <w:trPr/>
        <w:tc>
          <w:tcPr>
            <w:tcW w:w="4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Bitdeer Bhutan Equipment Limited</w:t>
            </w:r>
          </w:p>
        </w:tc>
        <w:tc>
          <w:tcPr>
            <w:tcW w:w="32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British Virgin Islands</w:t>
            </w:r>
          </w:p>
        </w:tc>
      </w:tr>
      <w:tr>
        <w:trPr/>
        <w:tc>
          <w:tcPr>
            <w:tcW w:w="4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Bitdeer Equipment (Canada) Inc.</w:t>
            </w:r>
          </w:p>
        </w:tc>
        <w:tc>
          <w:tcPr>
            <w:tcW w:w="32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Canada</w:t>
            </w:r>
          </w:p>
        </w:tc>
      </w:tr>
      <w:tr>
        <w:trPr/>
        <w:tc>
          <w:tcPr>
            <w:tcW w:w="4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Bitdeer Technologies Holding Company</w:t>
            </w:r>
          </w:p>
        </w:tc>
        <w:tc>
          <w:tcPr>
            <w:tcW w:w="32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Cayman Islands</w:t>
            </w:r>
          </w:p>
        </w:tc>
      </w:tr>
      <w:tr>
        <w:trPr/>
        <w:tc>
          <w:tcPr>
            <w:tcW w:w="4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Bitdeer Technologies Limited</w:t>
            </w:r>
          </w:p>
        </w:tc>
        <w:tc>
          <w:tcPr>
            <w:tcW w:w="32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Hong Kong</w:t>
            </w:r>
          </w:p>
        </w:tc>
      </w:tr>
      <w:tr>
        <w:trPr/>
        <w:tc>
          <w:tcPr>
            <w:tcW w:w="4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Tosummer Technologies HK Limited</w:t>
            </w:r>
          </w:p>
        </w:tc>
        <w:tc>
          <w:tcPr>
            <w:tcW w:w="32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Hong Kong</w:t>
            </w:r>
          </w:p>
        </w:tc>
      </w:tr>
      <w:tr>
        <w:trPr/>
        <w:tc>
          <w:tcPr>
            <w:tcW w:w="4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Bitdeer Netherlands B.V.</w:t>
            </w:r>
          </w:p>
        </w:tc>
        <w:tc>
          <w:tcPr>
            <w:tcW w:w="32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Netherlands</w:t>
            </w:r>
          </w:p>
        </w:tc>
      </w:tr>
      <w:tr>
        <w:trPr/>
        <w:tc>
          <w:tcPr>
            <w:tcW w:w="4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Bitdeer Norway AS</w:t>
            </w:r>
          </w:p>
        </w:tc>
        <w:tc>
          <w:tcPr>
            <w:tcW w:w="32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Norway</w:t>
            </w:r>
          </w:p>
        </w:tc>
      </w:tr>
      <w:tr>
        <w:trPr/>
        <w:tc>
          <w:tcPr>
            <w:tcW w:w="4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Norway Hash Technologies AS</w:t>
            </w:r>
          </w:p>
        </w:tc>
        <w:tc>
          <w:tcPr>
            <w:tcW w:w="32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Norway</w:t>
            </w:r>
          </w:p>
        </w:tc>
      </w:tr>
      <w:tr>
        <w:trPr/>
        <w:tc>
          <w:tcPr>
            <w:tcW w:w="4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Norwegian AI Technology AS</w:t>
            </w:r>
          </w:p>
        </w:tc>
        <w:tc>
          <w:tcPr>
            <w:tcW w:w="32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Norway</w:t>
            </w:r>
          </w:p>
        </w:tc>
      </w:tr>
      <w:tr>
        <w:trPr/>
        <w:tc>
          <w:tcPr>
            <w:tcW w:w="4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Bitdeer Inc.</w:t>
            </w:r>
          </w:p>
        </w:tc>
        <w:tc>
          <w:tcPr>
            <w:tcW w:w="32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United States of America</w:t>
            </w:r>
          </w:p>
        </w:tc>
      </w:tr>
      <w:tr>
        <w:trPr/>
        <w:tc>
          <w:tcPr>
            <w:tcW w:w="4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Asia Freeport Holdings Pte. Ltd.</w:t>
            </w:r>
          </w:p>
        </w:tc>
        <w:tc>
          <w:tcPr>
            <w:tcW w:w="32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Singapore</w:t>
            </w:r>
          </w:p>
        </w:tc>
      </w:tr>
      <w:tr>
        <w:trPr/>
        <w:tc>
          <w:tcPr>
            <w:tcW w:w="4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Le Freeport Real Estate Pte. Ltd.</w:t>
            </w:r>
          </w:p>
        </w:tc>
        <w:tc>
          <w:tcPr>
            <w:tcW w:w="32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Singapore</w:t>
            </w:r>
          </w:p>
        </w:tc>
      </w:tr>
      <w:tr>
        <w:trPr/>
        <w:tc>
          <w:tcPr>
            <w:tcW w:w="4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Le Freeport Management Pte. Ltd.</w:t>
            </w:r>
          </w:p>
        </w:tc>
        <w:tc>
          <w:tcPr>
            <w:tcW w:w="32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Singapore</w:t>
            </w:r>
          </w:p>
        </w:tc>
      </w:tr>
      <w:tr>
        <w:trPr/>
        <w:tc>
          <w:tcPr>
            <w:tcW w:w="4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Bitdeer Semiconductor Technology Pte. Ltd.</w:t>
            </w:r>
          </w:p>
        </w:tc>
        <w:tc>
          <w:tcPr>
            <w:tcW w:w="32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Singapore</w:t>
            </w:r>
          </w:p>
        </w:tc>
      </w:tr>
      <w:tr>
        <w:trPr/>
        <w:tc>
          <w:tcPr>
            <w:tcW w:w="4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Straitdeer Pte. Ltd.</w:t>
            </w:r>
          </w:p>
        </w:tc>
        <w:tc>
          <w:tcPr>
            <w:tcW w:w="32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Singapore</w:t>
            </w:r>
          </w:p>
        </w:tc>
      </w:tr>
      <w:tr>
        <w:trPr/>
        <w:tc>
          <w:tcPr>
            <w:tcW w:w="4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Carpenter Creek. LLC</w:t>
            </w:r>
          </w:p>
        </w:tc>
        <w:tc>
          <w:tcPr>
            <w:tcW w:w="32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United States of America</w:t>
            </w:r>
          </w:p>
        </w:tc>
      </w:tr>
      <w:tr>
        <w:trPr/>
        <w:tc>
          <w:tcPr>
            <w:tcW w:w="4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Ant Creek, LLC</w:t>
            </w:r>
          </w:p>
        </w:tc>
        <w:tc>
          <w:tcPr>
            <w:tcW w:w="32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United States of America</w:t>
            </w:r>
          </w:p>
        </w:tc>
      </w:tr>
      <w:tr>
        <w:trPr/>
        <w:tc>
          <w:tcPr>
            <w:tcW w:w="4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Dory Creek, LLC</w:t>
            </w:r>
          </w:p>
        </w:tc>
        <w:tc>
          <w:tcPr>
            <w:tcW w:w="32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United States of America</w:t>
            </w:r>
          </w:p>
        </w:tc>
      </w:tr>
      <w:tr>
        <w:trPr/>
        <w:tc>
          <w:tcPr>
            <w:tcW w:w="4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Z Engineers, LLC</w:t>
            </w:r>
          </w:p>
        </w:tc>
        <w:tc>
          <w:tcPr>
            <w:tcW w:w="32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United States of America</w:t>
            </w:r>
          </w:p>
        </w:tc>
      </w:tr>
      <w:tr>
        <w:trPr/>
        <w:tc>
          <w:tcPr>
            <w:tcW w:w="4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Bitdeer Sales (USA) Inc.</w:t>
            </w:r>
          </w:p>
        </w:tc>
        <w:tc>
          <w:tcPr>
            <w:tcW w:w="32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United States of America</w:t>
            </w:r>
          </w:p>
        </w:tc>
      </w:tr>
      <w:tr>
        <w:trPr/>
        <w:tc>
          <w:tcPr>
            <w:tcW w:w="4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Brock Creek LLC</w:t>
            </w:r>
          </w:p>
        </w:tc>
        <w:tc>
          <w:tcPr>
            <w:tcW w:w="32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United States of America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 w:name="ea027830601ex4-1.htm"/>
      <w:bookmarkStart w:id="5" w:name="ksea027830601ex41"/>
      <w:bookmarkEnd w:id="4"/>
      <w:bookmarkEnd w:id="5"/>
      <w:r>
        <w:rPr>
          <w:rFonts w:ascii="Times New Roman;Times;Serif" w:hAnsi="Times New Roman;Times;Serif"/>
          <w:b/>
          <w:i w:val="false"/>
          <w:caps w:val="false"/>
          <w:smallCaps w:val="false"/>
          <w:sz w:val="20"/>
        </w:rPr>
        <w:t>Exhibit 4.1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jc w:val="center"/>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BITDEER TECHNOLOGIES GROUP</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February 24,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 Convertible Senior Notes due 2032</w:t>
      </w:r>
    </w:p>
    <w:p>
      <w:pPr>
        <w:pStyle w:val="TextBody"/>
        <w:bidi w:val="0"/>
        <w:spacing w:before="0" w:after="0"/>
        <w:jc w:val="center"/>
        <w:rPr>
          <w:caps w:val="false"/>
          <w:smallCaps w:val="false"/>
        </w:rPr>
      </w:pPr>
      <w:r>
        <w:rPr>
          <w:caps w:val="false"/>
          <w:smallCaps w:val="false"/>
        </w:rPr>
        <w:t> </w:t>
      </w:r>
    </w:p>
    <w:p>
      <w:pPr>
        <w:pStyle w:val="TextBody"/>
        <w:bidi w:val="0"/>
        <w:jc w:val="center"/>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bdr w:val="single" w:sz="12" w:space="1" w:color="000000"/>
        </w:rPr>
      </w:pPr>
      <w:r>
        <w:rPr>
          <w:bdr w:val="single" w:sz="12" w:space="1" w:color="000000"/>
        </w:rPr>
        <w:t> </w:t>
      </w:r>
    </w:p>
    <w:p>
      <w:pPr>
        <w:pStyle w:val="TextBody"/>
        <w:bidi w:val="0"/>
        <w:spacing w:before="0" w:after="0"/>
        <w:ind w:left="0" w:right="0" w:hanging="0"/>
        <w:jc w:val="both"/>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tbl>
      <w:tblPr>
        <w:tblW w:w="8685" w:type="dxa"/>
        <w:jc w:val="left"/>
        <w:tblInd w:w="0" w:type="dxa"/>
        <w:tblLayout w:type="fixed"/>
        <w:tblCellMar>
          <w:top w:w="0" w:type="dxa"/>
          <w:left w:w="0" w:type="dxa"/>
          <w:bottom w:w="0" w:type="dxa"/>
          <w:right w:w="0" w:type="dxa"/>
        </w:tblCellMar>
      </w:tblPr>
      <w:tblGrid>
        <w:gridCol w:w="75"/>
        <w:gridCol w:w="1040"/>
        <w:gridCol w:w="6995"/>
        <w:gridCol w:w="57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040" w:type="dxa"/>
            <w:tcBorders/>
            <w:vAlign w:val="center"/>
          </w:tcPr>
          <w:p>
            <w:pPr>
              <w:pStyle w:val="TableContents"/>
              <w:bidi w:val="0"/>
              <w:spacing w:before="0" w:after="283"/>
              <w:jc w:val="both"/>
              <w:rPr>
                <w:caps w:val="false"/>
                <w:smallCaps w:val="false"/>
              </w:rPr>
            </w:pPr>
            <w:r>
              <w:rPr>
                <w:caps w:val="false"/>
                <w:smallCaps w:val="false"/>
              </w:rPr>
              <w:t> </w:t>
            </w:r>
          </w:p>
        </w:tc>
        <w:tc>
          <w:tcPr>
            <w:tcW w:w="6995" w:type="dxa"/>
            <w:tcBorders/>
            <w:vAlign w:val="center"/>
          </w:tcPr>
          <w:p>
            <w:pPr>
              <w:pStyle w:val="TableContents"/>
              <w:bidi w:val="0"/>
              <w:spacing w:before="0" w:after="283"/>
              <w:jc w:val="both"/>
              <w:rPr>
                <w:smallCaps/>
              </w:rPr>
            </w:pPr>
            <w:r>
              <w:rPr>
                <w:smallCaps/>
              </w:rPr>
              <w:t> </w:t>
            </w:r>
          </w:p>
        </w:tc>
        <w:tc>
          <w:tcPr>
            <w:tcW w:w="57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smallCaps/>
                <w:sz w:val="20"/>
              </w:rPr>
            </w:pPr>
            <w:r>
              <w:rPr>
                <w:rFonts w:ascii="Times New Roman;Times;Serif" w:hAnsi="Times New Roman;Times;Serif"/>
                <w:b/>
                <w:i w:val="false"/>
                <w:smallCaps/>
                <w:sz w:val="20"/>
              </w:rPr>
              <w:t>PAGE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040" w:type="dxa"/>
            <w:tcBorders/>
            <w:vAlign w:val="center"/>
          </w:tcPr>
          <w:p>
            <w:pPr>
              <w:pStyle w:val="TableContents"/>
              <w:bidi w:val="0"/>
              <w:spacing w:before="0" w:after="283"/>
              <w:jc w:val="both"/>
              <w:rPr>
                <w:caps w:val="false"/>
                <w:smallCaps w:val="false"/>
              </w:rPr>
            </w:pPr>
            <w:r>
              <w:rPr>
                <w:caps w:val="false"/>
                <w:smallCaps w:val="false"/>
              </w:rPr>
              <w:t> </w:t>
            </w:r>
          </w:p>
        </w:tc>
        <w:tc>
          <w:tcPr>
            <w:tcW w:w="6995" w:type="dxa"/>
            <w:tcBorders/>
            <w:vAlign w:val="center"/>
          </w:tcPr>
          <w:p>
            <w:pPr>
              <w:pStyle w:val="TableContents"/>
              <w:bidi w:val="0"/>
              <w:spacing w:before="0" w:after="283"/>
              <w:jc w:val="both"/>
              <w:rPr>
                <w:caps w:val="false"/>
                <w:smallCaps w:val="false"/>
              </w:rPr>
            </w:pPr>
            <w:r>
              <w:rPr>
                <w:caps w:val="false"/>
                <w:smallCaps w:val="false"/>
              </w:rPr>
              <w:t> </w:t>
            </w:r>
          </w:p>
        </w:tc>
        <w:tc>
          <w:tcPr>
            <w:tcW w:w="5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10" w:type="dxa"/>
            <w:gridSpan w:val="3"/>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w:t>
            </w:r>
            <w:r>
              <w:rPr>
                <w:rFonts w:ascii="Times New Roman;Times;Serif" w:hAnsi="Times New Roman;Times;Serif"/>
                <w:b w:val="false"/>
                <w:i w:val="false"/>
                <w:caps w:val="false"/>
                <w:smallCaps w:val="false"/>
                <w:sz w:val="20"/>
              </w:rPr>
              <w:t xml:space="preserve"> Definitions</w:t>
            </w:r>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8110" w:type="dxa"/>
            <w:gridSpan w:val="3"/>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w:t>
            </w:r>
          </w:p>
        </w:tc>
        <w:tc>
          <w:tcPr>
            <w:tcW w:w="6995" w:type="dxa"/>
            <w:tcBorders/>
            <w:shd w:fill="CCEE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Definitions</w:t>
            </w:r>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w:t>
            </w:r>
          </w:p>
        </w:tc>
        <w:tc>
          <w:tcPr>
            <w:tcW w:w="6995"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References to Interest</w:t>
            </w:r>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99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8110" w:type="dxa"/>
            <w:gridSpan w:val="3"/>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2</w:t>
            </w:r>
            <w:r>
              <w:rPr>
                <w:rFonts w:ascii="Times New Roman;Times;Serif" w:hAnsi="Times New Roman;Times;Serif"/>
                <w:b w:val="false"/>
                <w:i w:val="false"/>
                <w:caps w:val="false"/>
                <w:smallCaps w:val="false"/>
                <w:sz w:val="20"/>
              </w:rPr>
              <w:t xml:space="preserve"> Issue, Description, Execution, Registration and Exchange of Notes</w:t>
            </w:r>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8110" w:type="dxa"/>
            <w:gridSpan w:val="3"/>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w:t>
            </w:r>
          </w:p>
        </w:tc>
        <w:tc>
          <w:tcPr>
            <w:tcW w:w="6995"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Designation and Amount</w:t>
            </w:r>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w:t>
            </w:r>
          </w:p>
        </w:tc>
        <w:tc>
          <w:tcPr>
            <w:tcW w:w="6995" w:type="dxa"/>
            <w:tcBorders/>
            <w:shd w:fill="CCEE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 of Notes</w:t>
            </w:r>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w:t>
            </w:r>
          </w:p>
        </w:tc>
        <w:tc>
          <w:tcPr>
            <w:tcW w:w="6995"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Date and Denomination of Notes; Payments of Interest and Defaulted Amounts</w:t>
            </w:r>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w:t>
            </w:r>
          </w:p>
        </w:tc>
        <w:tc>
          <w:tcPr>
            <w:tcW w:w="6995" w:type="dxa"/>
            <w:tcBorders/>
            <w:shd w:fill="CCEE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Execution, Authentication and Delivery of Notes</w:t>
            </w:r>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w:t>
            </w:r>
          </w:p>
        </w:tc>
        <w:tc>
          <w:tcPr>
            <w:tcW w:w="6995"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 and Registration of Transfer of Notes; Restrictions on Transfer; Depositary</w:t>
            </w:r>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w:t>
            </w:r>
          </w:p>
        </w:tc>
        <w:tc>
          <w:tcPr>
            <w:tcW w:w="6995" w:type="dxa"/>
            <w:tcBorders/>
            <w:shd w:fill="CCEE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Mutilated, Destroyed, Lost or Stolen Notes</w:t>
            </w:r>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w:t>
            </w:r>
          </w:p>
        </w:tc>
        <w:tc>
          <w:tcPr>
            <w:tcW w:w="6995"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Temporary Notes</w:t>
            </w:r>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w:t>
            </w:r>
          </w:p>
        </w:tc>
        <w:tc>
          <w:tcPr>
            <w:tcW w:w="69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Cancellation of Notes Paid, Converted, Etc</w:t>
            </w:r>
            <w:r>
              <w:rPr>
                <w:rFonts w:ascii="Times New Roman;Times;Serif" w:hAnsi="Times New Roman;Times;Serif"/>
                <w:b w:val="false"/>
                <w:i w:val="false"/>
                <w:caps w:val="false"/>
                <w:smallCaps w:val="false"/>
                <w:sz w:val="20"/>
              </w:rPr>
              <w:t>.</w:t>
            </w:r>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w:t>
            </w:r>
          </w:p>
        </w:tc>
        <w:tc>
          <w:tcPr>
            <w:tcW w:w="6995"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CUSIP Numbers</w:t>
            </w:r>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w:t>
            </w:r>
          </w:p>
        </w:tc>
        <w:tc>
          <w:tcPr>
            <w:tcW w:w="6995" w:type="dxa"/>
            <w:tcBorders/>
            <w:shd w:fill="CCEE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Additional Notes; Repurchases</w:t>
            </w:r>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110" w:type="dxa"/>
            <w:gridSpan w:val="3"/>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3</w:t>
            </w:r>
            <w:r>
              <w:rPr>
                <w:rFonts w:ascii="Times New Roman;Times;Serif" w:hAnsi="Times New Roman;Times;Serif"/>
                <w:b w:val="false"/>
                <w:i w:val="false"/>
                <w:caps w:val="false"/>
                <w:smallCaps w:val="false"/>
                <w:sz w:val="20"/>
              </w:rPr>
              <w:t xml:space="preserve"> Satisfaction and Discharge</w:t>
            </w:r>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8110" w:type="dxa"/>
            <w:gridSpan w:val="3"/>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w:t>
            </w:r>
          </w:p>
        </w:tc>
        <w:tc>
          <w:tcPr>
            <w:tcW w:w="6995" w:type="dxa"/>
            <w:tcBorders/>
            <w:shd w:fill="CCEE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Satisfaction and Discharge</w:t>
            </w:r>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110" w:type="dxa"/>
            <w:gridSpan w:val="3"/>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4</w:t>
            </w:r>
            <w:r>
              <w:rPr>
                <w:rFonts w:ascii="Times New Roman;Times;Serif" w:hAnsi="Times New Roman;Times;Serif"/>
                <w:b w:val="false"/>
                <w:i w:val="false"/>
                <w:caps w:val="false"/>
                <w:smallCaps w:val="false"/>
                <w:sz w:val="20"/>
              </w:rPr>
              <w:t xml:space="preserve"> Particular Covenants of the Company</w:t>
            </w:r>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8110" w:type="dxa"/>
            <w:gridSpan w:val="3"/>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w:t>
            </w:r>
          </w:p>
        </w:tc>
        <w:tc>
          <w:tcPr>
            <w:tcW w:w="6995" w:type="dxa"/>
            <w:tcBorders/>
            <w:shd w:fill="CCEE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Payment of Principal and Interest</w:t>
            </w:r>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w:t>
            </w:r>
          </w:p>
        </w:tc>
        <w:tc>
          <w:tcPr>
            <w:tcW w:w="6995"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Maintenance of Office or Agency</w:t>
            </w:r>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w:t>
            </w:r>
          </w:p>
        </w:tc>
        <w:tc>
          <w:tcPr>
            <w:tcW w:w="6995" w:type="dxa"/>
            <w:tcBorders/>
            <w:shd w:fill="CCEE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Appointments to Fill Vacancies in Trustee’s Office</w:t>
            </w:r>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w:t>
            </w:r>
          </w:p>
        </w:tc>
        <w:tc>
          <w:tcPr>
            <w:tcW w:w="6995"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Provisions as to Paying Agent</w:t>
            </w:r>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4.05</w:t>
            </w:r>
          </w:p>
        </w:tc>
        <w:tc>
          <w:tcPr>
            <w:tcW w:w="6995" w:type="dxa"/>
            <w:tcBorders/>
            <w:shd w:fill="CCEE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Existence</w:t>
            </w:r>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4.06</w:t>
            </w:r>
          </w:p>
        </w:tc>
        <w:tc>
          <w:tcPr>
            <w:tcW w:w="6995"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Rule 144A Information Requirement and Annual Reports</w:t>
            </w:r>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4.07</w:t>
            </w:r>
          </w:p>
        </w:tc>
        <w:tc>
          <w:tcPr>
            <w:tcW w:w="6995" w:type="dxa"/>
            <w:tcBorders/>
            <w:shd w:fill="CCEE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Stay, Extension and Usury Laws</w:t>
            </w:r>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4.08</w:t>
            </w:r>
          </w:p>
        </w:tc>
        <w:tc>
          <w:tcPr>
            <w:tcW w:w="6995"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Compliance Certificate; Statements as to Defaults</w:t>
            </w:r>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4.09</w:t>
            </w:r>
          </w:p>
        </w:tc>
        <w:tc>
          <w:tcPr>
            <w:tcW w:w="6995" w:type="dxa"/>
            <w:tcBorders/>
            <w:shd w:fill="CCEE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Further Instruments and Acts</w:t>
            </w:r>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4.10</w:t>
            </w:r>
          </w:p>
        </w:tc>
        <w:tc>
          <w:tcPr>
            <w:tcW w:w="69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Additional Amounts</w:t>
            </w:r>
            <w:r>
              <w:rPr>
                <w:rFonts w:ascii="Times New Roman;Times;Serif" w:hAnsi="Times New Roman;Times;Serif"/>
                <w:b w:val="false"/>
                <w:i w:val="false"/>
                <w:caps w:val="false"/>
                <w:smallCaps w:val="false"/>
                <w:sz w:val="20"/>
              </w:rPr>
              <w:t>.</w:t>
            </w:r>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99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8110" w:type="dxa"/>
            <w:gridSpan w:val="3"/>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5</w:t>
            </w:r>
            <w:r>
              <w:rPr>
                <w:rFonts w:ascii="Times New Roman;Times;Serif" w:hAnsi="Times New Roman;Times;Serif"/>
                <w:b w:val="false"/>
                <w:i w:val="false"/>
                <w:caps w:val="false"/>
                <w:smallCaps w:val="false"/>
                <w:sz w:val="20"/>
              </w:rPr>
              <w:t xml:space="preserve"> Lists of Holders and Reports by the Company and the Trustee</w:t>
            </w:r>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8110" w:type="dxa"/>
            <w:gridSpan w:val="3"/>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w:t>
            </w:r>
          </w:p>
        </w:tc>
        <w:tc>
          <w:tcPr>
            <w:tcW w:w="6995"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Lists of Holders</w:t>
            </w:r>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w:t>
            </w:r>
          </w:p>
        </w:tc>
        <w:tc>
          <w:tcPr>
            <w:tcW w:w="6995" w:type="dxa"/>
            <w:tcBorders/>
            <w:shd w:fill="CCEE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Preservation and Disclosure of Lists</w:t>
            </w:r>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99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110" w:type="dxa"/>
            <w:gridSpan w:val="3"/>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6</w:t>
            </w:r>
            <w:r>
              <w:rPr>
                <w:rFonts w:ascii="Times New Roman;Times;Serif" w:hAnsi="Times New Roman;Times;Serif"/>
                <w:b w:val="false"/>
                <w:i w:val="false"/>
                <w:caps w:val="false"/>
                <w:smallCaps w:val="false"/>
                <w:sz w:val="20"/>
              </w:rPr>
              <w:t xml:space="preserve"> Defaults and Remedies</w:t>
            </w:r>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8110" w:type="dxa"/>
            <w:gridSpan w:val="3"/>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w:t>
            </w:r>
          </w:p>
        </w:tc>
        <w:tc>
          <w:tcPr>
            <w:tcW w:w="6995" w:type="dxa"/>
            <w:tcBorders/>
            <w:shd w:fill="CCEE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Events of Default</w:t>
            </w:r>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w:t>
            </w:r>
          </w:p>
        </w:tc>
        <w:tc>
          <w:tcPr>
            <w:tcW w:w="6995"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Acceleration; Rescission and Annulment</w:t>
            </w:r>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w:t>
            </w:r>
          </w:p>
        </w:tc>
        <w:tc>
          <w:tcPr>
            <w:tcW w:w="6995" w:type="dxa"/>
            <w:tcBorders/>
            <w:shd w:fill="CCEE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Additional Interest</w:t>
            </w:r>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6.04</w:t>
            </w:r>
          </w:p>
        </w:tc>
        <w:tc>
          <w:tcPr>
            <w:tcW w:w="6995"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Payments of Notes on Default; Suit Therefor</w:t>
            </w:r>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both"/>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tbl>
      <w:tblPr>
        <w:tblW w:w="9720" w:type="dxa"/>
        <w:jc w:val="left"/>
        <w:tblInd w:w="0" w:type="dxa"/>
        <w:tblLayout w:type="fixed"/>
        <w:tblCellMar>
          <w:top w:w="0" w:type="dxa"/>
          <w:left w:w="0" w:type="dxa"/>
          <w:bottom w:w="0" w:type="dxa"/>
          <w:right w:w="0" w:type="dxa"/>
        </w:tblCellMar>
      </w:tblPr>
      <w:tblGrid>
        <w:gridCol w:w="75"/>
        <w:gridCol w:w="1145"/>
        <w:gridCol w:w="8255"/>
        <w:gridCol w:w="245"/>
      </w:tblGrid>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6.05</w:t>
            </w:r>
          </w:p>
        </w:tc>
        <w:tc>
          <w:tcPr>
            <w:tcW w:w="8255" w:type="dxa"/>
            <w:tcBorders/>
            <w:shd w:fill="CCEE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Application of Monies Collected by Trustee</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6.06</w:t>
            </w:r>
          </w:p>
        </w:tc>
        <w:tc>
          <w:tcPr>
            <w:tcW w:w="8255"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Proceedings by Holders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6.07</w:t>
            </w:r>
          </w:p>
        </w:tc>
        <w:tc>
          <w:tcPr>
            <w:tcW w:w="8255" w:type="dxa"/>
            <w:tcBorders/>
            <w:shd w:fill="CCEE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Proceedings by Trustee</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6.08</w:t>
            </w:r>
          </w:p>
        </w:tc>
        <w:tc>
          <w:tcPr>
            <w:tcW w:w="8255"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Remedies Cumulative and Continuing</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6.09</w:t>
            </w:r>
          </w:p>
        </w:tc>
        <w:tc>
          <w:tcPr>
            <w:tcW w:w="8255" w:type="dxa"/>
            <w:tcBorders/>
            <w:shd w:fill="CCEE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Direction of Proceedings and Waiver of Defaults by Majority of Holders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6.10</w:t>
            </w:r>
          </w:p>
        </w:tc>
        <w:tc>
          <w:tcPr>
            <w:tcW w:w="8255"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Notice of Defaults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6.11</w:t>
            </w:r>
          </w:p>
        </w:tc>
        <w:tc>
          <w:tcPr>
            <w:tcW w:w="8255" w:type="dxa"/>
            <w:tcBorders/>
            <w:shd w:fill="CCEE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Undertaking to Pay Costs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25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475" w:type="dxa"/>
            <w:gridSpan w:val="3"/>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7</w:t>
            </w:r>
            <w:r>
              <w:rPr>
                <w:rFonts w:ascii="Times New Roman;Times;Serif" w:hAnsi="Times New Roman;Times;Serif"/>
                <w:b w:val="false"/>
                <w:i w:val="false"/>
                <w:caps w:val="false"/>
                <w:smallCaps w:val="false"/>
                <w:sz w:val="20"/>
              </w:rPr>
              <w:t xml:space="preserve"> Concerning the Trustee</w:t>
            </w:r>
            <w:r>
              <w:rPr>
                <w:rFonts w:ascii="Times New Roman;Times;Serif" w:hAnsi="Times New Roman;Times;Serif"/>
                <w:b w:val="false"/>
                <w:i/>
                <w:caps w:val="false"/>
                <w:smallCaps w:val="false"/>
                <w:sz w:val="20"/>
              </w:rPr>
              <w:t>.</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25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w:t>
            </w:r>
          </w:p>
        </w:tc>
        <w:tc>
          <w:tcPr>
            <w:tcW w:w="8255" w:type="dxa"/>
            <w:tcBorders/>
            <w:shd w:fill="CCEE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Duties and Responsibilities of Trustee</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7.02</w:t>
            </w:r>
          </w:p>
        </w:tc>
        <w:tc>
          <w:tcPr>
            <w:tcW w:w="8255"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Reliance on Documents, Opinions, Etc.</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7.03</w:t>
            </w:r>
          </w:p>
        </w:tc>
        <w:tc>
          <w:tcPr>
            <w:tcW w:w="8255" w:type="dxa"/>
            <w:tcBorders/>
            <w:shd w:fill="CCEE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 Responsibility for Recitals, Etc.</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7.04</w:t>
            </w:r>
          </w:p>
        </w:tc>
        <w:tc>
          <w:tcPr>
            <w:tcW w:w="8255"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Trustee, Paying Agents, Conversion Agents, Bid Solicitation Agent or Note Registrar May Own Notes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7.05</w:t>
            </w:r>
          </w:p>
        </w:tc>
        <w:tc>
          <w:tcPr>
            <w:tcW w:w="8255" w:type="dxa"/>
            <w:tcBorders/>
            <w:shd w:fill="CCEE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Monies and Ordinary Shares to Be Held in Trust</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7.06</w:t>
            </w:r>
          </w:p>
        </w:tc>
        <w:tc>
          <w:tcPr>
            <w:tcW w:w="8255"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and Expenses of Trustee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7.07</w:t>
            </w:r>
          </w:p>
        </w:tc>
        <w:tc>
          <w:tcPr>
            <w:tcW w:w="8255" w:type="dxa"/>
            <w:tcBorders/>
            <w:shd w:fill="CCEE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Officer’s Certificate as Evidence</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7.08</w:t>
            </w:r>
          </w:p>
        </w:tc>
        <w:tc>
          <w:tcPr>
            <w:tcW w:w="8255"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Eligibility of Trustee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7.09</w:t>
            </w:r>
          </w:p>
        </w:tc>
        <w:tc>
          <w:tcPr>
            <w:tcW w:w="8255" w:type="dxa"/>
            <w:tcBorders/>
            <w:shd w:fill="CCEE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Resignation or Removal of Trustee</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7.10</w:t>
            </w:r>
          </w:p>
        </w:tc>
        <w:tc>
          <w:tcPr>
            <w:tcW w:w="8255"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Acceptance by Successor Trustee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7.11</w:t>
            </w:r>
          </w:p>
        </w:tc>
        <w:tc>
          <w:tcPr>
            <w:tcW w:w="8255" w:type="dxa"/>
            <w:tcBorders/>
            <w:shd w:fill="CCEE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Succession by Merger, Etc.</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7.12</w:t>
            </w:r>
          </w:p>
        </w:tc>
        <w:tc>
          <w:tcPr>
            <w:tcW w:w="8255"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Trustee’s Application for Instructions from the Company</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25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475" w:type="dxa"/>
            <w:gridSpan w:val="3"/>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8</w:t>
            </w:r>
            <w:r>
              <w:rPr>
                <w:rFonts w:ascii="Times New Roman;Times;Serif" w:hAnsi="Times New Roman;Times;Serif"/>
                <w:b w:val="false"/>
                <w:i w:val="false"/>
                <w:caps w:val="false"/>
                <w:smallCaps w:val="false"/>
                <w:sz w:val="20"/>
              </w:rPr>
              <w:t xml:space="preserve"> Concerning the Holders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25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w:t>
            </w:r>
          </w:p>
        </w:tc>
        <w:tc>
          <w:tcPr>
            <w:tcW w:w="8255"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Action by Holders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w:t>
            </w:r>
          </w:p>
        </w:tc>
        <w:tc>
          <w:tcPr>
            <w:tcW w:w="8255" w:type="dxa"/>
            <w:tcBorders/>
            <w:shd w:fill="CCEE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Proof of Execution by Holders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8.03</w:t>
            </w:r>
          </w:p>
        </w:tc>
        <w:tc>
          <w:tcPr>
            <w:tcW w:w="8255"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Who Are Deemed Absolute Owners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8.04</w:t>
            </w:r>
          </w:p>
        </w:tc>
        <w:tc>
          <w:tcPr>
            <w:tcW w:w="8255" w:type="dxa"/>
            <w:tcBorders/>
            <w:shd w:fill="CCEE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Company-Owned Notes Disregarded</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8.05</w:t>
            </w:r>
          </w:p>
        </w:tc>
        <w:tc>
          <w:tcPr>
            <w:tcW w:w="8255"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Revocation of Consents; Future Holders Bound</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25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475" w:type="dxa"/>
            <w:gridSpan w:val="3"/>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9</w:t>
            </w:r>
            <w:r>
              <w:rPr>
                <w:rFonts w:ascii="Times New Roman;Times;Serif" w:hAnsi="Times New Roman;Times;Serif"/>
                <w:b w:val="false"/>
                <w:i w:val="false"/>
                <w:caps w:val="false"/>
                <w:smallCaps w:val="false"/>
                <w:sz w:val="20"/>
              </w:rPr>
              <w:t xml:space="preserve"> Holders’ Meetings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25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w:t>
            </w:r>
          </w:p>
        </w:tc>
        <w:tc>
          <w:tcPr>
            <w:tcW w:w="8255"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Purpose of Meetings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w:t>
            </w:r>
          </w:p>
        </w:tc>
        <w:tc>
          <w:tcPr>
            <w:tcW w:w="8255" w:type="dxa"/>
            <w:tcBorders/>
            <w:shd w:fill="CCEE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Call of Meetings by Trustee</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9.03</w:t>
            </w:r>
          </w:p>
        </w:tc>
        <w:tc>
          <w:tcPr>
            <w:tcW w:w="8255"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Call of Meetings by Company or Holders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9.04</w:t>
            </w:r>
          </w:p>
        </w:tc>
        <w:tc>
          <w:tcPr>
            <w:tcW w:w="8255" w:type="dxa"/>
            <w:tcBorders/>
            <w:shd w:fill="CCEE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Qualifications for Voting</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9.05</w:t>
            </w:r>
          </w:p>
        </w:tc>
        <w:tc>
          <w:tcPr>
            <w:tcW w:w="8255"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Regulations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9.06</w:t>
            </w:r>
          </w:p>
        </w:tc>
        <w:tc>
          <w:tcPr>
            <w:tcW w:w="8255" w:type="dxa"/>
            <w:tcBorders/>
            <w:shd w:fill="CCEE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9.07</w:t>
            </w:r>
          </w:p>
        </w:tc>
        <w:tc>
          <w:tcPr>
            <w:tcW w:w="8255"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 Delay of Rights by Meeting</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25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475" w:type="dxa"/>
            <w:gridSpan w:val="3"/>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10</w:t>
            </w:r>
            <w:r>
              <w:rPr>
                <w:rFonts w:ascii="Times New Roman;Times;Serif" w:hAnsi="Times New Roman;Times;Serif"/>
                <w:b w:val="false"/>
                <w:i w:val="false"/>
                <w:caps w:val="false"/>
                <w:smallCaps w:val="false"/>
                <w:sz w:val="20"/>
              </w:rPr>
              <w:t xml:space="preserve"> Supplemental Indentures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25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10.01</w:t>
            </w:r>
          </w:p>
        </w:tc>
        <w:tc>
          <w:tcPr>
            <w:tcW w:w="8255"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Amendments or Supplemental Indentures Without Consent of Holders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both"/>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tbl>
      <w:tblPr>
        <w:tblW w:w="10155" w:type="dxa"/>
        <w:jc w:val="left"/>
        <w:tblInd w:w="0" w:type="dxa"/>
        <w:tblLayout w:type="fixed"/>
        <w:tblCellMar>
          <w:top w:w="0" w:type="dxa"/>
          <w:left w:w="0" w:type="dxa"/>
          <w:bottom w:w="0" w:type="dxa"/>
          <w:right w:w="0" w:type="dxa"/>
        </w:tblCellMar>
      </w:tblPr>
      <w:tblGrid>
        <w:gridCol w:w="75"/>
        <w:gridCol w:w="1145"/>
        <w:gridCol w:w="8690"/>
        <w:gridCol w:w="245"/>
      </w:tblGrid>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10.02</w:t>
            </w:r>
          </w:p>
        </w:tc>
        <w:tc>
          <w:tcPr>
            <w:tcW w:w="8690" w:type="dxa"/>
            <w:tcBorders/>
            <w:shd w:fill="CCEE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Amendments or Supplemental Indentures with Consent of Holders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10.03</w:t>
            </w:r>
          </w:p>
        </w:tc>
        <w:tc>
          <w:tcPr>
            <w:tcW w:w="8690"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Effect of Supplemental Indentures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10.04</w:t>
            </w:r>
          </w:p>
        </w:tc>
        <w:tc>
          <w:tcPr>
            <w:tcW w:w="8690" w:type="dxa"/>
            <w:tcBorders/>
            <w:shd w:fill="CCEE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Notation on Notes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10.05</w:t>
            </w:r>
          </w:p>
        </w:tc>
        <w:tc>
          <w:tcPr>
            <w:tcW w:w="8690"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Evidence of Compliance of Supplemental Indenture to Be Furnished to Trustee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86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910" w:type="dxa"/>
            <w:gridSpan w:val="3"/>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11</w:t>
            </w:r>
            <w:r>
              <w:rPr>
                <w:rFonts w:ascii="Times New Roman;Times;Serif" w:hAnsi="Times New Roman;Times;Serif"/>
                <w:b w:val="false"/>
                <w:i w:val="false"/>
                <w:caps w:val="false"/>
                <w:smallCaps w:val="false"/>
                <w:sz w:val="20"/>
              </w:rPr>
              <w:t xml:space="preserve"> Consolidation, Merger and Sale of Assets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9910" w:type="dxa"/>
            <w:gridSpan w:val="3"/>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11.01</w:t>
            </w:r>
          </w:p>
        </w:tc>
        <w:tc>
          <w:tcPr>
            <w:tcW w:w="8690"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When Company May Merge, Etc.</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11.02</w:t>
            </w:r>
          </w:p>
        </w:tc>
        <w:tc>
          <w:tcPr>
            <w:tcW w:w="8690" w:type="dxa"/>
            <w:tcBorders/>
            <w:shd w:fill="CCEE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Successor Entity to Be Substituted</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6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10" w:type="dxa"/>
            <w:gridSpan w:val="3"/>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12</w:t>
            </w:r>
            <w:r>
              <w:rPr>
                <w:rFonts w:ascii="Times New Roman;Times;Serif" w:hAnsi="Times New Roman;Times;Serif"/>
                <w:b w:val="false"/>
                <w:i w:val="false"/>
                <w:caps w:val="false"/>
                <w:smallCaps w:val="false"/>
                <w:sz w:val="20"/>
              </w:rPr>
              <w:t xml:space="preserve"> Immunity of Incorporators, Shareholders, Officers and Directors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9910" w:type="dxa"/>
            <w:gridSpan w:val="3"/>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12.01</w:t>
            </w:r>
          </w:p>
        </w:tc>
        <w:tc>
          <w:tcPr>
            <w:tcW w:w="8690" w:type="dxa"/>
            <w:tcBorders/>
            <w:shd w:fill="CCEE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Indenture and Notes Solely Corporate Obligations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6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10" w:type="dxa"/>
            <w:gridSpan w:val="3"/>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13</w:t>
            </w:r>
            <w:r>
              <w:rPr>
                <w:rFonts w:ascii="Times New Roman;Times;Serif" w:hAnsi="Times New Roman;Times;Serif"/>
                <w:b w:val="false"/>
                <w:i w:val="false"/>
                <w:caps w:val="false"/>
                <w:smallCaps w:val="false"/>
                <w:sz w:val="20"/>
              </w:rPr>
              <w:t xml:space="preserve"> [Intentionally Omitted]</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9910" w:type="dxa"/>
            <w:gridSpan w:val="3"/>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10" w:type="dxa"/>
            <w:gridSpan w:val="3"/>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14</w:t>
            </w:r>
            <w:r>
              <w:rPr>
                <w:rFonts w:ascii="Times New Roman;Times;Serif" w:hAnsi="Times New Roman;Times;Serif"/>
                <w:b w:val="false"/>
                <w:i w:val="false"/>
                <w:caps w:val="false"/>
                <w:smallCaps w:val="false"/>
                <w:sz w:val="20"/>
              </w:rPr>
              <w:t xml:space="preserve"> Conversion of Notes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9910" w:type="dxa"/>
            <w:gridSpan w:val="3"/>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14.01</w:t>
            </w:r>
          </w:p>
        </w:tc>
        <w:tc>
          <w:tcPr>
            <w:tcW w:w="8690" w:type="dxa"/>
            <w:tcBorders/>
            <w:shd w:fill="CCEE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Privilege</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14.02</w:t>
            </w:r>
          </w:p>
        </w:tc>
        <w:tc>
          <w:tcPr>
            <w:tcW w:w="8690"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Procedure; Settlement Upon Conversion</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14.03</w:t>
            </w:r>
          </w:p>
        </w:tc>
        <w:tc>
          <w:tcPr>
            <w:tcW w:w="8690" w:type="dxa"/>
            <w:tcBorders/>
            <w:shd w:fill="CCEE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Adjustment to Conversion Rate Upon Conversion Upon a Make-Whole Fundamental Change</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14.04</w:t>
            </w:r>
          </w:p>
        </w:tc>
        <w:tc>
          <w:tcPr>
            <w:tcW w:w="8690"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Adjustment to Conversion Rate upon Conversion in Connection with a Redemption</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14.05</w:t>
            </w:r>
          </w:p>
        </w:tc>
        <w:tc>
          <w:tcPr>
            <w:tcW w:w="8690" w:type="dxa"/>
            <w:tcBorders/>
            <w:shd w:fill="CCEE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Adjustment of Conversion Rate</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14.06</w:t>
            </w:r>
          </w:p>
        </w:tc>
        <w:tc>
          <w:tcPr>
            <w:tcW w:w="8690"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Adjustments of Prices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14.07</w:t>
            </w:r>
          </w:p>
        </w:tc>
        <w:tc>
          <w:tcPr>
            <w:tcW w:w="8690" w:type="dxa"/>
            <w:tcBorders/>
            <w:shd w:fill="CCEE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Shares To Be Fully Paid</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14.08</w:t>
            </w:r>
          </w:p>
        </w:tc>
        <w:tc>
          <w:tcPr>
            <w:tcW w:w="8690"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Effect of Recapitalizations, Reclassifications and Changes of the Class A Ordinary Shares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14.09</w:t>
            </w:r>
          </w:p>
        </w:tc>
        <w:tc>
          <w:tcPr>
            <w:tcW w:w="8690" w:type="dxa"/>
            <w:tcBorders/>
            <w:shd w:fill="CCEE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Certain Covenants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14.10</w:t>
            </w:r>
          </w:p>
        </w:tc>
        <w:tc>
          <w:tcPr>
            <w:tcW w:w="8690"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Responsibility of Trustee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14.11</w:t>
            </w:r>
          </w:p>
        </w:tc>
        <w:tc>
          <w:tcPr>
            <w:tcW w:w="8690" w:type="dxa"/>
            <w:tcBorders/>
            <w:shd w:fill="CCEE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[Intentionally Omitted]</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14.12</w:t>
            </w:r>
          </w:p>
        </w:tc>
        <w:tc>
          <w:tcPr>
            <w:tcW w:w="8690"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Shareholder Rights Plans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14.13</w:t>
            </w:r>
          </w:p>
        </w:tc>
        <w:tc>
          <w:tcPr>
            <w:tcW w:w="8690" w:type="dxa"/>
            <w:tcBorders/>
            <w:shd w:fill="CCEE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 in Lieu of Conversion</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6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910" w:type="dxa"/>
            <w:gridSpan w:val="3"/>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15</w:t>
            </w:r>
            <w:r>
              <w:rPr>
                <w:rFonts w:ascii="Times New Roman;Times;Serif" w:hAnsi="Times New Roman;Times;Serif"/>
                <w:b w:val="false"/>
                <w:i w:val="false"/>
                <w:caps w:val="false"/>
                <w:smallCaps w:val="false"/>
                <w:sz w:val="20"/>
              </w:rPr>
              <w:t xml:space="preserve"> Repurchase of Notes at Option of Holders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r>
      <w:tr>
        <w:trPr/>
        <w:tc>
          <w:tcPr>
            <w:tcW w:w="9910" w:type="dxa"/>
            <w:gridSpan w:val="3"/>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15.01</w:t>
            </w:r>
          </w:p>
        </w:tc>
        <w:tc>
          <w:tcPr>
            <w:tcW w:w="8690" w:type="dxa"/>
            <w:tcBorders/>
            <w:shd w:fill="CCEE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Repurchase at Option of Holders on March 6, 2030</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15.02</w:t>
            </w:r>
          </w:p>
        </w:tc>
        <w:tc>
          <w:tcPr>
            <w:tcW w:w="8690"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Repurchase at Option of Holders Upon a Fundamental Change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15.03</w:t>
            </w:r>
          </w:p>
        </w:tc>
        <w:tc>
          <w:tcPr>
            <w:tcW w:w="8690" w:type="dxa"/>
            <w:tcBorders/>
            <w:shd w:fill="CCEE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Withdrawal of Fundamental Change Repurchase Notice or Specified Repurchase Date Repurchase Notice</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15.04</w:t>
            </w:r>
          </w:p>
        </w:tc>
        <w:tc>
          <w:tcPr>
            <w:tcW w:w="8690"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Deposit of Fundamental Change Repurchase Price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15.05</w:t>
            </w:r>
          </w:p>
        </w:tc>
        <w:tc>
          <w:tcPr>
            <w:tcW w:w="8690" w:type="dxa"/>
            <w:tcBorders/>
            <w:shd w:fill="CCEE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Covenant to Comply with Applicable Laws Upon Repurchase of Notes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both"/>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tbl>
      <w:tblPr>
        <w:tblW w:w="9825" w:type="dxa"/>
        <w:jc w:val="left"/>
        <w:tblInd w:w="0" w:type="dxa"/>
        <w:tblLayout w:type="fixed"/>
        <w:tblCellMar>
          <w:top w:w="0" w:type="dxa"/>
          <w:left w:w="0" w:type="dxa"/>
          <w:bottom w:w="0" w:type="dxa"/>
          <w:right w:w="0" w:type="dxa"/>
        </w:tblCellMar>
      </w:tblPr>
      <w:tblGrid>
        <w:gridCol w:w="75"/>
        <w:gridCol w:w="1145"/>
        <w:gridCol w:w="8255"/>
        <w:gridCol w:w="350"/>
      </w:tblGrid>
      <w:tr>
        <w:trPr/>
        <w:tc>
          <w:tcPr>
            <w:tcW w:w="9475" w:type="dxa"/>
            <w:gridSpan w:val="3"/>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16</w:t>
            </w:r>
            <w:r>
              <w:rPr>
                <w:rFonts w:ascii="Times New Roman;Times;Serif" w:hAnsi="Times New Roman;Times;Serif"/>
                <w:b w:val="false"/>
                <w:i w:val="false"/>
                <w:caps w:val="false"/>
                <w:smallCaps w:val="false"/>
                <w:sz w:val="20"/>
              </w:rPr>
              <w:t xml:space="preserve"> Optional Redemption, Cleanup Redemption and Tax Redemption</w:t>
            </w:r>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r>
      <w:tr>
        <w:trPr/>
        <w:tc>
          <w:tcPr>
            <w:tcW w:w="9475" w:type="dxa"/>
            <w:gridSpan w:val="3"/>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16.01</w:t>
            </w:r>
          </w:p>
        </w:tc>
        <w:tc>
          <w:tcPr>
            <w:tcW w:w="8255" w:type="dxa"/>
            <w:tcBorders/>
            <w:shd w:fill="CCEE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Optional Redemption</w:t>
            </w:r>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16.02</w:t>
            </w:r>
          </w:p>
        </w:tc>
        <w:tc>
          <w:tcPr>
            <w:tcW w:w="8255"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Cleanup Redemption</w:t>
            </w:r>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16.03</w:t>
            </w:r>
          </w:p>
        </w:tc>
        <w:tc>
          <w:tcPr>
            <w:tcW w:w="8255" w:type="dxa"/>
            <w:tcBorders/>
            <w:shd w:fill="CCEE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 Redemption</w:t>
            </w:r>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16.04</w:t>
            </w:r>
          </w:p>
        </w:tc>
        <w:tc>
          <w:tcPr>
            <w:tcW w:w="8255"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Payment of Notes Called for Redemption</w:t>
            </w:r>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16.05</w:t>
            </w:r>
          </w:p>
        </w:tc>
        <w:tc>
          <w:tcPr>
            <w:tcW w:w="8255" w:type="dxa"/>
            <w:tcBorders/>
            <w:shd w:fill="CCEE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Restrictions on Redemption</w:t>
            </w:r>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825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475" w:type="dxa"/>
            <w:gridSpan w:val="3"/>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17</w:t>
            </w:r>
            <w:r>
              <w:rPr>
                <w:rFonts w:ascii="Times New Roman;Times;Serif" w:hAnsi="Times New Roman;Times;Serif"/>
                <w:b w:val="false"/>
                <w:i w:val="false"/>
                <w:caps w:val="false"/>
                <w:smallCaps w:val="false"/>
                <w:sz w:val="20"/>
              </w:rPr>
              <w:t xml:space="preserve"> Miscellaneous Provisions</w:t>
            </w:r>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r>
      <w:tr>
        <w:trPr/>
        <w:tc>
          <w:tcPr>
            <w:tcW w:w="9475" w:type="dxa"/>
            <w:gridSpan w:val="3"/>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17.01</w:t>
            </w:r>
          </w:p>
        </w:tc>
        <w:tc>
          <w:tcPr>
            <w:tcW w:w="8255" w:type="dxa"/>
            <w:tcBorders/>
            <w:shd w:fill="CCEE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Governing Law; Jurisdiction</w:t>
            </w:r>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17.02</w:t>
            </w:r>
          </w:p>
        </w:tc>
        <w:tc>
          <w:tcPr>
            <w:tcW w:w="8255"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Waiver of Jury Trial</w:t>
            </w:r>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17.03</w:t>
            </w:r>
          </w:p>
        </w:tc>
        <w:tc>
          <w:tcPr>
            <w:tcW w:w="825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Addresses for Notices, Etc</w:t>
            </w:r>
            <w:r>
              <w:rPr>
                <w:rFonts w:ascii="Times New Roman;Times;Serif" w:hAnsi="Times New Roman;Times;Serif"/>
                <w:b w:val="false"/>
                <w:i w:val="false"/>
                <w:caps w:val="false"/>
                <w:smallCaps w:val="false"/>
                <w:sz w:val="20"/>
              </w:rPr>
              <w:t>.</w:t>
            </w:r>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17.04</w:t>
            </w:r>
          </w:p>
        </w:tc>
        <w:tc>
          <w:tcPr>
            <w:tcW w:w="8255"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Provisions Binding on Company’s Successors; Official Acts by Successor Entity</w:t>
            </w:r>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17.05</w:t>
            </w:r>
          </w:p>
        </w:tc>
        <w:tc>
          <w:tcPr>
            <w:tcW w:w="8255" w:type="dxa"/>
            <w:tcBorders/>
            <w:shd w:fill="CCEE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Evidence of Compliance with Conditions Precedent; Certificates and Opinions of Counsel to Trustee</w:t>
            </w:r>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17.06</w:t>
            </w:r>
          </w:p>
        </w:tc>
        <w:tc>
          <w:tcPr>
            <w:tcW w:w="8255"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Holidays</w:t>
            </w:r>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17.07</w:t>
            </w:r>
          </w:p>
        </w:tc>
        <w:tc>
          <w:tcPr>
            <w:tcW w:w="8255" w:type="dxa"/>
            <w:tcBorders/>
            <w:shd w:fill="CCEE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 Security Interest Created</w:t>
            </w:r>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17.08</w:t>
            </w:r>
          </w:p>
        </w:tc>
        <w:tc>
          <w:tcPr>
            <w:tcW w:w="8255"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Benefits of Indenture</w:t>
            </w:r>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17.09</w:t>
            </w:r>
          </w:p>
        </w:tc>
        <w:tc>
          <w:tcPr>
            <w:tcW w:w="8255" w:type="dxa"/>
            <w:tcBorders/>
            <w:shd w:fill="CCEE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Table of Contents, Headings, Etc</w:t>
            </w:r>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17.10</w:t>
            </w:r>
          </w:p>
        </w:tc>
        <w:tc>
          <w:tcPr>
            <w:tcW w:w="8255"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Authenticating Agent</w:t>
            </w:r>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17.11</w:t>
            </w:r>
          </w:p>
        </w:tc>
        <w:tc>
          <w:tcPr>
            <w:tcW w:w="8255" w:type="dxa"/>
            <w:tcBorders/>
            <w:shd w:fill="CCEE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Multiple Originals</w:t>
            </w:r>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17.12</w:t>
            </w:r>
          </w:p>
        </w:tc>
        <w:tc>
          <w:tcPr>
            <w:tcW w:w="8255"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Severability</w:t>
            </w:r>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17.13</w:t>
            </w:r>
          </w:p>
        </w:tc>
        <w:tc>
          <w:tcPr>
            <w:tcW w:w="8255" w:type="dxa"/>
            <w:tcBorders/>
            <w:shd w:fill="CCEE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Calculations</w:t>
            </w:r>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17.14</w:t>
            </w:r>
          </w:p>
        </w:tc>
        <w:tc>
          <w:tcPr>
            <w:tcW w:w="825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[Intentionally Omitted]</w:t>
            </w:r>
            <w:r>
              <w:rPr>
                <w:rFonts w:ascii="Times New Roman;Times;Serif" w:hAnsi="Times New Roman;Times;Serif"/>
                <w:b w:val="false"/>
                <w:i w:val="false"/>
                <w:caps w:val="false"/>
                <w:smallCaps w:val="false"/>
                <w:sz w:val="20"/>
              </w:rPr>
              <w:t>.</w:t>
            </w:r>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r>
      <w:tr>
        <w:trPr/>
        <w:tc>
          <w:tcPr>
            <w:tcW w:w="7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17.15</w:t>
            </w:r>
          </w:p>
        </w:tc>
        <w:tc>
          <w:tcPr>
            <w:tcW w:w="8255" w:type="dxa"/>
            <w:tcBorders/>
            <w:shd w:fill="CCEE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Delivery of Notices</w:t>
            </w:r>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17.16</w:t>
            </w:r>
          </w:p>
        </w:tc>
        <w:tc>
          <w:tcPr>
            <w:tcW w:w="8255" w:type="dxa"/>
            <w:tcBorders/>
            <w:shd w:fill="FFFFFF" w:val="cle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USA PATRIOT Act</w:t>
            </w:r>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r>
    </w:tbl>
    <w:p>
      <w:pPr>
        <w:pStyle w:val="TextBody"/>
        <w:bidi w:val="0"/>
        <w:spacing w:before="0" w:after="0"/>
        <w:ind w:left="2520" w:right="0" w:hanging="180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extBody"/>
        <w:bidi w:val="0"/>
        <w:spacing w:before="0" w:after="0"/>
        <w:ind w:left="0" w:right="0" w:hanging="0"/>
        <w:jc w:val="both"/>
        <w:rPr>
          <w:caps w:val="false"/>
          <w:smallCaps w:val="false"/>
        </w:rPr>
      </w:pPr>
      <w:r>
        <w:rPr>
          <w:caps w:val="false"/>
          <w:smallCaps w:val="false"/>
        </w:rPr>
        <w:t> </w:t>
      </w:r>
    </w:p>
    <w:tbl>
      <w:tblPr>
        <w:tblW w:w="2250" w:type="dxa"/>
        <w:jc w:val="left"/>
        <w:tblInd w:w="0" w:type="dxa"/>
        <w:tblLayout w:type="fixed"/>
        <w:tblCellMar>
          <w:top w:w="0" w:type="dxa"/>
          <w:left w:w="0" w:type="dxa"/>
          <w:bottom w:w="0" w:type="dxa"/>
          <w:right w:w="0" w:type="dxa"/>
        </w:tblCellMar>
      </w:tblPr>
      <w:tblGrid>
        <w:gridCol w:w="830"/>
        <w:gridCol w:w="1085"/>
        <w:gridCol w:w="335"/>
      </w:tblGrid>
      <w:tr>
        <w:trPr/>
        <w:tc>
          <w:tcPr>
            <w:tcW w:w="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tc>
        <w:tc>
          <w:tcPr>
            <w:tcW w:w="10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Note</w:t>
            </w:r>
          </w:p>
        </w:tc>
        <w:tc>
          <w:tcPr>
            <w:tcW w:w="3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both"/>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xml:space="preserve"> dated as of February 24, 2026, between BITDEER TECHNOLOGIES GROUP, an exempted company with limited liability incorporated under the laws of the Cayman Islands, as issuer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as more fully set forth in Section 1.01) and U.S. BANK TRUST COMPANY, NATIONAL ASSOCIATION, a national banking association, as trustee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as more fully set forth in Section 1.01).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I T N E S S E T 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for its lawful corporate purposes, the Company has duly authorized the issuance of its 5.00% Convertible Senior Notes due 2032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and each $1,000 principal amount thereof, unless the context otherwise requires, a “</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initially in an aggregate principal amount not to exceed $325,000,000 plus up to an additional $50,000,000 principal amount of any additional Notes purchased by the Initial Purchasers pursuant to the exercise of their option to purchase additional Notes as set forth in the Purchase Agreement, and in order to provide the terms and conditions upon which the Notes are to be authenticated, issued and delivered, the Company has duly authorized the execution and delivery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Form of Note, the certificate of authentication to be borne by each Note, the Form of Notice of Conversion, the Form of Fundamental Change Repurchase Notice, the Form of Specified Repurchase Date Repurchase Notice and the Form of Assignment and Transfer to be borne by the Notes are to be substantially in the forms hereinafter provided;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acts and things necessary to make the Notes, when executed by the Company and authenticated and delivered by the Trustee or a duly authorized authenticating agent, as in this Indenture provided, the valid, binding and legal obligations of the Company, and this Indenture a valid agreement according to its terms, have been done and performed, and the execution of this Indenture and the issuance hereunder of the Notes have in all respects been duly authorized.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THIS INDENTURE WITNESSETH: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in order to declare the terms and conditions upon which the Notes are, and are to be, authenticated, issued and delivered, and in consideration of the premises and of the purchase and acceptance of the Notes by the Holders thereof, the Company covenants and agrees with the Trustee for the equal and proportionate benefit of the respective Holders from time to time of the Notes (except as otherwise provided below),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w:t>
      </w:r>
      <w:r>
        <w:rPr>
          <w:rFonts w:ascii="Times New Roman;Times;Serif" w:hAnsi="Times New Roman;Times;Serif"/>
          <w:b w:val="false"/>
          <w:i w:val="false"/>
          <w:smallCaps/>
          <w:sz w:val="20"/>
        </w:rPr>
        <w:br/>
        <w:t>Definitions</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caps w:val="false"/>
          <w:smallCaps w:val="false"/>
          <w:sz w:val="20"/>
        </w:rPr>
        <w:t>Definitions.</w:t>
      </w:r>
      <w:r>
        <w:rPr>
          <w:rFonts w:ascii="Times New Roman;Times;Serif" w:hAnsi="Times New Roman;Times;Serif"/>
          <w:b w:val="false"/>
          <w:i w:val="false"/>
          <w:caps w:val="false"/>
          <w:smallCaps w:val="false"/>
          <w:sz w:val="20"/>
        </w:rPr>
        <w:t xml:space="preserve"> For all purposes of this Indenture, except as herein otherwise expressly provided or unless the context otherwise requires: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terms defined in this ‎Article 1 shall have the respective meanings assigned to them in this ‎Article 1 and include the plural as well as the singular;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words “herein,” “hereof” and “hereunder” and other words of similar import (i) when used with regard to any specified Article, Section or sub-division, refer to such Article, Section or sub-division of this Indenture and (ii) otherwise, refer to this Indenture as a whole and not to any particular Article, Section or other subdivision;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references in this Indenture and/or the Notes to dollars are to U.S. dollars.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1% exception</w:t>
      </w:r>
      <w:r>
        <w:rPr>
          <w:rFonts w:ascii="Times New Roman;Times;Serif" w:hAnsi="Times New Roman;Times;Serif"/>
          <w:b w:val="false"/>
          <w:i w:val="false"/>
          <w:caps w:val="false"/>
          <w:smallCaps w:val="false"/>
          <w:sz w:val="20"/>
        </w:rPr>
        <w:t>” shall have the meaning specified in Section 14.05(f).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Additional Amounts</w:t>
      </w:r>
      <w:r>
        <w:rPr>
          <w:rFonts w:ascii="Times New Roman;Times;Serif" w:hAnsi="Times New Roman;Times;Serif"/>
          <w:b w:val="false"/>
          <w:i w:val="false"/>
          <w:caps w:val="false"/>
          <w:smallCaps w:val="false"/>
          <w:sz w:val="20"/>
        </w:rPr>
        <w:t>” shall have the meaning specified in Section 4.10(a).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Additional Class A Ordinary Shares</w:t>
      </w:r>
      <w:r>
        <w:rPr>
          <w:rFonts w:ascii="Times New Roman;Times;Serif" w:hAnsi="Times New Roman;Times;Serif"/>
          <w:b w:val="false"/>
          <w:i w:val="false"/>
          <w:caps w:val="false"/>
          <w:smallCaps w:val="false"/>
          <w:sz w:val="20"/>
        </w:rPr>
        <w:t>” shall have the meaning specified in ‎Section 14.03(a).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Additional Interest</w:t>
      </w:r>
      <w:r>
        <w:rPr>
          <w:rFonts w:ascii="Times New Roman;Times;Serif" w:hAnsi="Times New Roman;Times;Serif"/>
          <w:b w:val="false"/>
          <w:i w:val="false"/>
          <w:caps w:val="false"/>
          <w:smallCaps w:val="false"/>
          <w:sz w:val="20"/>
        </w:rPr>
        <w:t>” means all amounts, if any, payable pursuant to ‎Section 4.04(d) and Section 6.03,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 Notwithstanding anything to the contrary herein, the determination of whether one Person is an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of another Person for purposes of this Indenture shall be made based on the facts at the time such determination is made or required to be made, as the case may be,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Applicable Procedures</w:t>
      </w:r>
      <w:r>
        <w:rPr>
          <w:rFonts w:ascii="Times New Roman;Times;Serif" w:hAnsi="Times New Roman;Times;Serif"/>
          <w:b w:val="false"/>
          <w:i w:val="false"/>
          <w:caps w:val="false"/>
          <w:smallCaps w:val="false"/>
          <w:sz w:val="20"/>
        </w:rPr>
        <w:t>” means, with respect to a Depositary, as to any matter at any time, the policies and procedures of such Depositary, if any, that are applicable to such matter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Bid Solicitation Agent</w:t>
      </w:r>
      <w:r>
        <w:rPr>
          <w:rFonts w:ascii="Times New Roman;Times;Serif" w:hAnsi="Times New Roman;Times;Serif"/>
          <w:b w:val="false"/>
          <w:i w:val="false"/>
          <w:caps w:val="false"/>
          <w:smallCaps w:val="false"/>
          <w:sz w:val="20"/>
        </w:rPr>
        <w:t>” means the Company or the Person appointed by the Company to solicit bids for the Trading Price of the Notes in accordance with Section 14.01(b)(i). The Company shall initially act as the Bid Solicitation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means the Board of Directors (or the functional equivalent thereof) of the Company or any duly authorized committee of such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 Resolution</w:t>
      </w:r>
      <w:r>
        <w:rPr>
          <w:rFonts w:ascii="Times New Roman;Times;Serif" w:hAnsi="Times New Roman;Times;Serif"/>
          <w:b w:val="false"/>
          <w:i w:val="false"/>
          <w:caps w:val="false"/>
          <w:smallCaps w:val="false"/>
          <w:sz w:val="20"/>
        </w:rPr>
        <w:t>” means a copy of a resolution certified by the Secretary or an Assistant Secretary of the Company to have been duly adopted by the Board of Directors (or duly authorized committee thereof) and to be in full force and effect on the date of such certification.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Combination Event</w:t>
      </w:r>
      <w:r>
        <w:rPr>
          <w:rFonts w:ascii="Times New Roman;Times;Serif" w:hAnsi="Times New Roman;Times;Serif"/>
          <w:b w:val="false"/>
          <w:i w:val="false"/>
          <w:caps w:val="false"/>
          <w:smallCaps w:val="false"/>
          <w:sz w:val="20"/>
        </w:rPr>
        <w:t>” shall have the meaning specified in Section 11.01.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with respect to any Note, each Monday, Tuesday, Wednesday, Thursday and Friday that is not a day on which banking institutions in the State of New York, Singapore, the Cayman Islands or, in the case of a payment under this Indenture, place of payment are authorized or obligated by law or executive order to close or be closed.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Called Notes</w:t>
      </w:r>
      <w:r>
        <w:rPr>
          <w:rFonts w:ascii="Times New Roman;Times;Serif" w:hAnsi="Times New Roman;Times;Serif"/>
          <w:b w:val="false"/>
          <w:i w:val="false"/>
          <w:caps w:val="false"/>
          <w:smallCaps w:val="false"/>
          <w:sz w:val="20"/>
        </w:rPr>
        <w:t>” means Notes called for Optional Redemption, Tax Redemption or Cleanup Redemption pursuant to Article 16 or Notes subject to a Deemed Redemption.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Capital Shares</w:t>
      </w:r>
      <w:r>
        <w:rPr>
          <w:rFonts w:ascii="Times New Roman;Times;Serif" w:hAnsi="Times New Roman;Times;Serif"/>
          <w:b w:val="false"/>
          <w:i w:val="false"/>
          <w:caps w:val="false"/>
          <w:smallCaps w:val="false"/>
          <w:sz w:val="20"/>
        </w:rPr>
        <w:t>” means, for any entity, any and all shares, interests, rights to purchase, warrants, options, participations or other equivalents of or interests in (however designated) shares issued by that entity, but shall not include any debt securities convertible into or exchangeable for any securities otherwise constituting Capital Shares pursuant to this definition.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Cash Settlement</w:t>
      </w:r>
      <w:r>
        <w:rPr>
          <w:rFonts w:ascii="Times New Roman;Times;Serif" w:hAnsi="Times New Roman;Times;Serif"/>
          <w:b w:val="false"/>
          <w:i w:val="false"/>
          <w:caps w:val="false"/>
          <w:smallCaps w:val="false"/>
          <w:sz w:val="20"/>
        </w:rPr>
        <w:t>” shall have the meaning specified in ‎Section 14.02(a).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Change in Tax Law</w:t>
      </w:r>
      <w:r>
        <w:rPr>
          <w:rFonts w:ascii="Times New Roman;Times;Serif" w:hAnsi="Times New Roman;Times;Serif"/>
          <w:b w:val="false"/>
          <w:i w:val="false"/>
          <w:caps w:val="false"/>
          <w:smallCaps w:val="false"/>
          <w:sz w:val="20"/>
        </w:rPr>
        <w:t>” shall have the meaning specified in Section 16.03(a).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Class A Ordinary Shares</w:t>
      </w:r>
      <w:r>
        <w:rPr>
          <w:rFonts w:ascii="Times New Roman;Times;Serif" w:hAnsi="Times New Roman;Times;Serif"/>
          <w:b w:val="false"/>
          <w:i w:val="false"/>
          <w:caps w:val="false"/>
          <w:smallCaps w:val="false"/>
          <w:sz w:val="20"/>
        </w:rPr>
        <w:t>” means the Class A ordinary shares of the Company, par value $0.0000001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Class V Ordinary Shares</w:t>
      </w:r>
      <w:r>
        <w:rPr>
          <w:rFonts w:ascii="Times New Roman;Times;Serif" w:hAnsi="Times New Roman;Times;Serif"/>
          <w:b w:val="false"/>
          <w:i w:val="false"/>
          <w:caps w:val="false"/>
          <w:smallCaps w:val="false"/>
          <w:sz w:val="20"/>
        </w:rPr>
        <w:t>” means the Class V ordinary shares of the Company, par value $0.0000001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Clause A Distribution</w:t>
      </w:r>
      <w:r>
        <w:rPr>
          <w:rFonts w:ascii="Times New Roman;Times;Serif" w:hAnsi="Times New Roman;Times;Serif"/>
          <w:b w:val="false"/>
          <w:i w:val="false"/>
          <w:caps w:val="false"/>
          <w:smallCaps w:val="false"/>
          <w:sz w:val="20"/>
        </w:rPr>
        <w:t>” shall have the meaning specified in ‎Section 14.05(c).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Clause B Distribution</w:t>
      </w:r>
      <w:r>
        <w:rPr>
          <w:rFonts w:ascii="Times New Roman;Times;Serif" w:hAnsi="Times New Roman;Times;Serif"/>
          <w:b w:val="false"/>
          <w:i w:val="false"/>
          <w:caps w:val="false"/>
          <w:smallCaps w:val="false"/>
          <w:sz w:val="20"/>
        </w:rPr>
        <w:t>” shall have the meaning specified in ‎Section 14.05(c).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Clause C Distribution</w:t>
      </w:r>
      <w:r>
        <w:rPr>
          <w:rFonts w:ascii="Times New Roman;Times;Serif" w:hAnsi="Times New Roman;Times;Serif"/>
          <w:b w:val="false"/>
          <w:i w:val="false"/>
          <w:caps w:val="false"/>
          <w:smallCaps w:val="false"/>
          <w:sz w:val="20"/>
        </w:rPr>
        <w:t>” shall have the meaning specified in ‎Section 14.05(c).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Cleanup Redemption</w:t>
      </w:r>
      <w:r>
        <w:rPr>
          <w:rFonts w:ascii="Times New Roman;Times;Serif" w:hAnsi="Times New Roman;Times;Serif"/>
          <w:b w:val="false"/>
          <w:i w:val="false"/>
          <w:caps w:val="false"/>
          <w:smallCaps w:val="false"/>
          <w:sz w:val="20"/>
        </w:rPr>
        <w:t>” shall have the meaning specified in Section 16.02(a).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Cleanup Redemption Date” </w:t>
      </w:r>
      <w:r>
        <w:rPr>
          <w:rFonts w:ascii="Times New Roman;Times;Serif" w:hAnsi="Times New Roman;Times;Serif"/>
          <w:b w:val="false"/>
          <w:i w:val="false"/>
          <w:caps w:val="false"/>
          <w:smallCaps w:val="false"/>
          <w:sz w:val="20"/>
        </w:rPr>
        <w:t>shall have the meaning specified in Section 16.02(b).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Cleanup Redemption Notice</w:t>
      </w:r>
      <w:r>
        <w:rPr>
          <w:rFonts w:ascii="Times New Roman;Times;Serif" w:hAnsi="Times New Roman;Times;Serif"/>
          <w:b w:val="false"/>
          <w:i w:val="false"/>
          <w:caps w:val="false"/>
          <w:smallCaps w:val="false"/>
          <w:sz w:val="20"/>
        </w:rPr>
        <w:t>” shall have the meaning specified in Section 16.02(b).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close of business</w:t>
      </w:r>
      <w:r>
        <w:rPr>
          <w:rFonts w:ascii="Times New Roman;Times;Serif" w:hAnsi="Times New Roman;Times;Serif"/>
          <w:b w:val="false"/>
          <w:i w:val="false"/>
          <w:caps w:val="false"/>
          <w:smallCaps w:val="false"/>
          <w:sz w:val="20"/>
        </w:rPr>
        <w:t>” means 5:00 p.m. (New York City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means the U.S. Internal Revenue Code of 1986,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Combination Settlement</w:t>
      </w:r>
      <w:r>
        <w:rPr>
          <w:rFonts w:ascii="Times New Roman;Times;Serif" w:hAnsi="Times New Roman;Times;Serif"/>
          <w:b w:val="false"/>
          <w:i w:val="false"/>
          <w:caps w:val="false"/>
          <w:smallCaps w:val="false"/>
          <w:sz w:val="20"/>
        </w:rPr>
        <w:t>” shall have the meaning specified in ‎Section 14.02(a).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Common Equity</w:t>
      </w:r>
      <w:r>
        <w:rPr>
          <w:rFonts w:ascii="Times New Roman;Times;Serif" w:hAnsi="Times New Roman;Times;Serif"/>
          <w:b w:val="false"/>
          <w:i w:val="false"/>
          <w:caps w:val="false"/>
          <w:smallCaps w:val="false"/>
          <w:sz w:val="20"/>
        </w:rPr>
        <w:t>” of any Person means Capital Shares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shall have the meaning specified in the first paragraph of this Indenture, and subject to the provisions of ‎Article 11 hereof, shall include its successors and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Order</w:t>
      </w:r>
      <w:r>
        <w:rPr>
          <w:rFonts w:ascii="Times New Roman;Times;Serif" w:hAnsi="Times New Roman;Times;Serif"/>
          <w:b w:val="false"/>
          <w:i w:val="false"/>
          <w:caps w:val="false"/>
          <w:smallCaps w:val="false"/>
          <w:sz w:val="20"/>
        </w:rPr>
        <w:t>” means a written order of the Company, signed by one of its Officers, and delivered to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Conversion Agent</w:t>
      </w:r>
      <w:r>
        <w:rPr>
          <w:rFonts w:ascii="Times New Roman;Times;Serif" w:hAnsi="Times New Roman;Times;Serif"/>
          <w:b w:val="false"/>
          <w:i w:val="false"/>
          <w:caps w:val="false"/>
          <w:smallCaps w:val="false"/>
          <w:sz w:val="20"/>
        </w:rPr>
        <w:t>” shall have the meaning specified in Section 4.02.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Conversion Consideration</w:t>
      </w:r>
      <w:r>
        <w:rPr>
          <w:rFonts w:ascii="Times New Roman;Times;Serif" w:hAnsi="Times New Roman;Times;Serif"/>
          <w:b w:val="false"/>
          <w:i w:val="false"/>
          <w:caps w:val="false"/>
          <w:smallCaps w:val="false"/>
          <w:sz w:val="20"/>
        </w:rPr>
        <w:t>” shall have the meaning specified in Section 14.13(a).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Conversion Date</w:t>
      </w:r>
      <w:r>
        <w:rPr>
          <w:rFonts w:ascii="Times New Roman;Times;Serif" w:hAnsi="Times New Roman;Times;Serif"/>
          <w:b w:val="false"/>
          <w:i w:val="false"/>
          <w:caps w:val="false"/>
          <w:smallCaps w:val="false"/>
          <w:sz w:val="20"/>
        </w:rPr>
        <w:t>” shall have the meaning specified in ‎Section 14.02(c).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Conversion Obligation</w:t>
      </w:r>
      <w:r>
        <w:rPr>
          <w:rFonts w:ascii="Times New Roman;Times;Serif" w:hAnsi="Times New Roman;Times;Serif"/>
          <w:b w:val="false"/>
          <w:i w:val="false"/>
          <w:caps w:val="false"/>
          <w:smallCaps w:val="false"/>
          <w:sz w:val="20"/>
        </w:rPr>
        <w:t>” shall have the meaning specified in ‎Section 14.01(a).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Conversion Price</w:t>
      </w:r>
      <w:r>
        <w:rPr>
          <w:rFonts w:ascii="Times New Roman;Times;Serif" w:hAnsi="Times New Roman;Times;Serif"/>
          <w:b w:val="false"/>
          <w:i w:val="false"/>
          <w:caps w:val="false"/>
          <w:smallCaps w:val="false"/>
          <w:sz w:val="20"/>
        </w:rPr>
        <w:t xml:space="preserve">” means as of any time, $1,000, </w:t>
      </w:r>
      <w:r>
        <w:rPr>
          <w:rFonts w:ascii="Times New Roman;Times;Serif" w:hAnsi="Times New Roman;Times;Serif"/>
          <w:b w:val="false"/>
          <w:i/>
          <w:caps w:val="false"/>
          <w:smallCaps w:val="false"/>
          <w:sz w:val="20"/>
        </w:rPr>
        <w:t>divided by</w:t>
      </w:r>
      <w:r>
        <w:rPr>
          <w:rFonts w:ascii="Times New Roman;Times;Serif" w:hAnsi="Times New Roman;Times;Serif"/>
          <w:b w:val="false"/>
          <w:i w:val="false"/>
          <w:caps w:val="false"/>
          <w:smallCaps w:val="false"/>
          <w:sz w:val="20"/>
        </w:rPr>
        <w:t xml:space="preserve"> the Conversion Rate as of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Conversion Rate</w:t>
      </w:r>
      <w:r>
        <w:rPr>
          <w:rFonts w:ascii="Times New Roman;Times;Serif" w:hAnsi="Times New Roman;Times;Serif"/>
          <w:b w:val="false"/>
          <w:i w:val="false"/>
          <w:caps w:val="false"/>
          <w:smallCaps w:val="false"/>
          <w:sz w:val="20"/>
        </w:rPr>
        <w:t>” shall have the meaning specified in ‎Section 14.01(a).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Corporate Trust Office</w:t>
      </w:r>
      <w:r>
        <w:rPr>
          <w:rFonts w:ascii="Times New Roman;Times;Serif" w:hAnsi="Times New Roman;Times;Serif"/>
          <w:b w:val="false"/>
          <w:i w:val="false"/>
          <w:caps w:val="false"/>
          <w:smallCaps w:val="false"/>
          <w:sz w:val="20"/>
        </w:rPr>
        <w:t>” means the designated office of the Trustee at which at any time this Indenture shall be administered, which office at the date hereof is located at U.S. Bank Trust Company, National Association, 633 West 5th Street, 24th Floor, Los Angeles, California 90071, Attention: Bitdeer Technologies Group Administrator, or such other address as the Trustee may designate from time to time by notice to the Holders and the Company, or the designated corporate trust office of any successor trustee (or such other address as such successor trustee may designate from time to time by notice to the Holders and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Daily Conversion Value</w:t>
      </w:r>
      <w:r>
        <w:rPr>
          <w:rFonts w:ascii="Times New Roman;Times;Serif" w:hAnsi="Times New Roman;Times;Serif"/>
          <w:b w:val="false"/>
          <w:i w:val="false"/>
          <w:caps w:val="false"/>
          <w:smallCaps w:val="false"/>
          <w:sz w:val="20"/>
        </w:rPr>
        <w:t>” means, for each of the forty (40) consecutive Trading Days during the Observation Period, 2.5% of the product of (a) the Conversion Rate in effect immediately after the close of business on such Trading Day and (b) the Daily VWAP for such Trading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Daily Measurement Value</w:t>
      </w:r>
      <w:r>
        <w:rPr>
          <w:rFonts w:ascii="Times New Roman;Times;Serif" w:hAnsi="Times New Roman;Times;Serif"/>
          <w:b w:val="false"/>
          <w:i w:val="false"/>
          <w:caps w:val="false"/>
          <w:smallCaps w:val="false"/>
          <w:sz w:val="20"/>
        </w:rPr>
        <w:t xml:space="preserve">” means the Specified Dollar Amount (if any), </w:t>
      </w:r>
      <w:r>
        <w:rPr>
          <w:rFonts w:ascii="Times New Roman;Times;Serif" w:hAnsi="Times New Roman;Times;Serif"/>
          <w:b w:val="false"/>
          <w:i/>
          <w:caps w:val="false"/>
          <w:smallCaps w:val="false"/>
          <w:sz w:val="20"/>
        </w:rPr>
        <w:t>divided by</w:t>
      </w:r>
      <w:r>
        <w:rPr>
          <w:rFonts w:ascii="Times New Roman;Times;Serif" w:hAnsi="Times New Roman;Times;Serif"/>
          <w:b w:val="false"/>
          <w:i w:val="false"/>
          <w:caps w:val="false"/>
          <w:smallCaps w:val="false"/>
          <w:sz w:val="20"/>
        </w:rPr>
        <w:t xml:space="preserve"> 40.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Daily Settlement Amount</w:t>
      </w:r>
      <w:r>
        <w:rPr>
          <w:rFonts w:ascii="Times New Roman;Times;Serif" w:hAnsi="Times New Roman;Times;Serif"/>
          <w:b w:val="false"/>
          <w:i w:val="false"/>
          <w:caps w:val="false"/>
          <w:smallCaps w:val="false"/>
          <w:sz w:val="20"/>
        </w:rPr>
        <w:t>,” for each of the forty (40) consecutive Trading Days during the Observation Period, shall consist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cash equal to the lesser of (i) the Daily Measurement Value and (ii) the Daily Conversion Value;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the Daily Conversion Value exceeds the Daily Measurement Value, a number of Class A Ordinary Shares equal to (i) the difference between such Daily Conversion Value and the Daily Measurement Value, </w:t>
      </w:r>
      <w:r>
        <w:rPr>
          <w:rFonts w:ascii="Times New Roman;Times;Serif" w:hAnsi="Times New Roman;Times;Serif"/>
          <w:b w:val="false"/>
          <w:i/>
          <w:caps w:val="false"/>
          <w:smallCaps w:val="false"/>
          <w:sz w:val="20"/>
        </w:rPr>
        <w:t>divided by</w:t>
      </w:r>
      <w:r>
        <w:rPr>
          <w:rFonts w:ascii="Times New Roman;Times;Serif" w:hAnsi="Times New Roman;Times;Serif"/>
          <w:b w:val="false"/>
          <w:i w:val="false"/>
          <w:caps w:val="false"/>
          <w:smallCaps w:val="false"/>
          <w:sz w:val="20"/>
        </w:rPr>
        <w:t xml:space="preserve"> (ii) the Daily VWAP for such Trading Day.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Daily VWAP</w:t>
      </w:r>
      <w:r>
        <w:rPr>
          <w:rFonts w:ascii="Times New Roman;Times;Serif" w:hAnsi="Times New Roman;Times;Serif"/>
          <w:b w:val="false"/>
          <w:i w:val="false"/>
          <w:caps w:val="false"/>
          <w:smallCaps w:val="false"/>
          <w:sz w:val="20"/>
        </w:rPr>
        <w:t>” means, for each of the forty (40) consecutive Trading Days during the relevant Observation Period, the per share volume-weighted average price as displayed under the heading “Bloomberg VWAP” on Bloomberg page “BTDR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Class A Ordinary Share on such Trading Day determined, using a volume-weighted average method, by a nationally recognized independent investment banking firm retained for this purpose by the Company). The “</w:t>
      </w:r>
      <w:r>
        <w:rPr>
          <w:rFonts w:ascii="Times New Roman;Times;Serif" w:hAnsi="Times New Roman;Times;Serif"/>
          <w:b/>
          <w:i w:val="false"/>
          <w:caps w:val="false"/>
          <w:smallCaps w:val="false"/>
          <w:sz w:val="20"/>
        </w:rPr>
        <w:t>Daily VWAP</w:t>
      </w:r>
      <w:r>
        <w:rPr>
          <w:rFonts w:ascii="Times New Roman;Times;Serif" w:hAnsi="Times New Roman;Times;Serif"/>
          <w:b w:val="false"/>
          <w:i w:val="false"/>
          <w:caps w:val="false"/>
          <w:smallCaps w:val="false"/>
          <w:sz w:val="20"/>
        </w:rPr>
        <w:t>” shall be determined without regard to after-hours trading or any other trading outside of the regular trading session trading hours.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Deemed Redemption</w:t>
      </w:r>
      <w:r>
        <w:rPr>
          <w:rFonts w:ascii="Times New Roman;Times;Serif" w:hAnsi="Times New Roman;Times;Serif"/>
          <w:b w:val="false"/>
          <w:i w:val="false"/>
          <w:caps w:val="false"/>
          <w:smallCaps w:val="false"/>
          <w:sz w:val="20"/>
        </w:rPr>
        <w:t>” shall have the meaning specified in Section 14.01(b)(v).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w:t>
      </w:r>
      <w:r>
        <w:rPr>
          <w:rFonts w:ascii="Times New Roman;Times;Serif" w:hAnsi="Times New Roman;Times;Serif"/>
          <w:b w:val="false"/>
          <w:i w:val="false"/>
          <w:caps w:val="false"/>
          <w:smallCaps w:val="false"/>
          <w:sz w:val="20"/>
        </w:rPr>
        <w:t>” means any event that is, or after notice or passage of time, or both, would be, an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 Settlement Method</w:t>
      </w:r>
      <w:r>
        <w:rPr>
          <w:rFonts w:ascii="Times New Roman;Times;Serif" w:hAnsi="Times New Roman;Times;Serif"/>
          <w:b w:val="false"/>
          <w:i w:val="false"/>
          <w:caps w:val="false"/>
          <w:smallCaps w:val="false"/>
          <w:sz w:val="20"/>
        </w:rPr>
        <w:t>” means, initially, Physical Settlement.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Defaulted Amounts</w:t>
      </w:r>
      <w:r>
        <w:rPr>
          <w:rFonts w:ascii="Times New Roman;Times;Serif" w:hAnsi="Times New Roman;Times;Serif"/>
          <w:b w:val="false"/>
          <w:i w:val="false"/>
          <w:caps w:val="false"/>
          <w:smallCaps w:val="false"/>
          <w:sz w:val="20"/>
        </w:rPr>
        <w:t>” means any amounts on any Note (including, without limitation, the Redemption Price, the Fundamental Change Repurchase Price, or the Specified Repurchase Date Repurchase Price, principal and interest) that are payable but are not punctually paid or duly provided 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means, solely for purposes of this Indenture and with respect to each Global Note, the Person specified in Section 2.05(c) as the Depositary with respect to such Notes, until a successor shall have been appointed and become such pursuant to the applicable provisions of this Indenture, and thereafter, “</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shall mean or include such successor.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Designated Financial Institution</w:t>
      </w:r>
      <w:r>
        <w:rPr>
          <w:rFonts w:ascii="Times New Roman;Times;Serif" w:hAnsi="Times New Roman;Times;Serif"/>
          <w:b w:val="false"/>
          <w:i w:val="false"/>
          <w:caps w:val="false"/>
          <w:smallCaps w:val="false"/>
          <w:sz w:val="20"/>
        </w:rPr>
        <w:t>” shall have the meaning specified in Section 14.13(a).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Distributed Property</w:t>
      </w:r>
      <w:r>
        <w:rPr>
          <w:rFonts w:ascii="Times New Roman;Times;Serif" w:hAnsi="Times New Roman;Times;Serif"/>
          <w:b w:val="false"/>
          <w:i w:val="false"/>
          <w:caps w:val="false"/>
          <w:smallCaps w:val="false"/>
          <w:sz w:val="20"/>
        </w:rPr>
        <w:t>” shall have the meaning specified in ‎Section 14.05(c).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means The Depository Trust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shall have the meaning specified in Section 14.03(c), except that, as used in ‎Section 14.05 and ‎Section 14.06,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means the first date on which Class A Ordinary Shares trade on the applicable exchange or in the applicable market, regular way, reflecting the relevant share split or share combination, as applicable (and for the avoidance of doubt, any alternative trading convention on the applicable exchange or market in respect of Class A Ordinary Shares under a separate ticker symbol or CUSIP number will not be considered “regular way” for this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shall have the meaning specified in ‎Section 6.01.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Ex-Dividend Date</w:t>
      </w:r>
      <w:r>
        <w:rPr>
          <w:rFonts w:ascii="Times New Roman;Times;Serif" w:hAnsi="Times New Roman;Times;Serif"/>
          <w:b w:val="false"/>
          <w:i w:val="false"/>
          <w:caps w:val="false"/>
          <w:smallCaps w:val="false"/>
          <w:sz w:val="20"/>
        </w:rPr>
        <w:t>” means the first date on which the Class A Ordinary Shares trade on the applicable exchange or in the applicable market, regular way, without the right to receive the issuance, dividend or distribution in question, from the Company or, if applicable, from the seller of Class A Ordinary Shares on such exchange or market (in the form of due bills or otherwise) as determined by such exchange or market. For the avoidance of doubt, any alternative trading convention on the applicable exchange or market in respect of the Class A Ordinary Shares under a separate ticker symbol or CUSIP number will not be considered “regular way” for this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United States Securities and Exchange Act of 1934, as amended, and the rules and regulations promulgated by the Commission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Election</w:t>
      </w:r>
      <w:r>
        <w:rPr>
          <w:rFonts w:ascii="Times New Roman;Times;Serif" w:hAnsi="Times New Roman;Times;Serif"/>
          <w:b w:val="false"/>
          <w:i w:val="false"/>
          <w:caps w:val="false"/>
          <w:smallCaps w:val="false"/>
          <w:sz w:val="20"/>
        </w:rPr>
        <w:t>” shall have the meaning specified in Section 14.13(a).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Exempted Fundamental Change</w:t>
      </w:r>
      <w:r>
        <w:rPr>
          <w:rFonts w:ascii="Times New Roman;Times;Serif" w:hAnsi="Times New Roman;Times;Serif"/>
          <w:b w:val="false"/>
          <w:i w:val="false"/>
          <w:caps w:val="false"/>
          <w:smallCaps w:val="false"/>
          <w:sz w:val="20"/>
        </w:rPr>
        <w:t>” shall have the meaning specified in Section 15.02(d).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Expiration Date</w:t>
      </w:r>
      <w:r>
        <w:rPr>
          <w:rFonts w:ascii="Times New Roman;Times;Serif" w:hAnsi="Times New Roman;Times;Serif"/>
          <w:b w:val="false"/>
          <w:i w:val="false"/>
          <w:caps w:val="false"/>
          <w:smallCaps w:val="false"/>
          <w:sz w:val="20"/>
        </w:rPr>
        <w:t>” shall have the meaning specified in ‎Section 14.05(e).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freely tradable</w:t>
      </w:r>
      <w:r>
        <w:rPr>
          <w:rFonts w:ascii="Times New Roman;Times;Serif" w:hAnsi="Times New Roman;Times;Serif"/>
          <w:b w:val="false"/>
          <w:i w:val="false"/>
          <w:caps w:val="false"/>
          <w:smallCaps w:val="false"/>
          <w:sz w:val="20"/>
        </w:rPr>
        <w:t>” means, with respect to any security of the Company, that such security would be eligible to be offered, sold or otherwise transferred pursuant to Rule 144 or otherwise if held by a Person that is not an Affiliate of the Company, and that has not been an Affiliate of the Company during the immediately preceding three (3) months, without any requirements as to volume, manner of sale, availability of current public information or notice under the Securities Act (except that any such requirement as to the availability of current public information will be disregarded if the same is satisfied at that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Form of Assignment and Transfer</w:t>
      </w:r>
      <w:r>
        <w:rPr>
          <w:rFonts w:ascii="Times New Roman;Times;Serif" w:hAnsi="Times New Roman;Times;Serif"/>
          <w:b w:val="false"/>
          <w:i w:val="false"/>
          <w:caps w:val="false"/>
          <w:smallCaps w:val="false"/>
          <w:sz w:val="20"/>
        </w:rPr>
        <w:t xml:space="preserve">” means the “Form of Assignment and Transfer” attached as Attachment 4 to the Form of Note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Form of Fundamental Change Repurchase Notice</w:t>
      </w:r>
      <w:r>
        <w:rPr>
          <w:rFonts w:ascii="Times New Roman;Times;Serif" w:hAnsi="Times New Roman;Times;Serif"/>
          <w:b w:val="false"/>
          <w:i w:val="false"/>
          <w:caps w:val="false"/>
          <w:smallCaps w:val="false"/>
          <w:sz w:val="20"/>
        </w:rPr>
        <w:t xml:space="preserve">” means the “Form of Fundamental Change Repurchase Notice” attached as Attachment 2 to the Form of Note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Form of Note</w:t>
      </w:r>
      <w:r>
        <w:rPr>
          <w:rFonts w:ascii="Times New Roman;Times;Serif" w:hAnsi="Times New Roman;Times;Serif"/>
          <w:b w:val="false"/>
          <w:i w:val="false"/>
          <w:caps w:val="false"/>
          <w:smallCaps w:val="false"/>
          <w:sz w:val="20"/>
        </w:rPr>
        <w:t xml:space="preserve">” means the “Form of Note”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Form of Notice of Conversion</w:t>
      </w:r>
      <w:r>
        <w:rPr>
          <w:rFonts w:ascii="Times New Roman;Times;Serif" w:hAnsi="Times New Roman;Times;Serif"/>
          <w:b w:val="false"/>
          <w:i w:val="false"/>
          <w:caps w:val="false"/>
          <w:smallCaps w:val="false"/>
          <w:sz w:val="20"/>
        </w:rPr>
        <w:t xml:space="preserve">” means the “Form of Notice of Conversion” attached as Attachment 1 to the Form of Note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Form of Specified Repurchase Date Repurchase Notice</w:t>
      </w:r>
      <w:r>
        <w:rPr>
          <w:rFonts w:ascii="Times New Roman;Times;Serif" w:hAnsi="Times New Roman;Times;Serif"/>
          <w:b w:val="false"/>
          <w:i w:val="false"/>
          <w:caps w:val="false"/>
          <w:smallCaps w:val="false"/>
          <w:sz w:val="20"/>
        </w:rPr>
        <w:t xml:space="preserve">” means the “Form of Specified Repurchase Date Repurchase Notice” attached as Attachment 3 to the Form of Note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Fundamental Change</w:t>
      </w:r>
      <w:r>
        <w:rPr>
          <w:rFonts w:ascii="Times New Roman;Times;Serif" w:hAnsi="Times New Roman;Times;Serif"/>
          <w:b w:val="false"/>
          <w:i w:val="false"/>
          <w:caps w:val="false"/>
          <w:smallCaps w:val="false"/>
          <w:sz w:val="20"/>
        </w:rPr>
        <w:t>” shall be deemed to have occurred at the time after the Notes are originally issued if any of the following occurs: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as described in clause (b) below, (i) a “person” or “group” within the meaning of Section 13(d) of the Exchange Act, other than the Company and its Wholly Owned Subsidiaries, the employee benefit plans of the Company and its Wholly Owned Subsidiaries, and any Permitted Holder, becomes and files a Schedule TO or any schedule, form or report under the Exchange Act disclosing that such “person” or “group” has become, the direct or indirect “beneficial owner,” as defined in Rule 13d-3 under the Exchange Act, of the Company’s ordinary share capital representing more than 50% of the voting power of the Company’s ordinary share capital, or (ii) or the Permitted Holders, individually or in the aggregate, file a Schedule TO or any schedule, form or report under the Exchange Act disclosing that such person or group has become the direct or indirect “beneficial owner,” as defined in Rule 13d-3 under the Exchange Act, of more than 50% of the then outstanding Class A Ordinary Shares;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for purposes of clause (ii), in calculating the beneficial ownership percentage of Class A Ordinary Shares held by any Permitted Holder, any Class A Ordinary Shares (1) beneficially owned directly or indirectly by any Permitted Holder on the date of the Offering Memorandum (including any Class A Ordinary Shares issued or issuable under employee benefit plans or upon conversion of the Class V Ordinary Shares) shall be excluded from both the numerator and denominator, and (2) deemed to be beneficially owned directly or indirectly by any Permitted Holder at any time solely because of voting proxy or agreements shall be excluded from the numerator;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for purposes of both clause (i) and clause (ii), no “person” or “group” shall be deemed to be the beneficial owner of any securities tendered pursuant to a tender or exchange offer made by or on behalf of such “person” or “group” until such tendered securities are accepted for purchase or exchange under such offer or if such beneficial ownership arises solely as a result of a revocable proxy delivered in response to a public proxy or consent solicitation made pursuant to the applicable rules and regulations under the Exchange Act and is not also then reportable on Schedule 13D or Schedule 13G (or any successor schedule) under the Exchange Act regardless of whether such a filing has actually been made;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consummation of (i) any recapitalization, reclassification or change of the Class A Ordinary Shares (other than a change to par value, or from par value to no par value, or changes resulting from a subdivision or combination) as a result of which the Class A Ordinary Shares would be converted into, or exchanged for, stock, other securities, other property or assets; (ii) any share exchange, consolidation or merger of the Company, or any similar transaction, pursuant to which the Class A Ordinary Shares will be converted into cash, securities or other property or assets; or (iii) any sale, lease or other transfer in one transaction or a series of transactions of all or substantially all of the consolidated assets of the Company and its Subsidiaries, taken as a whole, to any Person other than one or more of the Company’s direct or indirect Wholly Owned Subsidiaries;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a transaction described in clauses (i) or (ii) in which the holders of all classes of the Company’s ordinary share capital immediately prior to such transaction own, directly or indirectly, more than 50% of all classes of Common Equity of the continuing or surviving corporation or transferee or the parent thereof immediately after such transaction in substantially the same proportions (vis-a-vis to each other) as such ownership immediately prior to such transaction shall not be a Fundamental Change pursuant to this clause (b);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shareholders of the Company approve any plan or proposal for the liquidation or dissolution of the Company;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Class A Ordinary Shares (or other Common Equity in respect of Reference Property) cease to be listed or quoted on any of The New York Stock Exchange, the Nasdaq Global Select Market, the Nasdaq Global Market or the Nasdaq Capital Market (or any of their respective successors) and none of the Class A Ordinary Shares (or other Common Equity in respect of Reference Property) is listed or quoted on one of The New York Stock Exchange, the Nasdaq Global Select Market, the Nasdaq Global Market or the Nasdaq Capital Market (or any of their respective successors) within one trading day of such cessation;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transaction or transactions described in clause (a) or clause (b) above shall not constitute a Fundamental Change if at least 90% of the consideration received or to be received by the holders of the Class A Ordinary Shares, excluding cash payments for fractional shares and cash payments made in respect of dissenters’ appraisal rights, in connection with such transaction or transactions consists of shares of equity interests that are listed or quoted on any of The New York Stock Exchange, The Nasdaq Global Select Market or The Nasdaq Global Market or The Nasdaq Capital Market (or any of their respective successors) or will be so listed or quoted when issued or exchanged in connection with such transaction or transactions and as a result of such transaction or transactions such consideration, excluding cash payments for fractional shares and cash payments made in respect of dissenters’ appraisal rights becomes Reference Property for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 Company Notice</w:t>
      </w:r>
      <w:r>
        <w:rPr>
          <w:rFonts w:ascii="Times New Roman;Times;Serif" w:hAnsi="Times New Roman;Times;Serif"/>
          <w:b w:val="false"/>
          <w:i w:val="false"/>
          <w:caps w:val="false"/>
          <w:smallCaps w:val="false"/>
          <w:sz w:val="20"/>
        </w:rPr>
        <w:t>” shall have the meaning specified in ‎Section 15.02(c).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 Repurchase Date</w:t>
      </w:r>
      <w:r>
        <w:rPr>
          <w:rFonts w:ascii="Times New Roman;Times;Serif" w:hAnsi="Times New Roman;Times;Serif"/>
          <w:b w:val="false"/>
          <w:i w:val="false"/>
          <w:caps w:val="false"/>
          <w:smallCaps w:val="false"/>
          <w:sz w:val="20"/>
        </w:rPr>
        <w:t>” shall have the meaning specified in ‎Section 15.02(a).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 Repurchase Notice</w:t>
      </w:r>
      <w:r>
        <w:rPr>
          <w:rFonts w:ascii="Times New Roman;Times;Serif" w:hAnsi="Times New Roman;Times;Serif"/>
          <w:b w:val="false"/>
          <w:i w:val="false"/>
          <w:caps w:val="false"/>
          <w:smallCaps w:val="false"/>
          <w:sz w:val="20"/>
        </w:rPr>
        <w:t>” shall have the meaning specified in ‎Section 15.02(b)(i).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 Repurchase Price</w:t>
      </w:r>
      <w:r>
        <w:rPr>
          <w:rFonts w:ascii="Times New Roman;Times;Serif" w:hAnsi="Times New Roman;Times;Serif"/>
          <w:b w:val="false"/>
          <w:i w:val="false"/>
          <w:caps w:val="false"/>
          <w:smallCaps w:val="false"/>
          <w:sz w:val="20"/>
        </w:rPr>
        <w:t>” shall have the meaning specified in Section 15.02(a).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w:t>
      </w:r>
      <w:r>
        <w:rPr>
          <w:rFonts w:ascii="Times New Roman;Times;Serif" w:hAnsi="Times New Roman;Times;Serif"/>
          <w:b/>
          <w:i w:val="false"/>
          <w:caps w:val="false"/>
          <w:smallCaps w:val="false"/>
          <w:sz w:val="20"/>
        </w:rPr>
        <w:t>given</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mailed</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notify</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sent</w:t>
      </w:r>
      <w:r>
        <w:rPr>
          <w:rFonts w:ascii="Times New Roman;Times;Serif" w:hAnsi="Times New Roman;Times;Serif"/>
          <w:b w:val="false"/>
          <w:i w:val="false"/>
          <w:caps w:val="false"/>
          <w:smallCaps w:val="false"/>
          <w:sz w:val="20"/>
        </w:rPr>
        <w:t>” with respect to any notice to be given to a Holder pursuant to this Indenture, shall mean notice (x) given to the Depositary (or its designee) pursuant to the standing instructions from the Depositary or its designee, including by electronic mail in accordance with accepted practices or Applicable Procedures at the Depositary (in the case of a Global Note) or (y) mailed to such Holder by first class mail, postage prepaid, at its address as it appears on the Note Register (in the case of a Physical Note), in each case, in accordance with Section 17.03. Notice so “given” shall be deemed to include any notice to be “mailed” or “delivered,” as applicable, under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Global Note</w:t>
      </w:r>
      <w:r>
        <w:rPr>
          <w:rFonts w:ascii="Times New Roman;Times;Serif" w:hAnsi="Times New Roman;Times;Serif"/>
          <w:b w:val="false"/>
          <w:i w:val="false"/>
          <w:caps w:val="false"/>
          <w:smallCaps w:val="false"/>
          <w:sz w:val="20"/>
        </w:rPr>
        <w:t>” shall have the meaning specified in ‎Section 2.05(b).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as applied to any Note, or other similar terms (but excluding the term “beneficial holder”), means any Person in whose name at the time a particular Note is registered on the Note Register.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means this instrument as originally executed or, if amended or supplemented as herein provided, as so amended or supplemented.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Interest Payment Date</w:t>
      </w:r>
      <w:r>
        <w:rPr>
          <w:rFonts w:ascii="Times New Roman;Times;Serif" w:hAnsi="Times New Roman;Times;Serif"/>
          <w:b w:val="false"/>
          <w:i w:val="false"/>
          <w:caps w:val="false"/>
          <w:smallCaps w:val="false"/>
          <w:sz w:val="20"/>
        </w:rPr>
        <w:t>” means each March 1 and September 1 of each year, beginning on September 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last date of original issuance</w:t>
      </w:r>
      <w:r>
        <w:rPr>
          <w:rFonts w:ascii="Times New Roman;Times;Serif" w:hAnsi="Times New Roman;Times;Serif"/>
          <w:b w:val="false"/>
          <w:i w:val="false"/>
          <w:caps w:val="false"/>
          <w:smallCaps w:val="false"/>
          <w:sz w:val="20"/>
        </w:rPr>
        <w:t>” means (a) with respect to any Notes issued pursuant to the Offering Memorandum, and any Notes issued in exchange therefor or in substitution thereof, the later of (i) the date the Company first issues such Notes and (ii) the last date any Notes are originally issued pursuant to the exercise of the Initial Purchasers’ option to purchase additional Notes; and (b) with respect to any additional Notes issued pursuant to Section 2.10, and any Notes issued in exchange therefor or in substitution thereof, either (i) the later of (x) the date such Notes are originally issued and (y) the last date any Notes are originally issued as part of the same offering pursuant to the exercise of an option granted to the initial purchaser(s) of such Notes to purchase additional Notes; or (ii) such other date as is specified in an Officer’s Certificate delivered to the Trustee before the original issuance of such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Last Reported Sale Price</w:t>
      </w:r>
      <w:r>
        <w:rPr>
          <w:rFonts w:ascii="Times New Roman;Times;Serif" w:hAnsi="Times New Roman;Times;Serif"/>
          <w:b w:val="false"/>
          <w:i w:val="false"/>
          <w:caps w:val="false"/>
          <w:smallCaps w:val="false"/>
          <w:sz w:val="20"/>
        </w:rPr>
        <w:t>” of the Class A Ordinary Shares (or other security for which a closing sale price must be determined) on any date means the closing sale price per Class A Ordinary Share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Class A Ordinary Shares (or such other security) are traded. If the Class A Ordinary Shares (or such other security) are not listed for trading on a U.S. national or regional securities exchange on the relevant date, the “</w:t>
      </w:r>
      <w:r>
        <w:rPr>
          <w:rFonts w:ascii="Times New Roman;Times;Serif" w:hAnsi="Times New Roman;Times;Serif"/>
          <w:b/>
          <w:i w:val="false"/>
          <w:caps w:val="false"/>
          <w:smallCaps w:val="false"/>
          <w:sz w:val="20"/>
        </w:rPr>
        <w:t>Last Reported Sale Price</w:t>
      </w:r>
      <w:r>
        <w:rPr>
          <w:rFonts w:ascii="Times New Roman;Times;Serif" w:hAnsi="Times New Roman;Times;Serif"/>
          <w:b w:val="false"/>
          <w:i w:val="false"/>
          <w:caps w:val="false"/>
          <w:smallCaps w:val="false"/>
          <w:sz w:val="20"/>
        </w:rPr>
        <w:t>” shall be the last quoted bid price for the Class A Ordinary Shares (or such other security) in the over-the-counter market on the relevant date as reported by OTC Markets Group Inc. or a similar organization. If the Class A Ordinary Shares (or such other security) are not so quoted, the “</w:t>
      </w:r>
      <w:r>
        <w:rPr>
          <w:rFonts w:ascii="Times New Roman;Times;Serif" w:hAnsi="Times New Roman;Times;Serif"/>
          <w:b/>
          <w:i w:val="false"/>
          <w:caps w:val="false"/>
          <w:smallCaps w:val="false"/>
          <w:sz w:val="20"/>
        </w:rPr>
        <w:t>Last Reported Sale Price</w:t>
      </w:r>
      <w:r>
        <w:rPr>
          <w:rFonts w:ascii="Times New Roman;Times;Serif" w:hAnsi="Times New Roman;Times;Serif"/>
          <w:b w:val="false"/>
          <w:i w:val="false"/>
          <w:caps w:val="false"/>
          <w:smallCaps w:val="false"/>
          <w:sz w:val="20"/>
        </w:rPr>
        <w:t>” shall be the average of the mid-point of the last bid and ask prices for the Class A Ordinary Shares (or such other security) on the relevant date from each of at least three nationally recognized independent investment banking firms selected by the Company for this purpose. The “</w:t>
      </w:r>
      <w:r>
        <w:rPr>
          <w:rFonts w:ascii="Times New Roman;Times;Serif" w:hAnsi="Times New Roman;Times;Serif"/>
          <w:b/>
          <w:i w:val="false"/>
          <w:caps w:val="false"/>
          <w:smallCaps w:val="false"/>
          <w:sz w:val="20"/>
        </w:rPr>
        <w:t>Last Reported Sale Price</w:t>
      </w:r>
      <w:r>
        <w:rPr>
          <w:rFonts w:ascii="Times New Roman;Times;Serif" w:hAnsi="Times New Roman;Times;Serif"/>
          <w:b w:val="false"/>
          <w:i w:val="false"/>
          <w:caps w:val="false"/>
          <w:smallCaps w:val="false"/>
          <w:sz w:val="20"/>
        </w:rPr>
        <w:t>” shall be determined without regard to after-hours trading or any other trading outside of regular trading session hours.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Liquidity Conditions</w:t>
      </w:r>
      <w:r>
        <w:rPr>
          <w:rFonts w:ascii="Times New Roman;Times;Serif" w:hAnsi="Times New Roman;Times;Serif"/>
          <w:b w:val="false"/>
          <w:i w:val="false"/>
          <w:caps w:val="false"/>
          <w:smallCaps w:val="false"/>
          <w:sz w:val="20"/>
        </w:rPr>
        <w:t xml:space="preserve">” with respect to any Optional Redemption Notice shall be “satisfied” if each of the following conditions have been satisfied as of the date the Company sends the related Optional Redemption Notice and is reasonably expected to continue to be satisfied through at least the 30th calendar day after the Redemption Date for the related Optional Redemption: (1) the Company has filed all reports and other materials required to be filed by Section 13 or 15(d) of the Exchange Act, as applicable, during the preceding 12 months (or for such shorter period that the Company was required to file such reports and other materials), after giving effect to all applicable grace periods thereunder and other than current reports on Form 8-K; and (2) the Class A Ordinary Shares, if any, issued or issuable upon conversion of the Notes are freely tradable;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Liquidity Conditions shall also be deemed to be satisfied with respect to such Optional Redemption Notice if, in accordance with Section 14.02(a), the Company has elected to settle all conversions of Called Notes with a Conversion Date that occurs during the Redemption Period by Cash Settlement.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Make-Whole Fundamental Change</w:t>
      </w:r>
      <w:r>
        <w:rPr>
          <w:rFonts w:ascii="Times New Roman;Times;Serif" w:hAnsi="Times New Roman;Times;Serif"/>
          <w:b w:val="false"/>
          <w:i w:val="false"/>
          <w:caps w:val="false"/>
          <w:smallCaps w:val="false"/>
          <w:sz w:val="20"/>
        </w:rPr>
        <w:t>” means any transaction or event that constitutes a Fundamental Change (determined after giving effect to any exceptions to or exclusions from such definition, but without regard to the proviso in clause (b) of the definition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Make-Whole Fundamental Change Period</w:t>
      </w:r>
      <w:r>
        <w:rPr>
          <w:rFonts w:ascii="Times New Roman;Times;Serif" w:hAnsi="Times New Roman;Times;Serif"/>
          <w:b w:val="false"/>
          <w:i w:val="false"/>
          <w:caps w:val="false"/>
          <w:smallCaps w:val="false"/>
          <w:sz w:val="20"/>
        </w:rPr>
        <w:t>” shall have the meaning specified in ‎Section 14.03(a).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Market Disruption Event</w:t>
      </w:r>
      <w:r>
        <w:rPr>
          <w:rFonts w:ascii="Times New Roman;Times;Serif" w:hAnsi="Times New Roman;Times;Serif"/>
          <w:b w:val="false"/>
          <w:i w:val="false"/>
          <w:caps w:val="false"/>
          <w:smallCaps w:val="false"/>
          <w:sz w:val="20"/>
        </w:rPr>
        <w:t>” means, for the purposes of determining amounts due upon conversion, (a) a failure by the primary U.S. national or regional securities exchange or market on which the Class A Ordinary Shares listed or admitted for trading to open for trading during its regular trading session or (b) the occurrence or existence prior to 1:00 p.m., New York City time, on any Scheduled Trading Day for the Class A Ordinary Shares for more than one half-hour period in the aggregate during regular trading hours of any suspension or limitation imposed on trading (by reason of movements in price exceeding limits permitted by the relevant stock exchange or otherwise) in the Class A Ordinary Shares or in any options contracts or futures contracts relating to the Class A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means March 1, 2032.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Measurement Period</w:t>
      </w:r>
      <w:r>
        <w:rPr>
          <w:rFonts w:ascii="Times New Roman;Times;Serif" w:hAnsi="Times New Roman;Times;Serif"/>
          <w:b w:val="false"/>
          <w:i w:val="false"/>
          <w:caps w:val="false"/>
          <w:smallCaps w:val="false"/>
          <w:sz w:val="20"/>
        </w:rPr>
        <w:t>” shall have the meaning specified in Section 14.01(b)(i)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shall have the meaning specified in the recitals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Note Custodian</w:t>
      </w:r>
      <w:r>
        <w:rPr>
          <w:rFonts w:ascii="Times New Roman;Times;Serif" w:hAnsi="Times New Roman;Times;Serif"/>
          <w:b w:val="false"/>
          <w:i w:val="false"/>
          <w:caps w:val="false"/>
          <w:smallCaps w:val="false"/>
          <w:sz w:val="20"/>
        </w:rPr>
        <w:t>” means the Trustee, as custodian for DTC, with respect to the Global Notes, or any successor entity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Note Register</w:t>
      </w:r>
      <w:r>
        <w:rPr>
          <w:rFonts w:ascii="Times New Roman;Times;Serif" w:hAnsi="Times New Roman;Times;Serif"/>
          <w:b w:val="false"/>
          <w:i w:val="false"/>
          <w:caps w:val="false"/>
          <w:smallCaps w:val="false"/>
          <w:sz w:val="20"/>
        </w:rPr>
        <w:t>” shall have the meaning specified in Section 2.05(a).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Note Registrar</w:t>
      </w:r>
      <w:r>
        <w:rPr>
          <w:rFonts w:ascii="Times New Roman;Times;Serif" w:hAnsi="Times New Roman;Times;Serif"/>
          <w:b w:val="false"/>
          <w:i w:val="false"/>
          <w:caps w:val="false"/>
          <w:smallCaps w:val="false"/>
          <w:sz w:val="20"/>
        </w:rPr>
        <w:t>” shall have the meaning specified in Section 2.05(a).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Notice of Conversion</w:t>
      </w:r>
      <w:r>
        <w:rPr>
          <w:rFonts w:ascii="Times New Roman;Times;Serif" w:hAnsi="Times New Roman;Times;Serif"/>
          <w:b w:val="false"/>
          <w:i w:val="false"/>
          <w:caps w:val="false"/>
          <w:smallCaps w:val="false"/>
          <w:sz w:val="20"/>
        </w:rPr>
        <w:t>” shall have the meaning specified in Section 14.02(c).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Observation Period</w:t>
      </w:r>
      <w:r>
        <w:rPr>
          <w:rFonts w:ascii="Times New Roman;Times;Serif" w:hAnsi="Times New Roman;Times;Serif"/>
          <w:b w:val="false"/>
          <w:i w:val="false"/>
          <w:caps w:val="false"/>
          <w:smallCaps w:val="false"/>
          <w:sz w:val="20"/>
        </w:rPr>
        <w:t>” with respect to any Note surrendered for conversion means: (i) subject to clause (ii), if the relevant Conversion Date occurs prior to December 1, 2031, the forty (40) consecutive Trading Day period beginning on, and including, the second Trading Day immediately succeeding such Conversion Date; (ii) with respect to any Called Notes, if the relevant Conversion Date occurs during the related Redemption Period, the forty (40) consecutive Trading Days beginning on, and including, the 41st Scheduled Trading Day immediately preceding such Redemption Date; and (iii) subject to clause (ii), if the relevant Conversion Date occurs on or after December 1, 2031, the forty (40) consecutive Trading Days beginning on, and including, the 41st Scheduled Trading Day immediately preceding the Maturity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Offering Memorandum</w:t>
      </w:r>
      <w:r>
        <w:rPr>
          <w:rFonts w:ascii="Times New Roman;Times;Serif" w:hAnsi="Times New Roman;Times;Serif"/>
          <w:b w:val="false"/>
          <w:i w:val="false"/>
          <w:caps w:val="false"/>
          <w:smallCaps w:val="false"/>
          <w:sz w:val="20"/>
        </w:rPr>
        <w:t>” means the preliminary offering memorandum dated February 19, 2026, as supplemented by the related pricing term sheet dated February 19, 2026, relating to the offering and sale of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Officer</w:t>
      </w:r>
      <w:r>
        <w:rPr>
          <w:rFonts w:ascii="Times New Roman;Times;Serif" w:hAnsi="Times New Roman;Times;Serif"/>
          <w:b w:val="false"/>
          <w:i w:val="false"/>
          <w:caps w:val="false"/>
          <w:smallCaps w:val="false"/>
          <w:sz w:val="20"/>
        </w:rPr>
        <w:t>” means, with respect to the Company, the chairman of the Board of Directors, a chief executive officer, a president, a chief financial officer, a chief business officer, a chief operating officer, any executive vice president, any senior vice president, any vice president, the treasurer or any assistant treasurer, the controller or any assistant controller or the secretary or any assistant secretary.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Officer’s Certificate</w:t>
      </w:r>
      <w:r>
        <w:rPr>
          <w:rFonts w:ascii="Times New Roman;Times;Serif" w:hAnsi="Times New Roman;Times;Serif"/>
          <w:b w:val="false"/>
          <w:i w:val="false"/>
          <w:caps w:val="false"/>
          <w:smallCaps w:val="false"/>
          <w:sz w:val="20"/>
        </w:rPr>
        <w:t>,” when used with respect to the Company, means a certificate that is delivered to the Trustee and that is signed by any Officer of the Company. Each such certificate shall include the statements provided for in Section 17.05 if and to the extent required by the provisions of such Section. The Officer giving an Officer’s Certificate pursuant to Section 4.08 shall be the principal executive, financial or accounting officer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open of business</w:t>
      </w:r>
      <w:r>
        <w:rPr>
          <w:rFonts w:ascii="Times New Roman;Times;Serif" w:hAnsi="Times New Roman;Times;Serif"/>
          <w:b w:val="false"/>
          <w:i w:val="false"/>
          <w:caps w:val="false"/>
          <w:smallCaps w:val="false"/>
          <w:sz w:val="20"/>
        </w:rPr>
        <w:t>” means 9:00 a.m. (New York City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Opinion of Counsel</w:t>
      </w:r>
      <w:r>
        <w:rPr>
          <w:rFonts w:ascii="Times New Roman;Times;Serif" w:hAnsi="Times New Roman;Times;Serif"/>
          <w:b w:val="false"/>
          <w:i w:val="false"/>
          <w:caps w:val="false"/>
          <w:smallCaps w:val="false"/>
          <w:sz w:val="20"/>
        </w:rPr>
        <w:t>” means an opinion in writing signed by legal counsel, who may be an employee of or counsel to the Company, or other counsel who is reasonably acceptable to the Trustee, which opinion may contain customary exceptions and qualifications as to the matters set forth therein, that is delivered to the Trustee. Each such opinion shall include the statements provided for in Section 17.05 if and to the extent required by the provisions of such Section 17.05.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Optional Redemption</w:t>
      </w:r>
      <w:r>
        <w:rPr>
          <w:rFonts w:ascii="Times New Roman;Times;Serif" w:hAnsi="Times New Roman;Times;Serif"/>
          <w:b w:val="false"/>
          <w:i w:val="false"/>
          <w:caps w:val="false"/>
          <w:smallCaps w:val="false"/>
          <w:sz w:val="20"/>
        </w:rPr>
        <w:t>” shall have the meaning specified in Section 16.01(a).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Optional Redemption Date</w:t>
      </w:r>
      <w:r>
        <w:rPr>
          <w:rFonts w:ascii="Times New Roman;Times;Serif" w:hAnsi="Times New Roman;Times;Serif"/>
          <w:b w:val="false"/>
          <w:i w:val="false"/>
          <w:caps w:val="false"/>
          <w:smallCaps w:val="false"/>
          <w:sz w:val="20"/>
        </w:rPr>
        <w:t>” shall have the meaning specified in Section 16.01(b).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Optional Redemption Notice</w:t>
      </w:r>
      <w:r>
        <w:rPr>
          <w:rFonts w:ascii="Times New Roman;Times;Serif" w:hAnsi="Times New Roman;Times;Serif"/>
          <w:b w:val="false"/>
          <w:i w:val="false"/>
          <w:caps w:val="false"/>
          <w:smallCaps w:val="false"/>
          <w:sz w:val="20"/>
        </w:rPr>
        <w:t>” shall have the meaning specified in Section 16.01(b).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outstanding</w:t>
      </w:r>
      <w:r>
        <w:rPr>
          <w:rFonts w:ascii="Times New Roman;Times;Serif" w:hAnsi="Times New Roman;Times;Serif"/>
          <w:b w:val="false"/>
          <w:i w:val="false"/>
          <w:caps w:val="false"/>
          <w:smallCaps w:val="false"/>
          <w:sz w:val="20"/>
        </w:rPr>
        <w:t>” when used with reference to Notes, shall, subject to the provisions of Section 8.04, mean, as of any particular time, all Notes authenticated and delivered by the Trustee under this Indenture, except: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Notes theretofore cancelled by the Trustee or accepted by the Trustee for cancellation;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Notes, or portions thereof, that have become due and payable and in respect of which monies in the necessary amount shall have been deposited in trust with the Trustee or with any Paying Agent (other than the Company) or shall have been set aside and segregated in trust by the Company (if the Company shall act as its own Paying Agent);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Notes that have been paid pursuant to ‎the second paragraph of Section 2.06 or Notes in lieu of which, or in substitution for which, other Notes shall have been authenticated and delivered pursuant to the terms of Section 2.06‎‎ unless proof satisfactory to the Trustee is presented that any such Notes are held by protected purchasers in due course;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Notes converted pursuant to ‎Article 14 and required to be cancelled pursuant to ‎Section 2.08;</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Notes repurchased by the Company pursuant to (i) Section 15.01 and Section 15.02 and (ii) Section 2.10 and delivered to the Trustee for cancellation in accordance with Section 2.10;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Notes redeemed pursuant to Article 16.</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Partial Redemption Limitation</w:t>
      </w:r>
      <w:r>
        <w:rPr>
          <w:rFonts w:ascii="Times New Roman;Times;Serif" w:hAnsi="Times New Roman;Times;Serif"/>
          <w:b w:val="false"/>
          <w:i w:val="false"/>
          <w:caps w:val="false"/>
          <w:smallCaps w:val="false"/>
          <w:sz w:val="20"/>
        </w:rPr>
        <w:t>” shall have the meaning specified in Section 16.01(a).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Paying Agent</w:t>
      </w:r>
      <w:r>
        <w:rPr>
          <w:rFonts w:ascii="Times New Roman;Times;Serif" w:hAnsi="Times New Roman;Times;Serif"/>
          <w:b w:val="false"/>
          <w:i w:val="false"/>
          <w:caps w:val="false"/>
          <w:smallCaps w:val="false"/>
          <w:sz w:val="20"/>
        </w:rPr>
        <w:t>” means the Company or the Person appointed by the Company in accordance with Section 4.02. The Trustee has been initially appointed as the Paying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Holder</w:t>
      </w:r>
      <w:r>
        <w:rPr>
          <w:rFonts w:ascii="Times New Roman;Times;Serif" w:hAnsi="Times New Roman;Times;Serif"/>
          <w:b w:val="false"/>
          <w:i w:val="false"/>
          <w:caps w:val="false"/>
          <w:smallCaps w:val="false"/>
          <w:sz w:val="20"/>
        </w:rPr>
        <w:t>” means (i) Jihan Wu and (ii) the “Founder Entities” as defined in the Company’s Amended and Restated Memorandum and Articles of Association as of the date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Physical Notes</w:t>
      </w:r>
      <w:r>
        <w:rPr>
          <w:rFonts w:ascii="Times New Roman;Times;Serif" w:hAnsi="Times New Roman;Times;Serif"/>
          <w:b w:val="false"/>
          <w:i w:val="false"/>
          <w:caps w:val="false"/>
          <w:smallCaps w:val="false"/>
          <w:sz w:val="20"/>
        </w:rPr>
        <w:t>” means permanent certificated Notes in registered form issued in minimum denominations of $1,000 principal amount and integral multiples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Physical Settlement</w:t>
      </w:r>
      <w:r>
        <w:rPr>
          <w:rFonts w:ascii="Times New Roman;Times;Serif" w:hAnsi="Times New Roman;Times;Serif"/>
          <w:b w:val="false"/>
          <w:i w:val="false"/>
          <w:caps w:val="false"/>
          <w:smallCaps w:val="false"/>
          <w:sz w:val="20"/>
        </w:rPr>
        <w:t>” shall have the meaning specified in ‎Section 14.02(a).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Predecessor Note</w:t>
      </w:r>
      <w:r>
        <w:rPr>
          <w:rFonts w:ascii="Times New Roman;Times;Serif" w:hAnsi="Times New Roman;Times;Serif"/>
          <w:b w:val="false"/>
          <w:i w:val="false"/>
          <w:caps w:val="false"/>
          <w:smallCaps w:val="false"/>
          <w:sz w:val="20"/>
        </w:rPr>
        <w:t>” of any particular Note means every previous Note evidencing all or a portion of the same debt as that evidenced by such particular Note; and, for the purposes of this definition, any Note authenticated and delivered under ‎Section 2.06 in lieu of or in exchange for a mutilated, lost, destroyed or stolen Note shall be deemed to evidence the same debt as the mutilated, lost, destroyed or stolen Note that it replaces.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means the purchase agreement, dated February 19, 2026, by and among the Company, Barclays Capital Inc. and Morgan Stanley &amp; Co. LLC, as representatives of the several initial purchasers named in Schedule I thereto (the “</w:t>
      </w:r>
      <w:r>
        <w:rPr>
          <w:rFonts w:ascii="Times New Roman;Times;Serif" w:hAnsi="Times New Roman;Times;Serif"/>
          <w:b/>
          <w:i w:val="false"/>
          <w:caps w:val="false"/>
          <w:smallCaps w:val="false"/>
          <w:sz w:val="20"/>
        </w:rPr>
        <w:t>Initial Purchasers</w:t>
      </w:r>
      <w:r>
        <w:rPr>
          <w:rFonts w:ascii="Times New Roman;Times;Serif" w:hAnsi="Times New Roman;Times;Serif"/>
          <w:b w:val="false"/>
          <w:i w:val="false"/>
          <w:caps w:val="false"/>
          <w:smallCaps w:val="false"/>
          <w:sz w:val="20"/>
        </w:rPr>
        <w:t>”), relating to the offering and sale of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Qualified Successor Entity</w:t>
      </w:r>
      <w:r>
        <w:rPr>
          <w:rFonts w:ascii="Times New Roman;Times;Serif" w:hAnsi="Times New Roman;Times;Serif"/>
          <w:b w:val="false"/>
          <w:i w:val="false"/>
          <w:caps w:val="false"/>
          <w:smallCaps w:val="false"/>
          <w:sz w:val="20"/>
        </w:rPr>
        <w:t xml:space="preserve">” means, with respect to a Business Combination Event, a corporation;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however, that (i) if such Business Combination Event is an Exempted Fundamental Change, then a limited liability company, limited partnership or other similar entity also will constitute a Qualified Successor Entity with respect to such Business Combination Event; and (ii) a limited liability company or limited partnership that is the resulting, surviving or transferee person of such Business Combination Event also will constitute a Qualified Successor Entity with respect to such Business Combination Event, provided that, in the case of this clause (ii), (1) if such limited liability company or limited partnership is not treated as a corporation or an entity disregarded as separate from a corporation, in each case for U.S. federal income tax purposes, (x) the Company has received an opinion of a nationally recognized tax counsel to the effect that such Business Combination Event will not be treated as an exchange under Section 1001 of the Code for Holders or beneficial owners of the Notes and (y) such limited liability company or limited partnership is a direct or indirect, Wholly Owned Subsidiary of a corporation duly organized and existing under the laws of the United States of America, any State thereof, the District of Columbia, the Cayman Islands, the British Virgin Islands, Bermuda, Singapore or Hong Kong and (2) such Business Combination Event constitutes a Share Exchange Event whose Reference Property consists solely of any combination of U.S. dollars and shares of common stock or other corporate Common Equity interests of a corporation described in clause (1)(y).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means, with respect to any dividend, distribution or other transaction or event in which the holders of the Class A Ordinary Shares (or other applicable security) have the right to receive any cash, securities or other property or in which the Class A Ordinary Shares (or such other security) are exchanged for or converted into any combination of cash, securities or other property, the date fixed for determination of security holders entitled to receive such cash, securities or other property (whether such date is fixed by the Board of Directors, statute, contract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Redemption</w:t>
      </w:r>
      <w:r>
        <w:rPr>
          <w:rFonts w:ascii="Times New Roman;Times;Serif" w:hAnsi="Times New Roman;Times;Serif"/>
          <w:b w:val="false"/>
          <w:i w:val="false"/>
          <w:caps w:val="false"/>
          <w:smallCaps w:val="false"/>
          <w:sz w:val="20"/>
        </w:rPr>
        <w:t>” means an Optional Redemption, Cleanup Redemption or a Tax Redemption,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Redemption Date</w:t>
      </w:r>
      <w:r>
        <w:rPr>
          <w:rFonts w:ascii="Times New Roman;Times;Serif" w:hAnsi="Times New Roman;Times;Serif"/>
          <w:b w:val="false"/>
          <w:i w:val="false"/>
          <w:caps w:val="false"/>
          <w:smallCaps w:val="false"/>
          <w:sz w:val="20"/>
        </w:rPr>
        <w:t>” means an Optional Redemption Date, Cleanup Redemption Date or a Tax Redemption Date,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Redemption Notice</w:t>
      </w:r>
      <w:r>
        <w:rPr>
          <w:rFonts w:ascii="Times New Roman;Times;Serif" w:hAnsi="Times New Roman;Times;Serif"/>
          <w:b w:val="false"/>
          <w:i w:val="false"/>
          <w:caps w:val="false"/>
          <w:smallCaps w:val="false"/>
          <w:sz w:val="20"/>
        </w:rPr>
        <w:t>” means an Optional Redemption Notice, Cleanup Redemption Notice or a Tax Redemption Notice,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Redemption Period</w:t>
      </w:r>
      <w:r>
        <w:rPr>
          <w:rFonts w:ascii="Times New Roman;Times;Serif" w:hAnsi="Times New Roman;Times;Serif"/>
          <w:b w:val="false"/>
          <w:i w:val="false"/>
          <w:caps w:val="false"/>
          <w:smallCaps w:val="false"/>
          <w:sz w:val="20"/>
        </w:rPr>
        <w:t>” means, with respect to an Optional Redemption, a Cleanup Redemption or a Tax Redemption, the period from, and including, the date on which the Company delivers the applicable Redemption Notice until the close of business on the second business day immediately preceding the applicable Redemption Date, unless the Company fails to pay the Redemption Price (in which case a Holder of a Note called for Redemption may convert such Note until the second Business Day immediately preceding the date on which the Redemption Price has been paid or duly provided for) during which a Holder may convert all or any portion of such Holder’s Called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Redemption Price</w:t>
      </w:r>
      <w:r>
        <w:rPr>
          <w:rFonts w:ascii="Times New Roman;Times;Serif" w:hAnsi="Times New Roman;Times;Serif"/>
          <w:b w:val="false"/>
          <w:i w:val="false"/>
          <w:caps w:val="false"/>
          <w:smallCaps w:val="false"/>
          <w:sz w:val="20"/>
        </w:rPr>
        <w:t xml:space="preserve">” means, for any Notes to be redeemed pursuant to Article 16, 100% of the principal amount of such Notes,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accrued and unpaid interest, if any, to, but excluding, the Redemption Date (unless the Redemption Date falls after a Regular Record Date but on or prior to the immediately succeeding Interest Payment Date, in which case interest accrued to the Interest Payment Date will be paid on, or at the Company’s election, before such Interest Payment Date to Holders of record of such Notes as of the close of business on such Regular Record Date, and the Redemption Price will be equal to 100% of the principal amount of such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Redemption Reference Date</w:t>
      </w:r>
      <w:r>
        <w:rPr>
          <w:rFonts w:ascii="Times New Roman;Times;Serif" w:hAnsi="Times New Roman;Times;Serif"/>
          <w:b w:val="false"/>
          <w:i w:val="false"/>
          <w:caps w:val="false"/>
          <w:smallCaps w:val="false"/>
          <w:sz w:val="20"/>
        </w:rPr>
        <w:t>” means the date on which a Redemption Notice is given pursuant to an Optional Redemption, Cleanup Redemption or Tax Redemption.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Redemption Reference Price</w:t>
      </w:r>
      <w:r>
        <w:rPr>
          <w:rFonts w:ascii="Times New Roman;Times;Serif" w:hAnsi="Times New Roman;Times;Serif"/>
          <w:b w:val="false"/>
          <w:i w:val="false"/>
          <w:caps w:val="false"/>
          <w:smallCaps w:val="false"/>
          <w:sz w:val="20"/>
        </w:rPr>
        <w:t>” means the average of the Last Reported Sale Price of the Class A Ordinary Shares over the five (5) consecutive Trading Day period ending on, and including, the Trading Day immediately preceding the Redemption Reference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Reference Property</w:t>
      </w:r>
      <w:r>
        <w:rPr>
          <w:rFonts w:ascii="Times New Roman;Times;Serif" w:hAnsi="Times New Roman;Times;Serif"/>
          <w:b w:val="false"/>
          <w:i w:val="false"/>
          <w:caps w:val="false"/>
          <w:smallCaps w:val="false"/>
          <w:sz w:val="20"/>
        </w:rPr>
        <w:t>” shall have the meaning specified in ‎Section 14.08(a).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Regular Record Date</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regular record date</w:t>
      </w:r>
      <w:r>
        <w:rPr>
          <w:rFonts w:ascii="Times New Roman;Times;Serif" w:hAnsi="Times New Roman;Times;Serif"/>
          <w:b w:val="false"/>
          <w:i w:val="false"/>
          <w:caps w:val="false"/>
          <w:smallCaps w:val="false"/>
          <w:sz w:val="20"/>
        </w:rPr>
        <w:t>” with respect to any Interest Payment Date, means the February 15 and August 15 (whether or not such day is a Business Day) immediately preceding the applicable March 1 and September 1 Interest Payment Date,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Relevant Jurisdiction</w:t>
      </w:r>
      <w:r>
        <w:rPr>
          <w:rFonts w:ascii="Times New Roman;Times;Serif" w:hAnsi="Times New Roman;Times;Serif"/>
          <w:b w:val="false"/>
          <w:i w:val="false"/>
          <w:caps w:val="false"/>
          <w:smallCaps w:val="false"/>
          <w:sz w:val="20"/>
        </w:rPr>
        <w:t>” shall have the meaning specified in Section 4.10(a).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Relevant Taxing Jurisdiction</w:t>
      </w:r>
      <w:r>
        <w:rPr>
          <w:rFonts w:ascii="Times New Roman;Times;Serif" w:hAnsi="Times New Roman;Times;Serif"/>
          <w:b w:val="false"/>
          <w:i w:val="false"/>
          <w:caps w:val="false"/>
          <w:smallCaps w:val="false"/>
          <w:sz w:val="20"/>
        </w:rPr>
        <w:t>” shall have the meaning specified in Section 4.10(a).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Reporting Event of Default</w:t>
      </w:r>
      <w:r>
        <w:rPr>
          <w:rFonts w:ascii="Times New Roman;Times;Serif" w:hAnsi="Times New Roman;Times;Serif"/>
          <w:b w:val="false"/>
          <w:i w:val="false"/>
          <w:caps w:val="false"/>
          <w:smallCaps w:val="false"/>
          <w:sz w:val="20"/>
        </w:rPr>
        <w:t>” shall have the meaning specified in ‎Section 6.03.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Reporting Obligations</w:t>
      </w:r>
      <w:r>
        <w:rPr>
          <w:rFonts w:ascii="Times New Roman;Times;Serif" w:hAnsi="Times New Roman;Times;Serif"/>
          <w:b w:val="false"/>
          <w:i w:val="false"/>
          <w:caps w:val="false"/>
          <w:smallCaps w:val="false"/>
          <w:sz w:val="20"/>
        </w:rPr>
        <w:t>” shall have the meaning specified in ‎Section 6.03.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Responsible Officer</w:t>
      </w:r>
      <w:r>
        <w:rPr>
          <w:rFonts w:ascii="Times New Roman;Times;Serif" w:hAnsi="Times New Roman;Times;Serif"/>
          <w:b w:val="false"/>
          <w:i w:val="false"/>
          <w:caps w:val="false"/>
          <w:smallCaps w:val="false"/>
          <w:sz w:val="20"/>
        </w:rPr>
        <w:t>” means an officer within the corporate trust department of the Trustee responsible for the administration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Restricted Securities</w:t>
      </w:r>
      <w:r>
        <w:rPr>
          <w:rFonts w:ascii="Times New Roman;Times;Serif" w:hAnsi="Times New Roman;Times;Serif"/>
          <w:b w:val="false"/>
          <w:i w:val="false"/>
          <w:caps w:val="false"/>
          <w:smallCaps w:val="false"/>
          <w:sz w:val="20"/>
        </w:rPr>
        <w:t>” shall have the meaning specified in Section 2.05(c).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Restrictive Notes Legend</w:t>
      </w:r>
      <w:r>
        <w:rPr>
          <w:rFonts w:ascii="Times New Roman;Times;Serif" w:hAnsi="Times New Roman;Times;Serif"/>
          <w:b w:val="false"/>
          <w:i w:val="false"/>
          <w:caps w:val="false"/>
          <w:smallCaps w:val="false"/>
          <w:sz w:val="20"/>
        </w:rPr>
        <w:t>” shall have the meaning specified in Section 2.05(c).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Rule 144</w:t>
      </w:r>
      <w:r>
        <w:rPr>
          <w:rFonts w:ascii="Times New Roman;Times;Serif" w:hAnsi="Times New Roman;Times;Serif"/>
          <w:b w:val="false"/>
          <w:i w:val="false"/>
          <w:caps w:val="false"/>
          <w:smallCaps w:val="false"/>
          <w:sz w:val="20"/>
        </w:rPr>
        <w:t>” means Rule 144 as promulgated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Rule 144A</w:t>
      </w:r>
      <w:r>
        <w:rPr>
          <w:rFonts w:ascii="Times New Roman;Times;Serif" w:hAnsi="Times New Roman;Times;Serif"/>
          <w:b w:val="false"/>
          <w:i w:val="false"/>
          <w:caps w:val="false"/>
          <w:smallCaps w:val="false"/>
          <w:sz w:val="20"/>
        </w:rPr>
        <w:t>” means Rule 144A as promulgated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Scheduled Trading Day</w:t>
      </w:r>
      <w:r>
        <w:rPr>
          <w:rFonts w:ascii="Times New Roman;Times;Serif" w:hAnsi="Times New Roman;Times;Serif"/>
          <w:b w:val="false"/>
          <w:i w:val="false"/>
          <w:caps w:val="false"/>
          <w:smallCaps w:val="false"/>
          <w:sz w:val="20"/>
        </w:rPr>
        <w:t>” means a day that is scheduled to be a Trading Day on the principal U.S. national or regional securities exchange or market on which the Class A Ordinary Shares are listed or admitted for trading. If the Class A Ordinary Shares are not so listed or admitted for trading, “</w:t>
      </w:r>
      <w:r>
        <w:rPr>
          <w:rFonts w:ascii="Times New Roman;Times;Serif" w:hAnsi="Times New Roman;Times;Serif"/>
          <w:b/>
          <w:i w:val="false"/>
          <w:caps w:val="false"/>
          <w:smallCaps w:val="false"/>
          <w:sz w:val="20"/>
        </w:rPr>
        <w:t>Scheduled Trading Day</w:t>
      </w:r>
      <w:r>
        <w:rPr>
          <w:rFonts w:ascii="Times New Roman;Times;Serif" w:hAnsi="Times New Roman;Times;Serif"/>
          <w:b w:val="false"/>
          <w:i w:val="false"/>
          <w:caps w:val="false"/>
          <w:smallCaps w:val="false"/>
          <w:sz w:val="20"/>
        </w:rPr>
        <w:t>” means a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 and the rules and regulations promulgated by the Commission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Settlement Amount</w:t>
      </w:r>
      <w:r>
        <w:rPr>
          <w:rFonts w:ascii="Times New Roman;Times;Serif" w:hAnsi="Times New Roman;Times;Serif"/>
          <w:b w:val="false"/>
          <w:i w:val="false"/>
          <w:caps w:val="false"/>
          <w:smallCaps w:val="false"/>
          <w:sz w:val="20"/>
        </w:rPr>
        <w:t>” has the meaning specified in ‎Section 14.02(a)(iv).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Settlement Method</w:t>
      </w:r>
      <w:r>
        <w:rPr>
          <w:rFonts w:ascii="Times New Roman;Times;Serif" w:hAnsi="Times New Roman;Times;Serif"/>
          <w:b w:val="false"/>
          <w:i w:val="false"/>
          <w:caps w:val="false"/>
          <w:smallCaps w:val="false"/>
          <w:sz w:val="20"/>
        </w:rPr>
        <w:t>” means, with respect to any conversion of Notes, Physical Settlement, Cash Settlement or Combination Settlement, as elected (or deemed to have been elected)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Settlement Notice</w:t>
      </w:r>
      <w:r>
        <w:rPr>
          <w:rFonts w:ascii="Times New Roman;Times;Serif" w:hAnsi="Times New Roman;Times;Serif"/>
          <w:b w:val="false"/>
          <w:i w:val="false"/>
          <w:caps w:val="false"/>
          <w:smallCaps w:val="false"/>
          <w:sz w:val="20"/>
        </w:rPr>
        <w:t>” has the meaning specified in ‎Section 14.02(a)(iii).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Share Exchange Event</w:t>
      </w:r>
      <w:r>
        <w:rPr>
          <w:rFonts w:ascii="Times New Roman;Times;Serif" w:hAnsi="Times New Roman;Times;Serif"/>
          <w:b w:val="false"/>
          <w:i w:val="false"/>
          <w:caps w:val="false"/>
          <w:smallCaps w:val="false"/>
          <w:sz w:val="20"/>
        </w:rPr>
        <w:t>” shall have the meaning specified in ‎Section 14.08(a).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Share Price</w:t>
      </w:r>
      <w:r>
        <w:rPr>
          <w:rFonts w:ascii="Times New Roman;Times;Serif" w:hAnsi="Times New Roman;Times;Serif"/>
          <w:b w:val="false"/>
          <w:i w:val="false"/>
          <w:caps w:val="false"/>
          <w:smallCaps w:val="false"/>
          <w:sz w:val="20"/>
        </w:rPr>
        <w:t>” shall have the meaning specified in ‎Section 14.03(c).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Significant Subsidiary</w:t>
      </w:r>
      <w:r>
        <w:rPr>
          <w:rFonts w:ascii="Times New Roman;Times;Serif" w:hAnsi="Times New Roman;Times;Serif"/>
          <w:b w:val="false"/>
          <w:i w:val="false"/>
          <w:caps w:val="false"/>
          <w:smallCaps w:val="false"/>
          <w:sz w:val="20"/>
        </w:rPr>
        <w:t xml:space="preserve">” means a Subsidiary of the Company that is a “significant subsidiary” as defined in Article 1, Rule 1-02(w)(1) of Regulation S-X under the Exchange Act (or any successor rule),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if and to the extent paragraph (w)(1)(iii)(A)(2) does not apply to the determination of whether the income test in paragraph (w)(1)(iii) is met, in the case of a Subsidiary that meets the criteria of clause (iii) of the definition thereof but not clause (i) or (ii) thereof, in each case as such rule is in effect on the date of the Offering Memorandum, such Subsidiary shall not be deemed to be a Significant Subsidiary unless the Subsidiary’s income or loss from continuing operations before income taxes, exclusive of amounts attributable to any non-controlling interests, for the last completed fiscal year prior to the date of such determination exceeds $35,000,000. For the avoidance of doubt, to the extent any such Subsidiary would not be deemed to be a “</w:t>
      </w:r>
      <w:r>
        <w:rPr>
          <w:rFonts w:ascii="Times New Roman;Times;Serif" w:hAnsi="Times New Roman;Times;Serif"/>
          <w:b/>
          <w:i w:val="false"/>
          <w:caps w:val="false"/>
          <w:smallCaps w:val="false"/>
          <w:sz w:val="20"/>
        </w:rPr>
        <w:t>Significant Subsidiary</w:t>
      </w:r>
      <w:r>
        <w:rPr>
          <w:rFonts w:ascii="Times New Roman;Times;Serif" w:hAnsi="Times New Roman;Times;Serif"/>
          <w:b w:val="false"/>
          <w:i w:val="false"/>
          <w:caps w:val="false"/>
          <w:smallCaps w:val="false"/>
          <w:sz w:val="20"/>
        </w:rPr>
        <w:t>” under the relevant definition set forth in Article 1, Rule 1-02(w)(1) of Regulation S-X (or any successor rule) as in effect on the relevant date of determination, such Subsidiary shall not be deemed to be a “</w:t>
      </w:r>
      <w:r>
        <w:rPr>
          <w:rFonts w:ascii="Times New Roman;Times;Serif" w:hAnsi="Times New Roman;Times;Serif"/>
          <w:b/>
          <w:i w:val="false"/>
          <w:caps w:val="false"/>
          <w:smallCaps w:val="false"/>
          <w:sz w:val="20"/>
        </w:rPr>
        <w:t>Significant Subsidiary</w:t>
      </w:r>
      <w:r>
        <w:rPr>
          <w:rFonts w:ascii="Times New Roman;Times;Serif" w:hAnsi="Times New Roman;Times;Serif"/>
          <w:b w:val="false"/>
          <w:i w:val="false"/>
          <w:caps w:val="false"/>
          <w:smallCaps w:val="false"/>
          <w:sz w:val="20"/>
        </w:rPr>
        <w:t>” under this Indenture irrespective of whether such Subsidiary would otherwise be deemed to be a “</w:t>
      </w:r>
      <w:r>
        <w:rPr>
          <w:rFonts w:ascii="Times New Roman;Times;Serif" w:hAnsi="Times New Roman;Times;Serif"/>
          <w:b/>
          <w:i w:val="false"/>
          <w:caps w:val="false"/>
          <w:smallCaps w:val="false"/>
          <w:sz w:val="20"/>
        </w:rPr>
        <w:t>Significant Subsidiary</w:t>
      </w:r>
      <w:r>
        <w:rPr>
          <w:rFonts w:ascii="Times New Roman;Times;Serif" w:hAnsi="Times New Roman;Times;Serif"/>
          <w:b w:val="false"/>
          <w:i w:val="false"/>
          <w:caps w:val="false"/>
          <w:smallCaps w:val="false"/>
          <w:sz w:val="20"/>
        </w:rPr>
        <w:t>” after giving effect to the proviso in the immediately preceding sentence.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Specified Dollar Amount</w:t>
      </w:r>
      <w:r>
        <w:rPr>
          <w:rFonts w:ascii="Times New Roman;Times;Serif" w:hAnsi="Times New Roman;Times;Serif"/>
          <w:b w:val="false"/>
          <w:i w:val="false"/>
          <w:caps w:val="false"/>
          <w:smallCaps w:val="false"/>
          <w:sz w:val="20"/>
        </w:rPr>
        <w:t>” means the maximum cash amount per $1,000 principal amount of Notes to be received upon conversion as specified (or deemed specified) in the Settlement Notice related to any converted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Specified Repurchase</w:t>
      </w:r>
      <w:r>
        <w:rPr>
          <w:rFonts w:ascii="Times New Roman;Times;Serif" w:hAnsi="Times New Roman;Times;Serif"/>
          <w:b w:val="false"/>
          <w:i w:val="false"/>
          <w:caps w:val="false"/>
          <w:smallCaps w:val="false"/>
          <w:sz w:val="20"/>
        </w:rPr>
        <w:t>” shall have the meaning specified in Section 15.01(a).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Specified Repurchase Date</w:t>
      </w:r>
      <w:r>
        <w:rPr>
          <w:rFonts w:ascii="Times New Roman;Times;Serif" w:hAnsi="Times New Roman;Times;Serif"/>
          <w:b w:val="false"/>
          <w:i w:val="false"/>
          <w:caps w:val="false"/>
          <w:smallCaps w:val="false"/>
          <w:sz w:val="20"/>
        </w:rPr>
        <w:t>” shall have the meaning specified in Section 15.01(a).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Specified Repurchase Date Company Notice</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i w:val="false"/>
          <w:caps w:val="false"/>
          <w:smallCaps w:val="false"/>
          <w:sz w:val="20"/>
        </w:rPr>
        <w:t>Section 15.01(c)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Specified Repurchase Date Repurchase Notice</w:t>
      </w:r>
      <w:r>
        <w:rPr>
          <w:rFonts w:ascii="Times New Roman;Times;Serif" w:hAnsi="Times New Roman;Times;Serif"/>
          <w:b w:val="false"/>
          <w:i w:val="false"/>
          <w:caps w:val="false"/>
          <w:smallCaps w:val="false"/>
          <w:sz w:val="20"/>
        </w:rPr>
        <w:t>” shall have the meaning specified in Section 15.01(b).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Specified Repurchase Date Repurchase Price</w:t>
      </w:r>
      <w:r>
        <w:rPr>
          <w:rFonts w:ascii="Times New Roman;Times;Serif" w:hAnsi="Times New Roman;Times;Serif"/>
          <w:b w:val="false"/>
          <w:i w:val="false"/>
          <w:caps w:val="false"/>
          <w:smallCaps w:val="false"/>
          <w:sz w:val="20"/>
        </w:rPr>
        <w:t>” shall have the meaning specified in Section 15.01(a).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Spin-Off</w:t>
      </w:r>
      <w:r>
        <w:rPr>
          <w:rFonts w:ascii="Times New Roman;Times;Serif" w:hAnsi="Times New Roman;Times;Serif"/>
          <w:b w:val="false"/>
          <w:i w:val="false"/>
          <w:caps w:val="false"/>
          <w:smallCaps w:val="false"/>
          <w:sz w:val="20"/>
        </w:rPr>
        <w:t>” shall have the meaning specified in ‎Section 14.05(c).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with respect to any Person, any corporation, association, partnership or other business entity of which more than 50% of the total voting power of shares of Capital Shares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Successor Entity</w:t>
      </w:r>
      <w:r>
        <w:rPr>
          <w:rFonts w:ascii="Times New Roman;Times;Serif" w:hAnsi="Times New Roman;Times;Serif"/>
          <w:b w:val="false"/>
          <w:i w:val="false"/>
          <w:caps w:val="false"/>
          <w:smallCaps w:val="false"/>
          <w:sz w:val="20"/>
        </w:rPr>
        <w:t>” shall have the meaning specified in ‎Section 11.01(a).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Redemption</w:t>
      </w:r>
      <w:r>
        <w:rPr>
          <w:rFonts w:ascii="Times New Roman;Times;Serif" w:hAnsi="Times New Roman;Times;Serif"/>
          <w:b w:val="false"/>
          <w:i w:val="false"/>
          <w:caps w:val="false"/>
          <w:smallCaps w:val="false"/>
          <w:sz w:val="20"/>
        </w:rPr>
        <w:t>” shall have the meaning specified in Section 16.03(a).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Redemption Date</w:t>
      </w:r>
      <w:r>
        <w:rPr>
          <w:rFonts w:ascii="Times New Roman;Times;Serif" w:hAnsi="Times New Roman;Times;Serif"/>
          <w:b w:val="false"/>
          <w:i w:val="false"/>
          <w:caps w:val="false"/>
          <w:smallCaps w:val="false"/>
          <w:sz w:val="20"/>
        </w:rPr>
        <w:t>” shall have the meaning specified in Section 16.03(e).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Redemption Notice</w:t>
      </w:r>
      <w:r>
        <w:rPr>
          <w:rFonts w:ascii="Times New Roman;Times;Serif" w:hAnsi="Times New Roman;Times;Serif"/>
          <w:b w:val="false"/>
          <w:i w:val="false"/>
          <w:caps w:val="false"/>
          <w:smallCaps w:val="false"/>
          <w:sz w:val="20"/>
        </w:rPr>
        <w:t>” shall have the meaning specified in Section 16.03(e).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xml:space="preserve">” means, except for determining amounts due upon conversion, a day on which (i) trading in the Class A Ordinary Shares (or other security for which a closing sale price must be determined) generally occurs on the Nasdaq Capital Market or, if the Class A Ordinary Shares (or such other security) are not then listed on the Nasdaq Capital Market, on the principal other U.S. national or regional securities exchange on which the Class A Ordinary Shares (or such other security) are then listed or, if the Class A Ordinary Shares (or such other security) are not then listed on a U.S. national or regional securities exchange, on the principal other market on which the Class A Ordinary Shares (or such other security) are then traded, and (ii) a Last Reported Sale Price for the Class A Ordinary Shares (or closing sale price for such other security) is available on such securities exchange or market;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Class A Ordinary Shares (or such other security) are not so listed or traded, “</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xml:space="preserve">” means a Business Day;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for the purposes of determining amounts are due upon conversion only, “</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 day on which (i) there is no Market Disruption Event and (ii) trading in the Class A Ordinary Shares generally occurs on the Nasdaq Capital Market or, if the Class A Ordinary Shares are not then listed on the Nasdaq Capital Market, on the principal other U.S. national or regional securities exchange on which the Class A Ordinary Shares are then listed or, if the Class A Ordinary Shares are not then listed on a U.S. national or regional securities exchange, on the principal other market on which the Class A Ordinary Shares are then listed or admitted for trading, except that if the Class A Ordinary Shares are not so listed or admitted for trading, “</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Trading Price</w:t>
      </w:r>
      <w:r>
        <w:rPr>
          <w:rFonts w:ascii="Times New Roman;Times;Serif" w:hAnsi="Times New Roman;Times;Serif"/>
          <w:b w:val="false"/>
          <w:i w:val="false"/>
          <w:caps w:val="false"/>
          <w:smallCaps w:val="false"/>
          <w:sz w:val="20"/>
        </w:rPr>
        <w:t>” means, with respect to the Notes and any date of determination, the average of the secondary market bid quotations obtained by the Bid Solicitation Agent for $5,000,000 (or such lesser amount as may then be outstanding) principal amount of Notes at approximately 3:30 p.m., New York City time, on such determination date from three independent nationally recognized securities dealers the Company selects for this purpose; provided that if three such bids cannot reasonably be obtained by the Bid Solicitation Agent but two such bids are obtained, then the average of the two bids shall be used, and if only one such bid can reasonably be obtained by the Bid Solicitation Agent, that one bid shall be used. If, on any determination date, the Bid Solicitation Agent cannot reasonably obtain at least one bid for $5,000,000 (or such lesser amount as may then be outstanding) principal amount of Notes from a nationally recognized securities dealer, then the Trading Price per $1,000 principal amount of Notes on such determination date shall be deemed to be less than 98% of the product of the Last Reported Sale Price of the Class A Ordinary Shares and the Conversion Rate. Any such determination will be conclusive absent manifest error.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shall have the meaning specified in Section 2.05(c).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Trigger Event</w:t>
      </w:r>
      <w:r>
        <w:rPr>
          <w:rFonts w:ascii="Times New Roman;Times;Serif" w:hAnsi="Times New Roman;Times;Serif"/>
          <w:b w:val="false"/>
          <w:i w:val="false"/>
          <w:caps w:val="false"/>
          <w:smallCaps w:val="false"/>
          <w:sz w:val="20"/>
        </w:rPr>
        <w:t>” shall have the meaning specified in ‎Section 14.05(c).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Trust Indenture Act</w:t>
      </w:r>
      <w:r>
        <w:rPr>
          <w:rFonts w:ascii="Times New Roman;Times;Serif" w:hAnsi="Times New Roman;Times;Serif"/>
          <w:b w:val="false"/>
          <w:i w:val="false"/>
          <w:caps w:val="false"/>
          <w:smallCaps w:val="false"/>
          <w:sz w:val="20"/>
        </w:rPr>
        <w:t xml:space="preserve">” means the Trust Indenture Act of 1939, as amended, as it was in force at the date of execution of this Indenture;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the event the Trust Indenture Act of 1939 is amended after the date hereof, the term “</w:t>
      </w:r>
      <w:r>
        <w:rPr>
          <w:rFonts w:ascii="Times New Roman;Times;Serif" w:hAnsi="Times New Roman;Times;Serif"/>
          <w:b/>
          <w:i w:val="false"/>
          <w:caps w:val="false"/>
          <w:smallCaps w:val="false"/>
          <w:sz w:val="20"/>
        </w:rPr>
        <w:t>Trust Indenture Act</w:t>
      </w:r>
      <w:r>
        <w:rPr>
          <w:rFonts w:ascii="Times New Roman;Times;Serif" w:hAnsi="Times New Roman;Times;Serif"/>
          <w:b w:val="false"/>
          <w:i w:val="false"/>
          <w:caps w:val="false"/>
          <w:smallCaps w:val="false"/>
          <w:sz w:val="20"/>
        </w:rPr>
        <w:t>” shall mean, to the extent required by such amendment, the Trust Indenture Act of 1939, as so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means the Person named as the “Trustee” in the first paragraph of this Indenture until a successor trustee shall have become such pursuant to the applicable provisions of this Indenture, and thereafter “Trustee” shall mean or include each Person who is then a Trustee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unit of Reference Property</w:t>
      </w:r>
      <w:r>
        <w:rPr>
          <w:rFonts w:ascii="Times New Roman;Times;Serif" w:hAnsi="Times New Roman;Times;Serif"/>
          <w:b w:val="false"/>
          <w:i w:val="false"/>
          <w:caps w:val="false"/>
          <w:smallCaps w:val="false"/>
          <w:sz w:val="20"/>
        </w:rPr>
        <w:t>” shall have the meaning specified in ‎Section 14.08(a).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Valuation Period</w:t>
      </w:r>
      <w:r>
        <w:rPr>
          <w:rFonts w:ascii="Times New Roman;Times;Serif" w:hAnsi="Times New Roman;Times;Serif"/>
          <w:b w:val="false"/>
          <w:i w:val="false"/>
          <w:caps w:val="false"/>
          <w:smallCaps w:val="false"/>
          <w:sz w:val="20"/>
        </w:rPr>
        <w:t>” shall have the meaning specified in ‎Section 14.05(c).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Wholly Owned Subsidiary</w:t>
      </w:r>
      <w:r>
        <w:rPr>
          <w:rFonts w:ascii="Times New Roman;Times;Serif" w:hAnsi="Times New Roman;Times;Serif"/>
          <w:b w:val="false"/>
          <w:i w:val="false"/>
          <w:caps w:val="false"/>
          <w:smallCaps w:val="false"/>
          <w:sz w:val="20"/>
        </w:rPr>
        <w:t>” means, with respect to any Person, any Subsidiary of such Person, except that, solely for purposes of this definition, the reference to “more than 50%” in the definition of “Subsidiary” shall be deemed replaced by a reference to “100%,” the calculation of which shall exclude nominal amounts of the voting power of Capital Shares or other interests in the relevant Subsidiary not held by such person to the extent required to satisfy local minority interest requirements outside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caps w:val="false"/>
          <w:smallCaps w:val="false"/>
          <w:sz w:val="20"/>
        </w:rPr>
        <w:t>References to Interest.</w:t>
      </w:r>
      <w:r>
        <w:rPr>
          <w:rFonts w:ascii="Times New Roman;Times;Serif" w:hAnsi="Times New Roman;Times;Serif"/>
          <w:b w:val="false"/>
          <w:i w:val="false"/>
          <w:caps w:val="false"/>
          <w:smallCaps w:val="false"/>
          <w:sz w:val="20"/>
        </w:rPr>
        <w:t xml:space="preserve"> Unless the context otherwise requires, any reference to interest on, or in respect of, any Note in this Indenture shall be deemed to include Additional Interest if, in such context, Additional Interest is, was or would be payable pursuant to ‎any of Section 4.06(d) and Section 6.03. Unless the context otherwise requires, any express mention of Additional Interest in any provision hereof shall not be construed as excluding Additional Interest in those provisions hereof where such express mention is not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2</w:t>
      </w:r>
      <w:r>
        <w:rPr>
          <w:rFonts w:ascii="Times New Roman;Times;Serif" w:hAnsi="Times New Roman;Times;Serif"/>
          <w:b w:val="false"/>
          <w:i w:val="false"/>
          <w:smallCaps/>
          <w:sz w:val="20"/>
        </w:rPr>
        <w:br/>
        <w:t>Issue, Description, Execution, Registration and Exchange of Notes</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2.01 </w:t>
      </w:r>
      <w:r>
        <w:rPr>
          <w:rFonts w:ascii="Times New Roman;Times;Serif" w:hAnsi="Times New Roman;Times;Serif"/>
          <w:b w:val="false"/>
          <w:i/>
          <w:caps w:val="false"/>
          <w:smallCaps w:val="false"/>
          <w:sz w:val="20"/>
        </w:rPr>
        <w:t>Designation and Amount.</w:t>
      </w:r>
      <w:r>
        <w:rPr>
          <w:rFonts w:ascii="Times New Roman;Times;Serif" w:hAnsi="Times New Roman;Times;Serif"/>
          <w:b w:val="false"/>
          <w:i w:val="false"/>
          <w:caps w:val="false"/>
          <w:smallCaps w:val="false"/>
          <w:sz w:val="20"/>
        </w:rPr>
        <w:t xml:space="preserve"> The Notes shall be designated as the “5.00% Convertible Senior Notes due 2032.” The aggregate principal amount of Notes that may be authenticated and delivered under this Indenture is initially limited to $325,000,000 plus up to an additional $50,000,000 principal amount of any additional Notes purchased by the Initial Purchasers pursuant to the exercise of their option to purchase additional Notes as set forth in the Purchase Agreement, subject to ‎Section 2.10 and except for Notes authenticated and delivered upon registration or transfer of, or in exchange for, or in lieu of other Notes to the extent expressly permitted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2.02 </w:t>
      </w:r>
      <w:r>
        <w:rPr>
          <w:rFonts w:ascii="Times New Roman;Times;Serif" w:hAnsi="Times New Roman;Times;Serif"/>
          <w:b w:val="false"/>
          <w:i/>
          <w:caps w:val="false"/>
          <w:smallCaps w:val="false"/>
          <w:sz w:val="20"/>
        </w:rPr>
        <w:t>Form of Notes.</w:t>
      </w:r>
      <w:r>
        <w:rPr>
          <w:rFonts w:ascii="Times New Roman;Times;Serif" w:hAnsi="Times New Roman;Times;Serif"/>
          <w:b w:val="false"/>
          <w:i w:val="false"/>
          <w:caps w:val="false"/>
          <w:smallCaps w:val="false"/>
          <w:sz w:val="20"/>
        </w:rPr>
        <w:t xml:space="preserve"> The Notes and the Trustee’s certificate of authentication to be borne by such Notes shall be substantially in the respective forms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the terms and provisions of which shall constitute, and are hereby expressly incorporated in and made a part of this Indenture. To the extent applicable, the Company and the Trustee, by their execution and delivery of this Indenture, expressly agree to such terms and provisions and to be bound thereby. In the case of any conflict between this Indenture and a Note, the provisions of this Indenture shall control and govern to the extent of such conflict.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Global Note may be endorsed with or have incorporated in the text thereof such legends or recitals or changes not inconsistent with the provisions of this Indenture as may be required by the Note Custodian or the Depositary, or as may be required to comply with any applicable law or any regulation thereunder or with the rules and regulations of any securities exchange or automated quotation system upon which the Notes may be listed, traded or designated for issuance or to conform with any usage with respect thereto, or to indicate any special limitations or restrictions to which any particular Notes are subject.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Notes may have such letters, numbers or other marks of identification and such notations, legends or endorsements as the Officer executing the same may approve (execution thereof to be conclusive evidence of such approval) and as are not inconsistent with the provisions of this Indenture, or as may be required to comply with any law or with any rule or regulation made pursuant thereto or with any rule or regulation of any securities exchange or automated quotation system on which the Notes may be listed or designated for issuance, or to conform to usage or to indicate any special limitations or restrictions to which any particular Notes are subject.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Global Note shall represent such principal amount of the outstanding Notes as shall be specified therein and shall provide that it shall represent the aggregate principal amount of outstanding Notes from time to time endorsed thereon and that the aggregate principal amount of outstanding Notes represented thereby may from time to time be increased or reduced to reflect redemptions, repurchases, cancellations, conversions, transfers or exchanges permitted hereby. Any endorsement of a Global Note to reflect the amount of any increase or decrease in the amount of outstanding Notes represented thereby shall be made by the Trustee or the Note Custodian, at the direction of the Trustee, in such manner and upon instructions given by the Holder of such Notes in accordance with this Indenture. Payment of principal (including the Redemption Price, the Fundamental Change Repurchase Price and the Specified Repurchase Date Repurchase Price, if applicable) of, and accrued and unpaid interest on, a Global Note shall be made to the Holder of such Note on the date of payment, unless a record date or other means of determining Holders eligible to receive payment is </w:t>
      </w:r>
      <w:r>
        <w:rPr>
          <w:rFonts w:ascii="Times New Roman;Times;Serif" w:hAnsi="Times New Roman;Times;Serif"/>
          <w:b w:val="false"/>
          <w:i/>
          <w:caps w:val="false"/>
          <w:smallCaps w:val="false"/>
          <w:sz w:val="20"/>
        </w:rPr>
        <w:t>provided for herein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2.03 </w:t>
      </w:r>
      <w:r>
        <w:rPr>
          <w:rFonts w:ascii="Times New Roman;Times;Serif" w:hAnsi="Times New Roman;Times;Serif"/>
          <w:b w:val="false"/>
          <w:i/>
          <w:caps w:val="false"/>
          <w:smallCaps w:val="false"/>
          <w:sz w:val="20"/>
        </w:rPr>
        <w:t>Date and Denomination of Notes; Payments of Interest and Defaulted Amounts.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Notes shall be issuable in registered form without coupons in minimum denominations of $1,000 principal amount and integral multiples thereof. Each Note shall be dated the date of its authentication and shall bear interest from the date specified on the face of such Note. Accrued interest on the Notes shall be computed on the basis of a 360-day year composed of twelve 30-day months and, for partial months, on the basis of the number of days actually elapsed in a 30-day month.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Person in whose name any Note (or its Predecessor Note) is registered on the Note Register at the close of business on any Regular Record Date with respect to any Interest Payment Date shall be entitled to receive the interest payable on such Interest Payment Date. The principal amount of any Note (x) in the case of any Physical Note, shall be payable at the Corporate Trust Office of the Trustee and (y) in the case of any Global Note, shall be payable by wire transfer of immediately available funds to the account of the Depositary or its nominee. The Company shall pay, or cause the Paying Agent to pay (to the extent funded by the Company), interest (i) on any Physical Notes (A) to Holders holding Physical Notes having an aggregate principal amount of $5,000,000 or less, by check mailed (at the Company’s expense) to the Holders of these Notes at their addresses as they appear in the Note Register and (B) to Holders holding Physical Notes having an aggregate principal amount of more than $5,000,000, either by check mailed (at the Company’s expense) to each such Holder or, upon application by such a Holder to the Trustee not later than the relevant Regular Record Date, by wire transfer in immediately available funds to that Holder’s account within the United States if such Holder has provided the Company, the Trustee or the Paying Agent (if other than the Trustee) with the requisite information necessary to make such wire transfer, which application shall remain in effect until the Holder notifies, in writing, the Trustee to the contrary, or (ii) on any Global Note by wire transfer of immediately available funds to the account of the Depositary or its nominee.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Defaulted Amounts shall forthwith cease to be payable to the Holder on the relevant payment date but shall accrue interest per annum at the rate borne by the Notes, subject to the enforceability thereof under applicable law, from, and including, such relevant payment date, and such Defaulted Amounts together with such interest thereon shall be paid by the Company, at its election in each case, as provided in clause ‎(i) or clause ‎(ii) below: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may elect to make payment of any Defaulted Amounts to the Persons in whose names the Notes (or their respective Predecessor Notes) are registered at the close of business on a special record date for the payment of such Defaulted Amounts, which shall be fixed in the following manner. The Company shall notify the Trustee in writing of the amount of the Defaulted Amounts proposed to be paid on each Note and the date of the proposed payment (which shall be not less than 25 days after the receipt by the Trustee of such notice, unless the Trustee shall consent to an earlier date), and at the same time the Company shall deposit with the Trustee an amount of money equal to the aggregate amount to be paid in respect of such Defaulted Amounts or shall make arrangements satisfactory to the Trustee for such deposit on or prior to the date of the proposed payment, such money when deposited to be held in trust for the benefit of the Persons entitled to such Defaulted Amounts as in this clause provided. Thereupon the Company shall fix a special record date for the payment of such Defaulted Amounts which shall be not more than 15 days and not less than 10 days prior to the date of the proposed payment, and not less than 10 days after the receipt by the Trustee of the notice of the proposed payment (unless the Trustee shall consent to an earlier date). The Company shall promptly notify the Trustee of such special record date and the Trustee, in the name and at the expense of the Company, shall cause notice of the proposed payment of such Defaulted Amounts and the special record date therefor to be delivered to each Holder not less than 10 days prior to such special record date. Notice of the proposed payment of such Defaulted Amounts and the special record date therefor having been so delivered, such Defaulted Amounts shall be paid to the Persons in whose names the Notes (or their respective Predecessor Notes) are registered at the close of business on such special record date and shall no longer be payable pursuant to the following clause ‎(ii) of this Section 2.03(c).</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may make payment of any Defaulted Amounts in any other lawful manner not inconsistent with the requirements of any securities exchange or automated quotation system on which the Notes may be listed or designated for issuance, and upon such notice as may be required by such exchange or automated quotation system, if, after notice given by the Company to the Trustee of the proposed payment pursuant to this clause, such manner of payment shall be deemed practicable by the Trustee.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no responsibility whatsoever for the calculation of the Defaulted Amounts.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doubt, the Company may make payment of any Defaulted Amounts and any interest thereon relating to any amounts due upon conversion of the Notes (other than interest) in a manner other than as provided in Section 2.03(c)(i); provided that such manner would be permitted under the terms of this Indenture if such amounts due upon conversion were not Defaulted Amounts.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2.04 </w:t>
      </w:r>
      <w:r>
        <w:rPr>
          <w:rFonts w:ascii="Times New Roman;Times;Serif" w:hAnsi="Times New Roman;Times;Serif"/>
          <w:b w:val="false"/>
          <w:i/>
          <w:caps w:val="false"/>
          <w:smallCaps w:val="false"/>
          <w:sz w:val="20"/>
        </w:rPr>
        <w:t>Execution, Authentication and Delivery of Notes</w:t>
      </w:r>
      <w:r>
        <w:rPr>
          <w:rFonts w:ascii="Times New Roman;Times;Serif" w:hAnsi="Times New Roman;Times;Serif"/>
          <w:b w:val="false"/>
          <w:i w:val="false"/>
          <w:caps w:val="false"/>
          <w:smallCaps w:val="false"/>
          <w:sz w:val="20"/>
        </w:rPr>
        <w:t>. The Notes shall be signed in the name and on behalf of the Company by the manual, facsimile or other electronic signature of its Chief Executive Officer, President, Chief Financial Officer, Chief Accounting Officer, Treasurer, General Counsel, Secretary, any of its Executive, Senior Vice Presidents or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and from time to time after the execution and delivery of this Indenture, the Company may deliver Notes executed by the Company to the Trustee for authentication, together with a Company Order (such Company Order to include the terms of the Notes) for the authentication and delivery of such Notes, and the Trustee in accordance with such Company Order shall authenticate and deliver such Notes, without any further action by the Company hereunder; provided that, subject to Section 17.05, the Trustee shall be entitled to receive an Officer’s Certificate and an Opinion of Counsel of the Company with respect to the issuance, authentication and delivery of such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such Notes as shall bear thereon a certificate of authentication substantially in the form set forth on the Form of Note attached as Exhibit A hereto, executed manually by an authorized signatory of the Trustee (or an authenticating agent appointed by the Trustee as provided by Section 17.10), shall be entitled to the benefits of this Indenture or be valid or obligatory for any purpose. Such certificate by the Trustee (or such an authenticating agent) upon any Note executed by the Company shall be conclusive evidence that the Note so authenticated has been duly authenticated and delivered hereunder and that the Holder is entitled to the benefits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Officer of the Company who shall have signed any of the Notes shall cease to be such Officer before the Notes so signed shall have been authenticated and delivered by the Trustee, or disposed of by the Company, such Notes nevertheless may be authenticated and delivered or disposed of as though the person who signed such Notes had not ceased to be such Officer of the Company; and any Note may be signed on behalf of the Company by such persons as, at the actual date of the execution of such Note, shall be the Officers of the Company, although at the date of the execution of this Indenture any such person was not such an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2.05 </w:t>
      </w:r>
      <w:r>
        <w:rPr>
          <w:rFonts w:ascii="Times New Roman;Times;Serif" w:hAnsi="Times New Roman;Times;Serif"/>
          <w:b w:val="false"/>
          <w:i/>
          <w:caps w:val="false"/>
          <w:smallCaps w:val="false"/>
          <w:sz w:val="20"/>
        </w:rPr>
        <w:t>Exchange and Registration of Transfer of Notes; Restrictions on Transfer;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cause to be kept at the Corporate Trust Office a register (the register maintained in such office or in any other office or agency of the Company designated pursuant to Section 4.02, the “</w:t>
      </w:r>
      <w:r>
        <w:rPr>
          <w:rFonts w:ascii="Times New Roman;Times;Serif" w:hAnsi="Times New Roman;Times;Serif"/>
          <w:b/>
          <w:i w:val="false"/>
          <w:caps w:val="false"/>
          <w:smallCaps w:val="false"/>
          <w:sz w:val="20"/>
        </w:rPr>
        <w:t>Note Register</w:t>
      </w:r>
      <w:r>
        <w:rPr>
          <w:rFonts w:ascii="Times New Roman;Times;Serif" w:hAnsi="Times New Roman;Times;Serif"/>
          <w:b w:val="false"/>
          <w:i w:val="false"/>
          <w:caps w:val="false"/>
          <w:smallCaps w:val="false"/>
          <w:sz w:val="20"/>
        </w:rPr>
        <w:t>”) in which, subject to such reasonable regulations as it may prescribe, the Company shall provide for the registration of Notes and of transfers of Notes. Such register shall be in written form or in any form capable of being converted into written form within a reasonable period of time. The Trustee is hereby initially appointed the “</w:t>
      </w:r>
      <w:r>
        <w:rPr>
          <w:rFonts w:ascii="Times New Roman;Times;Serif" w:hAnsi="Times New Roman;Times;Serif"/>
          <w:b/>
          <w:i w:val="false"/>
          <w:caps w:val="false"/>
          <w:smallCaps w:val="false"/>
          <w:sz w:val="20"/>
        </w:rPr>
        <w:t>Note Registrar</w:t>
      </w:r>
      <w:r>
        <w:rPr>
          <w:rFonts w:ascii="Times New Roman;Times;Serif" w:hAnsi="Times New Roman;Times;Serif"/>
          <w:b w:val="false"/>
          <w:i w:val="false"/>
          <w:caps w:val="false"/>
          <w:smallCaps w:val="false"/>
          <w:sz w:val="20"/>
        </w:rPr>
        <w:t>” for the purpose of registering Notes and transfers of Notes as herein provided. The Company may appoint one or more co-Note Registrars in accordance with Section 4.02.</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surrender for registration of transfer of any Note to the Note Registrar or any co-Note Registrar, and satisfaction of the requirements for such transfer set forth in this Section 2.05, the Company shall execute, and the Trustee, upon receipt of a Company Order, shall authenticate and deliver, in the name of the designated transferee or transferees, one or more new Notes of any authorized denominations and of a like aggregate principal amount and bearing such restrictive legends as may be required by this Indenture.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may be exchanged for other Notes of any authorized denominations and of a like aggregate principal amount, upon surrender of the Notes to be exchanged at any such office or agency maintained by the Company pursuant to Section 4.02. Whenever any Notes are so surrendered for exchange, the Company shall execute, and the Trustee shall authenticate and deliver, the Notes that the Holder making the exchange is entitled to receive, bearing registration numbers not contemporaneously outstanding.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Notes presented or surrendered for registration of transfer or for exchange, repurchase or conversion shall (if so required by the Company, the Trustee, the Note Registrar or any co-Note Registrar) be duly endorsed, or be accompanied by a written instrument or instruments of transfer in form satisfactory to the Company and duly executed, by the Holder thereof or its attorney-in-fact duly authorized in writing.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shall be imposed by the transfer agent or the Note Registrar for any exchange or registration of transfer of Notes, but the Company may require a Holder to pay a sum sufficient to cover any documentary, stamp or similar issue or transfer tax required in connection therewith as a result of the name of the Holder of new Notes issued upon such exchange or registration of transfer being different from the name of the Holder of the old Notes surrendered for exchange or registration of transfer.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Company, the Trustee or the Note Registrar shall be required to exchange or register a transfer of (1) any Notes selected for Redemption in accordance with ‎Article 16, except the unredeemed portion of any Note being redeemed in part, subject to the Applicable Procedures of the Depositary, (2) any Notes surrendered for conversion or, if a portion of any Note is surrendered for conversion, such portion thereof surrendered for conversion or (3) any Notes, or a portion of any Note, surrendered for repurchase (and not withdrawn) in accordance with ‎Article 15 upon a Fundamental Change or the Specified Repurchase.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Notes issued upon any registration of transfer or exchange of Notes in accordance with this Indenture shall be the valid obligations of the Company, evidencing the same debt, and entitled to the same benefits under this Indenture as the Notes surrendered upon such registration of transfer or exchange.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So long as the Notes are eligible for book-entry settlement with the Depositary, unless otherwise required by law, subject to the second paragraph of ‎Section 2.05(c), all Notes shall be represented by one or more Notes in global form (each, a “</w:t>
      </w:r>
      <w:r>
        <w:rPr>
          <w:rFonts w:ascii="Times New Roman;Times;Serif" w:hAnsi="Times New Roman;Times;Serif"/>
          <w:b/>
          <w:i w:val="false"/>
          <w:caps w:val="false"/>
          <w:smallCaps w:val="false"/>
          <w:sz w:val="20"/>
        </w:rPr>
        <w:t>Global Note</w:t>
      </w:r>
      <w:r>
        <w:rPr>
          <w:rFonts w:ascii="Times New Roman;Times;Serif" w:hAnsi="Times New Roman;Times;Serif"/>
          <w:b w:val="false"/>
          <w:i w:val="false"/>
          <w:caps w:val="false"/>
          <w:smallCaps w:val="false"/>
          <w:sz w:val="20"/>
        </w:rPr>
        <w:t xml:space="preserve">”) registered in the name of the Depositary or the nominee of the Depositary. Each Global Note shall bear the legend required on a Global Note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The transfer and exchange of beneficial interests in a Global Note that does not involve the issuance of a Physical Note shall be effected through the Depositary (but not the Trustee or the Note Custodian) in accordance with this Indenture (including the restrictions on transfer set forth herein) and the Applicable Procedures of the Depositary therefor.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Every Note that bears or is required under this Section 2.05(c) to bear the Restrictive Notes Legend (together with any Class A Ordinary Shares issued upon conversion of the Notes that is required to bear the legend set forth in Section 2.05(d), collectively, the “</w:t>
      </w:r>
      <w:r>
        <w:rPr>
          <w:rFonts w:ascii="Times New Roman;Times;Serif" w:hAnsi="Times New Roman;Times;Serif"/>
          <w:b/>
          <w:i w:val="false"/>
          <w:caps w:val="false"/>
          <w:smallCaps w:val="false"/>
          <w:sz w:val="20"/>
        </w:rPr>
        <w:t>Restricted Securities</w:t>
      </w:r>
      <w:r>
        <w:rPr>
          <w:rFonts w:ascii="Times New Roman;Times;Serif" w:hAnsi="Times New Roman;Times;Serif"/>
          <w:b w:val="false"/>
          <w:i w:val="false"/>
          <w:caps w:val="false"/>
          <w:smallCaps w:val="false"/>
          <w:sz w:val="20"/>
        </w:rPr>
        <w:t>”) shall be subject to the restrictions on transfer set forth in this Section 2.05(c) (including the Restrictive Notes Legend set forth below), unless such restrictions on transfer shall be eliminated or otherwise waived by written consent of the Company, and the Holder of each such Restricted Security, by such Holder’s acceptance thereof, agrees to be bound by all such restrictions on transfer. As used in this Section 2.05(c) and Section 2.05(d), the term “transfer” encompasses any sale, pledge, transfer or other disposition whatsoever of any Restricted Security.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evidencing such Note (and all securities issued in exchange therefor or substitution thereof, other than Class A Ordinary Shares, if any, issued upon conversion thereof, which shall bear the legend set forth in Section 2.05(d), if applicable) shall bear a legend in substantially the following form (the “</w:t>
      </w:r>
      <w:r>
        <w:rPr>
          <w:rFonts w:ascii="Times New Roman;Times;Serif" w:hAnsi="Times New Roman;Times;Serif"/>
          <w:b/>
          <w:i w:val="false"/>
          <w:caps w:val="false"/>
          <w:smallCaps w:val="false"/>
          <w:sz w:val="20"/>
        </w:rPr>
        <w:t>Restrictive Notes Legend</w:t>
      </w:r>
      <w:r>
        <w:rPr>
          <w:rFonts w:ascii="Times New Roman;Times;Serif" w:hAnsi="Times New Roman;Times;Serif"/>
          <w:b w:val="false"/>
          <w:i w:val="false"/>
          <w:caps w:val="false"/>
          <w:smallCaps w:val="false"/>
          <w:sz w:val="20"/>
        </w:rPr>
        <w:t>”) (unless such Notes have been transferred pursuant to a registration statement that has become or been declared effective under the Securities Act and that continues to be effective at the time of such transfer, or sold pursuant to the exemption from registration provided by Rule 144 or any similar provision then in force under the Securities Act, or unless otherwise agreed by the Company in writing, with notice thereof to the Trustee):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HAS NOT BEEN REGISTERED UNDER THE SECURITIES ACT OF 1933, AS AMENDED (THE “SECURITIES ACT”), AND MAY NOT BE OFFERED, SOLD, PLEDGED OR OTHERWISE TRANSFERRED EXCEPT IN ACCORDANCE WITH THE FOLLOWING SENTENCE. BY ITS ACQUISITION HEREOF OR OF A BENEFICIAL INTEREST HEREIN, THE ACQUIRER: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REPRESENTS THAT IT AND ANY ACCOUNT FOR WHICH IT IS ACTING IS A “QUALIFIED INSTITUTIONAL BUYER” (WITHIN THE MEANING OF RULE 144A UNDER THE SECURITIES ACT) AND THAT IT EXERCISES SOLE INVESTMENT DISCRETION WITH RESPECT TO EACH SUCH ACCOUNT,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AGREES FOR THE BENEFIT OF BITDEER TECHNOLOGIES GROUP (THE “COMPANY”) THAT IT WILL NOT OFFER, SELL, PLEDGE OR OTHERWISE TRANSFER THIS SECURITY OR ANY BENEFICIAL INTEREST HEREIN, EXCEPT: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COMPANY OR ANY SUBSIDIARY THEREOF, OR</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PURSUANT TO A REGISTRATION STATEMENT WHICH HAS BECOME EFFECTIVE UNDER THE SECURITIES ACT, OR</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A QUALIFIED INSTITUTIONAL BUYER IN COMPLIANCE WITH RULE 144A UNDER THE SECURITIES ACT, OR</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PURSUANT TO AN EXEMPTION FROM REGISTRATION PROVIDED BY RULE 144 UNDER THE SECURITIES ACT OR ANY OTHER AVAILABLE EXEMPTION FROM THE REGISTRATION REQUIREMENTS OF THE SECURITIES ACT.</w:t>
      </w:r>
    </w:p>
    <w:p>
      <w:pPr>
        <w:pStyle w:val="TextBody"/>
        <w:bidi w:val="0"/>
        <w:spacing w:before="0" w:after="0"/>
        <w:ind w:left="216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REGISTRATION OF ANY TRANSFER IN ACCORDANCE WITH CLAUSE (2)(D) ABOVE, THE COMPANY AND THE TRUSTEE RESERVE THE RIGHT TO REQUIRE THE DELIVERY OF SUCH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transfer of any Note required to bear the legend above will be registered by the Note Registrar unless the applicable box on the Form of Assignment and Transfer has been checked.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Note (or security issued in exchange or substitution therefor) (i) that has been transferred pursuant to a registration statement that has become effective or been declared effective under the Securities Act and that continues to be effective at the time of such transfer or (ii) that has been sold pursuant to the exemption from registration provided by Rule 144 or any similar provision then in force under the Securities Act, may, upon surrender of such Note for exchange to the Note Registrar in accordance with the provisions of this Section 2.05, be exchanged for a new Note or Notes, of like tenor and aggregate principal amount, which shall not bear the Restrictive Notes Legend required by this Section 2.05(c) and shall not be assigned a restricted CUSIP number. The Company shall be entitled to instruct the Custodian in writing to so surrender any Global Note as to which any of the conditions set forth in clause (i) through (ii) of the immediately preceding sentence have been satisfied, and, upon such instruction, the Custodian shall so surrender such Global Note for exchange; and any new Global Note so exchanged therefor shall not bear the Restrictive Notes Legend specified in this Section 2.05(c) and shall not be assigned a restricted CUSIP number. The Company shall promptly notify the Trustee in writing after a registration statement, if any, with respect to the Notes or any Class A Ordinary Shares issued upon conversion of the Notes has become or been declared effective under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provisions of this Indenture (other than the provisions set forth in this Section 2.05(c)), a Global Note may not be transferred as a whole or in part except (i) by the Depositary to a nominee of the Depositary or by a nominee of the Depositary to the Depositary or another nominee of the Depositary or by the Depositary or any such nominee to a successor Depositary or a nominee of such successor Depositary and (ii) for exchange of a Global Note or a portion thereof for one or more Physical Notes in accordance with the second immediately succeeding paragraph.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shall be a clearing agency registered under the Exchange Act. The Company initially appoints DTC to act as Depositary with respect to each Global Note. Initially, each Global Note shall be issued to the Depositary, registered in the name of Cede &amp; Co., as the nominee of the Depositary, and deposited with the Trustee as custodian for Cede &amp; Co.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 the Depositary notifies the Company at any time that the Depositary is unwilling or unable to continue as depositary for the Global Notes and a successor depositary is not appointed within 90 days, (ii) the Depositary ceases to be registered as a clearing agency under the Exchange Act and a successor depositary is not appointed within 90 days or (iii) an Event of Default with respect to the Notes has occurred and is continuing and, subject to the Depositary’s Applicable Procedures, a beneficial owner of any Global Note requests that its beneficial interest therein be issued as a Physical Note, the Company shall execute, and the Trustee, upon receipt of an Officer’s Certificate and a Company Order for the authentication and delivery of Notes, shall authenticate and deliver (x) in the case of clause ‎(iii), a Physical Note to such beneficial owner in a principal amount equal to the principal amount of such Note corresponding to such beneficial owner’s beneficial interest and (y) in the case of clause ‎(i) or ‎(ii), Physical Notes to each beneficial owner of the related Global Notes (or a portion thereof) in an aggregate principal amount equal to the aggregate principal amount of such Global Notes in exchange for such Global Notes, and upon delivery of the Global Notes to the Trustee such Global Notes shall be canceled.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Physical Notes issued in exchange for all or a part of the Global Note pursuant to this ‎‎Section 2.05(c) shall be registered in such names and in such authorized denominations as the Depositary, pursuant to instructions from its direct or indirect participants or otherwise, or, in the case of clause ‎(iii) of the immediately preceding paragraph, the relevant beneficial owner, shall instruct the Trustee. Upon execution and authentication, the Trustee shall deliver such Physical Notes to the Persons in whose names such Physical Notes are so registered.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such time as all interests in a Global Note have been converted, canceled, repurchased upon a Fundamental Change or the Specified Repurchase, redeemed or transferred, such Global Note shall be, upon receipt thereof, cancelled by the Trustee in accordance with standing procedures and existing instructions between the Depositary and the Note Custodian. At any time prior to such cancellation, if any interest in a Global Note is exchanged for Physical Notes, converted, canceled, repurchased upon a Fundamental Change or the Specified Repurchase, redeemed or transferred to a transferee who receives Physical Notes therefor or any Physical Note is exchanged or transferred for part of such Global Note, the principal amount of such Global Note shall, in accordance with the standing procedures and instructions existing between the Depositary and the Note Custodian, be appropriately reduced or increased, as the case may be, and an endorsement shall be made on such Global Note, by the Trustee or the Note Custodian, at the direction of the Trustee, to reflect such reduction or increase.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Company, the Trustee (including in its capacity as Paying Agent) or any agent of the Company or the Trustee shall have any responsibility or liability for any act or omission of the Depositary or for the payment of amounts to owners of beneficial interests in a Global Note, for any aspect of the records relating to or payments made on account of beneficial ownership interests of a Global Note or maintaining, supervising or reviewing any records relating to such beneficial ownership interests.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no obligation or duty to monitor, determine or inquire as to compliance with any restrictions on transfer imposed under this Indenture or under applicable law with respect to any transfer of any interest in any Note (including any transfers between or among Depositary participants or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Company nor the Trustee, Paying Agent or Conversion Agent shall have any responsibility or liability for any actions taken or not taken by the Depositary.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share certificate representing Class A Ordinary Shares issued upon conversion of a Note shall bear a legend in substantially the following form (unless such share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such Class A Ordinary Shares have been issued upon conversion of a Note that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unless otherwise agreed by the Company with written notice thereof to the Trustee and any transfer agent for the Class A Ordinary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HAS NOT BEEN REGISTERED UNDER THE SECURITIES ACT OF 1933, AS AMENDED (THE “SECURITIES ACT”), AND MAY NOT BE OFFERED, SOLD, PLEDGED OR OTHERWISE TRANSFERRED EXCEPT IN ACCORDANCE WITH THE FOLLOWING SENTENCE. BY ITS ACQUISITION HEREOF OR OF A BENEFICIAL INTEREST HEREIN, THE ACQUIRER: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REPRESENTS THAT IT AND ANY ACCOUNT FOR WHICH IT IS ACTING IS A “QUALIFIED INSTITUTIONAL BUYER” (WITHIN THE MEANING OF RULE 144A UNDER THE SECURITIES ACT) AND THAT IT EXERCISES SOLE INVESTMENT DISCRETION WITH RESPECT TO EACH SUCH ACCOUNT, AND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AGREES FOR THE BENEFIT OF BITDEER TECHNOLOGIES GROUP (THE “COMPANY”) THAT IT WILL NOT OFFER, SELL, PLEDGE OR OTHERWISE TRANSFER THIS SECURITY OR ANY BENEFICIAL INTEREST HEREIN, EXCEPT: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COMPANY OR ANY SUBSIDIARY THEREOF,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PURSUANT TO A REGISTRATION STATEMENT WHICH HAS BECOME EFFECTIVE UNDER THE SECURITIES ACT,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A QUALIFIED INSTITUTIONAL BUYER IN COMPLIANCE WITH RULE 144A UNDER THE SECURITIES ACT,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PURSUANT TO AN EXEMPTION FROM REGISTRATION PROVIDED BY RULE 144 UNDER THE SECURITIES ACT OR ANY OTHER AVAILABLE EXEMPTION FROM THE REGISTRATION REQUIREMENTS OF THE SECURITIES ACT.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REGISTRATION OF ANY TRANSFER IN ACCORDANCE WITH CLAUSE (2)(D) ABOVE, THE COMPANY AND THE COMPANY’S TRANSFER AGENT RESERVE THE RIGHT TO REQUIRE THE DELIVERY OF SUCH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Class A Ordinary Shares (i) that has been transferred pursuant to a registration statement that has become or been declared effective under the Securities Act and that continues to be effective at the time of such transfer or (ii) that has been sold pursuant to the exemption from registration provided by Rule 144 or any similar provision then in force under the Securities Act, may, upon surrender of the certificates representing such shares of Class A Ordinary Shares for exchange in accordance with the procedures of the transfer agent for the Class A Ordinary Shares, be exchanged for a new certificate or certificates for a like aggregate number of Class A Ordinary Shares, which shall not bear the restrictive legend required by this Section 2.05(d).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no obligation or duty to monitor, determine or inquire as to compliance with any restrictions on transfer imposed under this Indenture or under applicable law with respect to any transfer of any interest in any Note (including any transfers between or among Depositary participants or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Note or restricted Class A Ordinary Shares issued upon the conversion or exchange of a Note that is repurchased or owned by the Company or any Affiliate of the Company (or any Person who was an Affiliate of the Company at any time during the three months immediately preceding) may not be resold by the Company or such Affiliate (or such Person, as the case may be) unless registered under the Securities Act or resold pursuant to an exemption from the registration requirements of the Securities Act in a transaction that results in such Note or Class A Ordinary Shares, as the case may be, no longer being a “restricted security” (as defined under Rule 144).</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2.06 </w:t>
      </w:r>
      <w:r>
        <w:rPr>
          <w:rFonts w:ascii="Times New Roman;Times;Serif" w:hAnsi="Times New Roman;Times;Serif"/>
          <w:b w:val="false"/>
          <w:i/>
          <w:caps w:val="false"/>
          <w:smallCaps w:val="false"/>
          <w:sz w:val="20"/>
        </w:rPr>
        <w:t>Mutilated, Destroyed, Lost or Stolen Notes.</w:t>
      </w:r>
      <w:r>
        <w:rPr>
          <w:rFonts w:ascii="Times New Roman;Times;Serif" w:hAnsi="Times New Roman;Times;Serif"/>
          <w:b w:val="false"/>
          <w:i w:val="false"/>
          <w:caps w:val="false"/>
          <w:smallCaps w:val="false"/>
          <w:sz w:val="20"/>
        </w:rPr>
        <w:t xml:space="preserve"> In case any Note shall become mutilated or be destroyed, lost or stolen, the Company in its discretion may execute, and upon its written request the Trustee or an authenticating agent appointed by the Trustee shall authenticate and deliver, a new Note, bearing a registration number not contemporaneously outstanding, in exchange and substitution for the mutilated Note, or in lieu of and in substitution for the Note so destroyed, lost or stolen. In every case the applicant for a substituted Note shall furnish to the Company, to the Trustee and, if applicable, to such authenticating agent such security or indemnity as may be required by them to save each of them harmless from any loss, liability, cost or expense caused by or connected with such substitution, and, in every case of destruction, loss or theft, the applicant shall also furnish to the Company, to the Trustee and, if applicable, to such authenticating agent evidence to their satisfaction of the destruction, loss or theft of such Note and of the ownership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or such authenticating agent may authenticate any such substituted Note and deliver the same upon the receipt of such security or indemnity as the Trustee, the Company and, if applicable, such authenticating agent may require. No service charge shall be imposed by the Company, the Trustee, the Note Registrar, any co-Note Registrar or the Paying Agent upon the issuance of any substitute Note, but the Company may require a Holder to pay a sum sufficient to cover any documentary, stamp or similar issue or transfer tax required in connection therewith as a result of the name of the Holder of the new substitute Note being different from the name of the Holder of the old Note that became mutilated or was destroyed, lost or stolen. In case any Note that has matured or is about to mature or has been surrendered for required repurchase upon a Fundamental Change or the Specified Repurchase or is about to be converted in accordance with ‎‎Article 14 shall become mutilated or be destroyed, lost or stolen, the Company may, in its sole discretion, instead of issuing a substitute Note, pay or authorize the payment of or convert or authorize the conversion of the same (without surrender thereof except in the case of a mutilated Note), as the case may be, if the applicant for such payment or conversion shall furnish to the Company, to the Trustee and, if applicable, to such authenticating agent such security or indemnity as may be required by them to save each of them harmless for any loss, liability, cost or expense caused by or connected with such substitution, and, in every case of destruction, loss or theft, evidence satisfactory to the Company, the Trustee and, if applicable, any Paying Agent or Conversion Agent evidence of their satisfaction of the destruction, loss or theft of such Note and of the ownership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substitute Note issued pursuant to the provisions of this ‎Section 2.06‎ by virtue of the fact that any Note is destroyed, lost or stolen shall constitute an additional contractual obligation of the Company, whether or not the destroyed, lost or stolen Note shall be found at any time, and shall be entitled to all the benefits of (but shall be subject to all the limitations set forth in) this Indenture equally and proportionately with any and all other Notes duly issued hereunder. To the extent permitted by law, all Notes shall be held and owned upon the express condition that the foregoing provisions are exclusive with respect to the replacement, payment, redemption, conversion or repurchase of mutilated, destroyed, lost or stolen Notes and shall preclude any and all other rights or remedies notwithstanding any law or statute existing or hereafter enacted to the contrary with respect to the replacement, payment, redemption, conversion or repurchase of negotiable instruments or other securities without their surrender.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2.07 </w:t>
      </w:r>
      <w:r>
        <w:rPr>
          <w:rFonts w:ascii="Times New Roman;Times;Serif" w:hAnsi="Times New Roman;Times;Serif"/>
          <w:b w:val="false"/>
          <w:i/>
          <w:caps w:val="false"/>
          <w:smallCaps w:val="false"/>
          <w:sz w:val="20"/>
        </w:rPr>
        <w:t>Temporary Notes</w:t>
      </w:r>
      <w:r>
        <w:rPr>
          <w:rFonts w:ascii="Times New Roman;Times;Serif" w:hAnsi="Times New Roman;Times;Serif"/>
          <w:b w:val="false"/>
          <w:i w:val="false"/>
          <w:caps w:val="false"/>
          <w:smallCaps w:val="false"/>
          <w:sz w:val="20"/>
        </w:rPr>
        <w:t>. Pending the preparation of Physical Notes, the Company may execute and the Trustee or an authenticating agent appointed by the Trustee shall, upon written request of the Company, authenticate and deliver temporary Notes (printed or lithographed). Temporary Notes shall be issuable in any authorized denomination, and substantially in the form of the Physical Notes but with such omissions, insertions and variations as may be appropriate for temporary Notes, all as may be determined by the Company. Every such temporary Note shall be executed by the Company and authenticated by the Trustee or such authenticating agent upon the same conditions and in substantially the same manner, and with the same effect, as the Physical Notes. Without unreasonable delay, the Company shall execute and deliver to the Trustee or such authenticating agent Physical Notes (other than any Global Note) and thereupon any or all temporary Notes (other than any Global Note) may be surrendered in exchange therefor, at each office or agency maintained by the Company pursuant to Section 4.02 and the Trustee or such authenticating agent shall authenticate and deliver in exchange for such temporary Notes an equal aggregate principal amount of Physical Notes. Such exchange shall be made by the Company at its own expense and without any charge therefor. Until so exchanged, the temporary Notes shall in all respects be entitled to the same benefits and subject to the same limitations under this Indenture as Physical Notes authenticated and delivered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2.08 </w:t>
      </w:r>
      <w:r>
        <w:rPr>
          <w:rFonts w:ascii="Times New Roman;Times;Serif" w:hAnsi="Times New Roman;Times;Serif"/>
          <w:b w:val="false"/>
          <w:i/>
          <w:caps w:val="false"/>
          <w:smallCaps w:val="false"/>
          <w:sz w:val="20"/>
        </w:rPr>
        <w:t>Cancellation of Notes Paid, Converted, Etc</w:t>
      </w:r>
      <w:r>
        <w:rPr>
          <w:rFonts w:ascii="Times New Roman;Times;Serif" w:hAnsi="Times New Roman;Times;Serif"/>
          <w:b w:val="false"/>
          <w:i w:val="false"/>
          <w:caps w:val="false"/>
          <w:smallCaps w:val="false"/>
          <w:sz w:val="20"/>
        </w:rPr>
        <w:t>. The Company shall cause all Notes surrendered for the purpose of payment at maturity, repurchase upon a Fundamental Change or the Specified Repurchase, Redemption, registration of transfer or exchange or conversion (other than any Notes exchanged pursuant to Section 14.13), if surrendered to the Company or any of the Company’s agents or Subsidiaries, to be surrendered to the Trustee for cancellation, and they will no longer be considered “outstanding” under this Indenture upon their payment at maturity, repurchase upon a Fundamental Change or the Specified Repurchase, Redemption, registration of transfer or exchange or conversion, as the case may be. All Notes delivered to the Trustee shall, upon receipt of a written request in a Company Order, be cancelled promptly by it in accordance with its customary procedures. Except for any Notes surrendered for registration of transfer or exchange, or as otherwise expressly permitted by any of the provisions of this Indenture, no Notes shall be authenticated in exchange for any Notes surrendered to the Trustee for cancellation. The Trustee shall cancel Notes in accordance with its customary procedures and, after such cancellation, shall deliver evidence of such cancellation to the Company, at the Company’s written request in a Company Order.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2.09 </w:t>
      </w:r>
      <w:r>
        <w:rPr>
          <w:rFonts w:ascii="Times New Roman;Times;Serif" w:hAnsi="Times New Roman;Times;Serif"/>
          <w:b w:val="false"/>
          <w:i/>
          <w:caps w:val="false"/>
          <w:smallCaps w:val="false"/>
          <w:sz w:val="20"/>
        </w:rPr>
        <w:t>CUSIP Numbers</w:t>
      </w:r>
      <w:r>
        <w:rPr>
          <w:rFonts w:ascii="Times New Roman;Times;Serif" w:hAnsi="Times New Roman;Times;Serif"/>
          <w:b w:val="false"/>
          <w:i w:val="false"/>
          <w:caps w:val="false"/>
          <w:smallCaps w:val="false"/>
          <w:sz w:val="20"/>
        </w:rPr>
        <w:t xml:space="preserve">. The Company in issuing the Notes may use “CUSIP” numbers (if then generally in use), and, if so, the Trustee shall use “CUSIP” numbers in all notices issued to Holders as a convenience to such Holders;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any such notice may state that no representation is made as to the correctness of such numbers either as printed on the Notes or on such notice and that reliance may be placed only on the other identification numbers printed on the Notes. The Company shall promptly notify the Trustee in writing of any change in the “CUSIP” numbers.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2.10 </w:t>
      </w:r>
      <w:r>
        <w:rPr>
          <w:rFonts w:ascii="Times New Roman;Times;Serif" w:hAnsi="Times New Roman;Times;Serif"/>
          <w:b w:val="false"/>
          <w:i/>
          <w:caps w:val="false"/>
          <w:smallCaps w:val="false"/>
          <w:sz w:val="20"/>
        </w:rPr>
        <w:t>Additional Notes; Repurchases.</w:t>
      </w:r>
      <w:r>
        <w:rPr>
          <w:rFonts w:ascii="Times New Roman;Times;Serif" w:hAnsi="Times New Roman;Times;Serif"/>
          <w:b w:val="false"/>
          <w:i w:val="false"/>
          <w:caps w:val="false"/>
          <w:smallCaps w:val="false"/>
          <w:sz w:val="20"/>
        </w:rPr>
        <w:t xml:space="preserve"> The Company may, without the consent of, or notice to, the Holders and notwithstanding ‎Section 2.01, reopen this Indenture and issue additional Notes under this Indenture with the same terms as the Notes initially issued hereunder (except for any differences in the issue price, the issue date and interest accrued, if any, and, if applicable, restrictions on transfer in respect of such additional Notes) in an unlimited aggregate principal amount;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if any such additional Notes are not fungible with the Notes initially issued hereunder for U.S. federal income tax or securities law purposes, such additional Notes shall have one or more separate CUSIP numbers. Prior to the issuance of any such additional Notes, the Company shall deliver to the Trustee a Company Order, an Officer’s Certificate and an Opinion of Counsel, such Officer’s Certificate and Opinion of Counsel to cover such matters, in addition to those required by Section 17.05, as the Trustee shall reasonably request. In addition, the Company may, to the extent permitted by law, and directly or indirectly (regardless of whether such Notes are surrendered to the Company), repurchase Notes in the open market or otherwise, whether by the Company or its Subsidiaries or through a privately negotiated transaction or public tender or exchange offer or through counterparties to private agreements, including by cash-settled swaps or other derivatives, in each case, without the consent of or notice to the Holders of the Notes. The Company may, at its option and to the extent permitted by applicable law, reissue, resell or surrender to the Trustee for cancellation any Notes that it may repurchase, in the case of a reissuance or resale, so long as such Notes do not constitute “restricted securities” (as defined under Rule 144) upon such reissuance or resale;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any such reissued or resold Notes are not fungible with the Notes initially issued hereunder for U.S. federal income tax or securities law purposes, such reissued or resold Notes shall have one or more separate CUSIP numbers. Any Notes that the Company may repurchase shall be considered outstanding for all purposes under this Indenture (other than, at any time when such Notes are held by the Company, by any Subsidiary thereof or by any Affiliate of the Company or any Subsidiary thereof, as set forth in Section 8.04) unless and until such time as the Company surrenders them to the Trustee for cancellation and, upon receipt of a Company Order, the Trustee shall cancel all Notes so surrendered.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3</w:t>
      </w:r>
      <w:r>
        <w:rPr>
          <w:rFonts w:ascii="Times New Roman;Times;Serif" w:hAnsi="Times New Roman;Times;Serif"/>
          <w:b w:val="false"/>
          <w:i w:val="false"/>
          <w:smallCaps/>
          <w:sz w:val="20"/>
        </w:rPr>
        <w:br/>
        <w:t>Satisfaction and Discharge</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3.01 </w:t>
      </w:r>
      <w:r>
        <w:rPr>
          <w:rFonts w:ascii="Times New Roman;Times;Serif" w:hAnsi="Times New Roman;Times;Serif"/>
          <w:b w:val="false"/>
          <w:i/>
          <w:caps w:val="false"/>
          <w:smallCaps w:val="false"/>
          <w:sz w:val="20"/>
        </w:rPr>
        <w:t>Satisfaction and Discharge.</w:t>
      </w:r>
      <w:r>
        <w:rPr>
          <w:rFonts w:ascii="Times New Roman;Times;Serif" w:hAnsi="Times New Roman;Times;Serif"/>
          <w:b w:val="false"/>
          <w:i w:val="false"/>
          <w:caps w:val="false"/>
          <w:smallCaps w:val="false"/>
          <w:sz w:val="20"/>
        </w:rPr>
        <w:t xml:space="preserve"> (a) This Indenture and the Notes shall cease to be of further effect when (i) all Notes theretofore authenticated and delivered (other than (x) Notes which have been destroyed, lost or stolen and which have been replaced, paid or converted as provided in ‎ Section 2.06 hereof and (y) Notes for whose payment money has heretofore been deposited in trust or segregated and held in trust by the Company and thereafter repaid to the Company or discharged from such trust, as provided in Section 4.04(d)) have been delivered to the Trustee for cancellation or (ii) the Company has deposited with the Trustee or delivered to Holders, as applicable, after the Notes have become due and payable, whether on the Maturity Date, any Redemption Date, the Specified Repurchase Date, any Fundamental Change Repurchase Date, upon conversion or otherwise, cash or, solely to satisfy the Company’s Conversion Obligation, cash, Class A Ordinary Shares or a combination thereof, as applicable, sufficient to pay all of the outstanding Notes and all other sums due and payable under this Indenture and the Notes by the Company and (b) the Trustee, upon request of the Company contained in an Officer’s Certificate and at the expense of the Company, shall execute such instruments reasonably requested by the Company acknowledging such satisfaction and discharge of this Indenture, when the Company has delivered to the Trustee an Officer’s Certificate and an Opinion of Counsel, each stating that all conditions precedent herein provided for relating to the satisfaction and discharge of this Indenture have been complied with. Notwithstanding the satisfaction and discharge of this Indenture and the Notes, the obligations of the Company to the Trustee (in each of its capacities) under Section 7.06 shall survive.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4</w:t>
      </w:r>
      <w:r>
        <w:rPr>
          <w:rFonts w:ascii="Times New Roman;Times;Serif" w:hAnsi="Times New Roman;Times;Serif"/>
          <w:b w:val="false"/>
          <w:i w:val="false"/>
          <w:smallCaps/>
          <w:sz w:val="20"/>
        </w:rPr>
        <w:br/>
        <w:t>Particular Covenants of the Company</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4.01 </w:t>
      </w:r>
      <w:r>
        <w:rPr>
          <w:rFonts w:ascii="Times New Roman;Times;Serif" w:hAnsi="Times New Roman;Times;Serif"/>
          <w:b w:val="false"/>
          <w:i/>
          <w:caps w:val="false"/>
          <w:smallCaps w:val="false"/>
          <w:sz w:val="20"/>
        </w:rPr>
        <w:t>Payment of Principal and Interest.</w:t>
      </w:r>
      <w:r>
        <w:rPr>
          <w:rFonts w:ascii="Times New Roman;Times;Serif" w:hAnsi="Times New Roman;Times;Serif"/>
          <w:b w:val="false"/>
          <w:i w:val="false"/>
          <w:caps w:val="false"/>
          <w:smallCaps w:val="false"/>
          <w:sz w:val="20"/>
        </w:rPr>
        <w:t xml:space="preserve"> The Company covenants and agrees that it will pay or cause to be paid the principal (including the Redemption Price, the Fundamental Change Repurchase Price and the Specified Repurchase Date Repurchase Price, if applicable) of, and accrued and unpaid interest on, each of the Notes at the places, at the respective times and in the manner </w:t>
      </w:r>
      <w:r>
        <w:rPr>
          <w:rFonts w:ascii="Times New Roman;Times;Serif" w:hAnsi="Times New Roman;Times;Serif"/>
          <w:b w:val="false"/>
          <w:i/>
          <w:caps w:val="false"/>
          <w:smallCaps w:val="false"/>
          <w:sz w:val="20"/>
        </w:rPr>
        <w:t>provided herein</w:t>
      </w:r>
      <w:r>
        <w:rPr>
          <w:rFonts w:ascii="Times New Roman;Times;Serif" w:hAnsi="Times New Roman;Times;Serif"/>
          <w:b w:val="false"/>
          <w:i w:val="false"/>
          <w:caps w:val="false"/>
          <w:smallCaps w:val="false"/>
          <w:sz w:val="20"/>
        </w:rPr>
        <w:t xml:space="preserve"> and in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4.02 </w:t>
      </w:r>
      <w:r>
        <w:rPr>
          <w:rFonts w:ascii="Times New Roman;Times;Serif" w:hAnsi="Times New Roman;Times;Serif"/>
          <w:b w:val="false"/>
          <w:i/>
          <w:caps w:val="false"/>
          <w:smallCaps w:val="false"/>
          <w:sz w:val="20"/>
        </w:rPr>
        <w:t>Maintenance of Office or Agency</w:t>
      </w:r>
      <w:r>
        <w:rPr>
          <w:rFonts w:ascii="Times New Roman;Times;Serif" w:hAnsi="Times New Roman;Times;Serif"/>
          <w:b w:val="false"/>
          <w:i w:val="false"/>
          <w:caps w:val="false"/>
          <w:smallCaps w:val="false"/>
          <w:sz w:val="20"/>
        </w:rPr>
        <w:t>. The Company will maintain within the contiguous United States of America, an office or agency where the Notes may be surrendered for registration of transfer or exchange or for presentation for payment or repurchase (“</w:t>
      </w:r>
      <w:r>
        <w:rPr>
          <w:rFonts w:ascii="Times New Roman;Times;Serif" w:hAnsi="Times New Roman;Times;Serif"/>
          <w:b/>
          <w:i w:val="false"/>
          <w:caps w:val="false"/>
          <w:smallCaps w:val="false"/>
          <w:sz w:val="20"/>
        </w:rPr>
        <w:t>Paying Agent</w:t>
      </w:r>
      <w:r>
        <w:rPr>
          <w:rFonts w:ascii="Times New Roman;Times;Serif" w:hAnsi="Times New Roman;Times;Serif"/>
          <w:b w:val="false"/>
          <w:i w:val="false"/>
          <w:caps w:val="false"/>
          <w:smallCaps w:val="false"/>
          <w:sz w:val="20"/>
        </w:rPr>
        <w:t>”) or for conversion (“</w:t>
      </w:r>
      <w:r>
        <w:rPr>
          <w:rFonts w:ascii="Times New Roman;Times;Serif" w:hAnsi="Times New Roman;Times;Serif"/>
          <w:b/>
          <w:i w:val="false"/>
          <w:caps w:val="false"/>
          <w:smallCaps w:val="false"/>
          <w:sz w:val="20"/>
        </w:rPr>
        <w:t>Conversion Agent</w:t>
      </w:r>
      <w:r>
        <w:rPr>
          <w:rFonts w:ascii="Times New Roman;Times;Serif" w:hAnsi="Times New Roman;Times;Serif"/>
          <w:b w:val="false"/>
          <w:i w:val="false"/>
          <w:caps w:val="false"/>
          <w:smallCaps w:val="false"/>
          <w:sz w:val="20"/>
        </w:rPr>
        <w:t>”) and where notices and demands to or upon the Company in respect of the Notes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or the office or agency of the Trustee within the contiguous United States of America.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also from time to time designate as co-Note Registrars one or more other offices or agencies where the Notes may be presented or surrendered for any or all such purposes and may from time to time rescind such designations; provided that no such designation or rescission shall in any manner relieve the Company of its obligation to maintain an office or agency within the contiguous United States of America, for such purposes. The Company will give prompt written notice to the Trustee of any such designation or rescission and of any change in the location of any such other office or agency. The terms “Paying Agent” and “Conversion Agent” include any such additional or other offices or agencies,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initially designates the Trustee as the Paying Agent, Note Registrar, Custodian and Conversion Agent and the Corporate Trust Office as the office or agency within the contiguous United States of America, where Notes may be surrendered for registration of transfer or exchange or for presentation for payment or repurchase or for conversion and where notices and demands to or upon the Company in respect of the Notes and this Indenture may be served; provided that the Corporate Trust Office shall not be a place for service of legal process for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4.03 </w:t>
      </w:r>
      <w:r>
        <w:rPr>
          <w:rFonts w:ascii="Times New Roman;Times;Serif" w:hAnsi="Times New Roman;Times;Serif"/>
          <w:b w:val="false"/>
          <w:i/>
          <w:caps w:val="false"/>
          <w:smallCaps w:val="false"/>
          <w:sz w:val="20"/>
        </w:rPr>
        <w:t xml:space="preserve">Appointments to Fill Vacancies in Trustee’s Office. </w:t>
      </w:r>
      <w:r>
        <w:rPr>
          <w:rFonts w:ascii="Times New Roman;Times;Serif" w:hAnsi="Times New Roman;Times;Serif"/>
          <w:b w:val="false"/>
          <w:i w:val="false"/>
          <w:caps w:val="false"/>
          <w:smallCaps w:val="false"/>
          <w:sz w:val="20"/>
        </w:rPr>
        <w:t>The Company, whenever necessary to avoid or fill a vacancy in the office of Trustee, will appoint, in the manner provided in Section 7.09, a Trustee, so that there shall at all times be a Trustee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4.04 </w:t>
      </w:r>
      <w:r>
        <w:rPr>
          <w:rFonts w:ascii="Times New Roman;Times;Serif" w:hAnsi="Times New Roman;Times;Serif"/>
          <w:b w:val="false"/>
          <w:i/>
          <w:caps w:val="false"/>
          <w:smallCaps w:val="false"/>
          <w:sz w:val="20"/>
        </w:rPr>
        <w:t>Provisions as to Paying Agent</w:t>
      </w:r>
      <w:r>
        <w:rPr>
          <w:rFonts w:ascii="Times New Roman;Times;Serif" w:hAnsi="Times New Roman;Times;Serif"/>
          <w:b w:val="false"/>
          <w:i w:val="false"/>
          <w:caps w:val="false"/>
          <w:smallCaps w:val="false"/>
          <w:sz w:val="20"/>
        </w:rPr>
        <w:t>. (a) If the Company shall appoint a Paying Agent other than the Trustee, the Company will cause such Paying Agent to execute and deliver to the Trustee an instrument in which such agent shall agree with the Trustee, subject to the provisions of this Section 4.04: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that it will hold all sums held by it as such agent for the payment of the principal (including the Redemption Price, the Fundamental Change Repurchase Price and the Specified Repurchase Date Repurchase Price, if applicable) of, and accrued and unpaid interest on, the Notes in trust for the benefit of the Holders;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that it will give the Trustee prompt written notice of any failure by the Company to make any payment of the principal (including the Redemption Price, the Fundamental Change Repurchase Price and the Specified Repurchase Date Repurchase Price, if applicable) of, and accrued and unpaid interest on, the Notes when the same shall be due and payable;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that at any time during the continuance of an Event of Default, upon request of the Trustee, it will forthwith pay to the Trustee all sums so held in trust.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on or before each due date of the principal (including the Redemption Price, the Fundamental Change Repurchase Price and the Specified Repurchase Date Repurchase Price, if applicable) of, or accrued and unpaid interest on, the Notes, deposit with the Paying Agent a sum sufficient to pay such principal (including the Redemption Price, the Fundamental Change Repurchase Price and the Specified Repurchase Date Repurchase Price, if applicable) or accrued and unpaid interest, and (unless such Paying Agent is the Trustee) the Company will promptly notify the Trustee in writing of any failure to take such action; provided that if such deposit is made on the due date, such deposit must be received by the Paying Agent by 11:00 a.m., New York City time, on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Company shall act as its own Paying Agent, it will, on or before each due date of the principal (including the Redemption Price, the Fundamental Change Repurchase Price and the Specified Repurchase Date Repurchase Price, if applicable) of, and accrued and unpaid interest on, the Notes, set aside, segregate and hold in trust for the benefit of the Holders of the Notes a sum sufficient to pay such principal (including the Redemption Price, the Fundamental Change Repurchase Price and the Specified Repurchase Date Repurchase Price, if applicable) and accrued and unpaid interest so becoming due and will promptly notify the Trustee in writing of any failure to take such action and of any failure by the Company to make any payment of the principal (including the Redemption Price, the Fundamental Change Repurchase Price and the Specified Repurchase Date Repurchase Price, if applicable) of, or accrued and unpaid interest on, the Notes when the same shall become due and payable.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Anything in this Section 4.04 to the contrary notwithstanding, the Company may, at any time, for the purpose of obtaining a satisfaction and discharge of this Indenture, or for any other reason, pay, cause to be paid or deliver to the Trustee all sums or amounts held in trust by the Company or any Paying Agent hereunder as required by this Section 4.04, such sums or amounts to be held by the Trustee upon the trusts herein contained and upon such payment or delivery by the Company or any Paying Agent to the Trustee, the Company or such Paying Agent shall be released from all further liability but only with respect to such sums or amounts.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Subject to applicable escheatment laws, any money and Class A Ordinary Shares deposited with the Trustee or any Paying Agent, or then held by the Company, in trust for the payment of the principal (including the Redemption Price, the Fundamental Change Repurchase Price and the Specified Repurchase Date Repurchase Price, if applicable) of, accrued and unpaid interest on and the consideration due upon conversion of any Note and remaining unclaimed for two years after such principal (including the Redemption Price, the Fundamental Change Repurchase Price and the Specified Repurchase Date Repurchase Price, if applicable), interest or consideration due upon conversion has become due and payable shall be paid to the Company on request of the Company contained in an Officer’s Certificate, or (if then held by the Company) shall be discharged from such trust; and the Holder of such Note shall thereafter, as an unsecured general creditor, look only to the Company for payment thereof, and all liability of the Trustee or such Paying Agent with respect to such trust money and Class A Ordinary Shares, and all liability of the Company as trustee thereof, shall thereupon cease.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Upon any Event of Default pursuant to Section 6.01(h) or Section 6.01(i), the Trustee shall automatically become the Paying Agent if the Trustee is not the Paying Agent at such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4.05 </w:t>
      </w:r>
      <w:r>
        <w:rPr>
          <w:rFonts w:ascii="Times New Roman;Times;Serif" w:hAnsi="Times New Roman;Times;Serif"/>
          <w:b w:val="false"/>
          <w:i/>
          <w:caps w:val="false"/>
          <w:smallCaps w:val="false"/>
          <w:sz w:val="20"/>
        </w:rPr>
        <w:t>Existence</w:t>
      </w:r>
      <w:r>
        <w:rPr>
          <w:rFonts w:ascii="Times New Roman;Times;Serif" w:hAnsi="Times New Roman;Times;Serif"/>
          <w:b w:val="false"/>
          <w:i w:val="false"/>
          <w:caps w:val="false"/>
          <w:smallCaps w:val="false"/>
          <w:sz w:val="20"/>
        </w:rPr>
        <w:t>. Subject to Article 11, the Company shall do or cause to be done all things necessary to preserve and keep in full force and effect its corporate existence.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4.06 </w:t>
      </w:r>
      <w:r>
        <w:rPr>
          <w:rFonts w:ascii="Times New Roman;Times;Serif" w:hAnsi="Times New Roman;Times;Serif"/>
          <w:b w:val="false"/>
          <w:i/>
          <w:caps w:val="false"/>
          <w:smallCaps w:val="false"/>
          <w:sz w:val="20"/>
        </w:rPr>
        <w:t>Rule 144A Information Requirement and Annual Reports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any time the Company is not subject to Section 13 or 15(d) of the Exchange Act, the Company shall, so long as any of the Notes or any Class A Ordinary Shares issuable upon conversion thereof shall, at such time, constitute “restricted securities” within the meaning of Rule 144(a)(3) under the Securities Act, promptly provide to the Trustee and, upon written request, provide to any Holder, beneficial owner or prospective purchaser of such Notes or any Class A Ordinary Shares issuable upon conversion of such Notes the information required to be delivered pursuant to Rule 144A(d)(4) under the Securities Act to facilitate the resale of such Notes or Class A Ordinary Shares pursuant to Rule 144A.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file with the Trustee a copy of any documents or reports that the Company is required to file with the Commission pursuant to Section 13 or 15(d) of the Exchange Act (excluding any such information, documents or reports, or portions thereof, subject to confidential treatment and any correspondence with the Commission) within fifteen (15) days after the same are required to be filed with the Commission (giving effect to any grace period provided by Rule 12b-25 under the Exchange Act or any successor rule), which grace period, for the avoidance of doubt, shall be deemed applicable whether or not the Company checks the box in the relevant Rule 12b-25 filing indicating that it expects to file such report within the applicable Rule 12b-25 grace period. Any such document or report that the Company files with the Commission via the Commission’s EDGAR system (or any successor system) shall be deemed to be filed with the Trustee for purposes of this ‎Section 4.06 at the time such document or report is filed via the EDGAR system (or such successor system).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Delivery of the reports and documents described in subsection (b) above to the Trustee is for informational purposes only, and the Trustee’s receipt of such shall not constitute actual or constructive notice of any information contained therein or determinable from information contained therein, including the Company’s compliance with any of its covenants hereunder (as to which the Trustee is entitled to conclusively rely on an Officer’s Certificate). The Trustee shall have no liability or responsibility for the filing, timeliness or content of any such reports. If the Notes become convertible into Reference Property consisting in whole or in part of Capital Shares of any parent company of the Company pursuant to the terms of this Indenture and such parent company provides a full and unconditional guarantee of the Notes, the Commission reports of such parent company shall be deemed to satisfy the foregoing reporting requirements of this Section 4.06.</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at any time after the date that is six months after the last date of original issuance of the Notes, the Company has failed to file any report or other materials that it is required to file with the Commission pursuant to Section 13 or 15(d) of the Exchange Act, as applicable, during the preceding 12 months (other than current reports on Form 8-K and giving effect to all applicable grace periods thereunder, including any grace period provided by Rule 12b-25 (or any successor rule), which grace period for the avoidance of doubt, shall be deemed applicable whether or not the Company checks the box in the relevant Rule 12b-25 filing indicating it expects to file such report within the applicable Rule 12b-25 grace period), or the Notes are not otherwise freely tradable, the Company shall pay Additional Interest on the Notes. Such Additional Interest shall accrue on the Notes at the rate of 0.25% per annum for the first 90 days and thereafter at a rate of 0.50% per annum of the principal amount of the Notes outstanding for each day during such period for which the Company’s failure to file has occurred and is continuing or the Notes are not otherwise freely tradable. As used in this Section 4.06(d) reports or other materials that the Company is required to “file” with the Commission pursuant to Section 13 or 15(d) of the Exchange Act does not include documents or reports that the Company furnishes to the Commission pursuant to Section 13 or 15(d) of the Exchange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[Reserved]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Subject to Section 4.06(j), Additional Interest will be payable in arrears on each Interest Payment Date following accrual in the same manner as regular interest on the Notes.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Subject to the immediately succeeding sentence, the Additional Interest that is payable in accordance with Section 4.06(d) shall be in addition to any Additional Interest that may accrue at the Company’s election pursuant to Section 6.03. However, in no event shall Additional Interest payable for the Company’s failure to comply with its obligations to file any report or other materials that the Company is required to file with the Commission pursuant to Section 13 or 15(d) of the Exchange Act, as applicable (after giving effect to all applicable grace periods thereunder and other than current reports on Form 8-K), as set forth in Section 4.06(d), together with any Additional Interest in respect of an Event of Default that may accrue at the Company’s election pursuant to Section 6.03, accrue at a rate in excess of 1.00% per annum pursuant to this Indenture, regardless of the number of events or circumstances giving rise to the requirement to pay such Additional Interest.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If Additional Interest is payable by the Company pursuant to Section 4.06(d), the Company shall deliver to the Trustee an Officer’s Certificate to that effect stating (i) the amount of such Additional Interest that is payable and (ii) the date on which such Additional Interest is payable. Unless and until a Responsible Officer of the Trustee receives at the Corporate Trust Office such Officer’s Certificate, the Trustee may conclusively assume without inquiry that no such Additional Interest is payable. If the Company has paid Additional Interest directly to the Persons entitled to it, the Company shall deliver to the Trustee an Officer’s Certificate setting forth the particulars of such payment.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Without limiting the generality of Section 2.05(c) or Section 2.05(d), if a Holder of any Note or Class A Ordinary Share issued upon conversion of any Note, or an owner of a beneficial interest in any Global Note, or in a global certificate representing any Class A Ordinary Share issued upon conversion of any Note, transfers such Note or Class A Ordinary Share in compliance with Rule 144 and delivers to the Company a written request, certifying that it is not, and has not been at any time during the preceding three months, an Affiliate of the Company, to reissue such Note or Class A Ordinary Share without a restrictive legend, then the Company shall cause the same to occur (and, if applicable, cause such Note or Class A Ordinary Share to thereafter be represented by an “unrestricted” CUSIP number in the facilities of the related Depositary), and the Company shall use its commercially reasonable efforts to cause such occurrence within two Trading Days of such request.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If Additional Interest begins to accrue on any Global Note on or after the close of business on a Regular Record Date and prior to the open of business on the corresponding Interest Payment Date, the Additional Interest that accrues during such period will be due on the Interest Payment Date next succeeding such corresponding Interest Payment Date, and no interest shall accrue in respect of such delay.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4.07 </w:t>
      </w:r>
      <w:r>
        <w:rPr>
          <w:rFonts w:ascii="Times New Roman;Times;Serif" w:hAnsi="Times New Roman;Times;Serif"/>
          <w:b w:val="false"/>
          <w:i/>
          <w:caps w:val="false"/>
          <w:smallCaps w:val="false"/>
          <w:sz w:val="20"/>
        </w:rPr>
        <w:t>Stay, Extension and Usury Laws.</w:t>
      </w:r>
      <w:r>
        <w:rPr>
          <w:rFonts w:ascii="Times New Roman;Times;Serif" w:hAnsi="Times New Roman;Times;Serif"/>
          <w:b w:val="false"/>
          <w:i w:val="false"/>
          <w:caps w:val="false"/>
          <w:smallCaps w:val="false"/>
          <w:sz w:val="20"/>
        </w:rPr>
        <w:t xml:space="preserve"> The Company covenants (to the extent that it may lawfully do so) that it shall not at any time insist upon, plead, or in any manner whatsoever claim or take the benefit or advantage of, any stay, extension or usury law or other law that would prohibit or forgive the Company from paying all or any portion of the principal of or interest on the Notes as contemplated herein, wherever enacted, now or at any time hereafter in force, or that may affect the covenants or the performance of this Indenture;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4.08 </w:t>
      </w:r>
      <w:r>
        <w:rPr>
          <w:rFonts w:ascii="Times New Roman;Times;Serif" w:hAnsi="Times New Roman;Times;Serif"/>
          <w:b w:val="false"/>
          <w:i/>
          <w:caps w:val="false"/>
          <w:smallCaps w:val="false"/>
          <w:sz w:val="20"/>
        </w:rPr>
        <w:t>Compliance Certificate; Statements as to Defaults.</w:t>
      </w:r>
      <w:r>
        <w:rPr>
          <w:rFonts w:ascii="Times New Roman;Times;Serif" w:hAnsi="Times New Roman;Times;Serif"/>
          <w:b w:val="false"/>
          <w:i w:val="false"/>
          <w:caps w:val="false"/>
          <w:smallCaps w:val="false"/>
          <w:sz w:val="20"/>
        </w:rPr>
        <w:t xml:space="preserve"> The Company shall deliver to the Trustee within 120 days after the end of each fiscal year of the Company (beginning with the fiscal year ended on December 31, 2026) an Officer’s Certificate stating whether the signers thereof have knowledge of any Event of Default that occurred during the previous year that is then continuing and, if so, specifying each such failure and the nature thereof. In addition, the Company shall deliver to the Trustee within 30 days after obtaining knowledge of the occurrence of any Default or Event of Default if such Default or Event of Default is then continuing, an Officer’s Certificate setting forth the details of such Default or Event of Default, its status and the action that the Company is taking or proposing to take in respect thereof;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the Company is not required to deliver such notice if such Default or Event of Default has been cured.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4.09 </w:t>
      </w:r>
      <w:r>
        <w:rPr>
          <w:rFonts w:ascii="Times New Roman;Times;Serif" w:hAnsi="Times New Roman;Times;Serif"/>
          <w:b w:val="false"/>
          <w:i/>
          <w:caps w:val="false"/>
          <w:smallCaps w:val="false"/>
          <w:sz w:val="20"/>
        </w:rPr>
        <w:t>Further Instruments and Acts.</w:t>
      </w:r>
      <w:r>
        <w:rPr>
          <w:rFonts w:ascii="Times New Roman;Times;Serif" w:hAnsi="Times New Roman;Times;Serif"/>
          <w:b w:val="false"/>
          <w:i w:val="false"/>
          <w:caps w:val="false"/>
          <w:smallCaps w:val="false"/>
          <w:sz w:val="20"/>
        </w:rPr>
        <w:t xml:space="preserve"> Upon request of the Trustee, the Company shall execute and deliver such further instruments and do such further acts as may be reasonably necessary or proper to carry out more effectively the purposes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4.10 </w:t>
      </w:r>
      <w:r>
        <w:rPr>
          <w:rFonts w:ascii="Times New Roman;Times;Serif" w:hAnsi="Times New Roman;Times;Serif"/>
          <w:b w:val="false"/>
          <w:i/>
          <w:caps w:val="false"/>
          <w:smallCaps w:val="false"/>
          <w:sz w:val="20"/>
        </w:rPr>
        <w:t>Additional Amounts</w:t>
      </w:r>
      <w:r>
        <w:rPr>
          <w:rFonts w:ascii="Times New Roman;Times;Serif" w:hAnsi="Times New Roman;Times;Serif"/>
          <w:b w:val="false"/>
          <w:i w:val="false"/>
          <w:caps w:val="false"/>
          <w:smallCaps w:val="false"/>
          <w:sz w:val="20"/>
        </w:rPr>
        <w:t>.(a)All payments and deliveries made by, or on behalf of, the Company or any successor to the Company under or with respect to the Notes, including payments of principal (including, if applicable, the Redemption Price, the Fundamental Change Repurchase Price and the Specified Repurchase Date Repurchase Price), payments of interest and payments of cash and/or deliveries of Class A Ordinary Shares (together with payments of cash for any fractional Class A Ordinary Shares) upon conversion of the Notes, will be made without withholding or deduction for, or on account of, any present or future taxes, duties, assessments or governmental charges of whatever nature imposed or levied by or within any jurisdiction in which the Company or any successor to the Company is, for tax purposes, organized or resident or doing business (each, as applicable, a “</w:t>
      </w:r>
      <w:r>
        <w:rPr>
          <w:rFonts w:ascii="Times New Roman;Times;Serif" w:hAnsi="Times New Roman;Times;Serif"/>
          <w:b/>
          <w:i w:val="false"/>
          <w:caps w:val="false"/>
          <w:smallCaps w:val="false"/>
          <w:sz w:val="20"/>
        </w:rPr>
        <w:t>Relevant Taxing Jurisdiction</w:t>
      </w:r>
      <w:r>
        <w:rPr>
          <w:rFonts w:ascii="Times New Roman;Times;Serif" w:hAnsi="Times New Roman;Times;Serif"/>
          <w:b w:val="false"/>
          <w:i w:val="false"/>
          <w:caps w:val="false"/>
          <w:smallCaps w:val="false"/>
          <w:sz w:val="20"/>
        </w:rPr>
        <w:t>”) or from or through which payment is made or deemed made (together with each Relevant Taxing Jurisdiction, a “</w:t>
      </w:r>
      <w:r>
        <w:rPr>
          <w:rFonts w:ascii="Times New Roman;Times;Serif" w:hAnsi="Times New Roman;Times;Serif"/>
          <w:b/>
          <w:i w:val="false"/>
          <w:caps w:val="false"/>
          <w:smallCaps w:val="false"/>
          <w:sz w:val="20"/>
        </w:rPr>
        <w:t>Relevant Jurisdiction</w:t>
      </w:r>
      <w:r>
        <w:rPr>
          <w:rFonts w:ascii="Times New Roman;Times;Serif" w:hAnsi="Times New Roman;Times;Serif"/>
          <w:b w:val="false"/>
          <w:i w:val="false"/>
          <w:caps w:val="false"/>
          <w:smallCaps w:val="false"/>
          <w:sz w:val="20"/>
        </w:rPr>
        <w:t>,” and in each case, any political subdivision or taxing authority thereof or therein), unless such withholding or deduction is required by law or by regulation or governmental policy having the force of law. In the event that any such withholding or deduction is so required, the Company shall pay to each Holder such additional amounts (“</w:t>
      </w:r>
      <w:r>
        <w:rPr>
          <w:rFonts w:ascii="Times New Roman;Times;Serif" w:hAnsi="Times New Roman;Times;Serif"/>
          <w:b/>
          <w:i w:val="false"/>
          <w:caps w:val="false"/>
          <w:smallCaps w:val="false"/>
          <w:sz w:val="20"/>
        </w:rPr>
        <w:t>Additional Amounts</w:t>
      </w:r>
      <w:r>
        <w:rPr>
          <w:rFonts w:ascii="Times New Roman;Times;Serif" w:hAnsi="Times New Roman;Times;Serif"/>
          <w:b w:val="false"/>
          <w:i w:val="false"/>
          <w:caps w:val="false"/>
          <w:smallCaps w:val="false"/>
          <w:sz w:val="20"/>
        </w:rPr>
        <w:t xml:space="preserve">”) as may be necessary to ensure that the net amount received by the Holders after such withholding or deduction (and after deducting any taxes on the Additional Amounts) will equal the amounts that would have been received by such Holders had no such withholding or deduction been required;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no Additional Amounts will be payable: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for or on account of:</w:t>
      </w:r>
    </w:p>
    <w:p>
      <w:pPr>
        <w:pStyle w:val="TextBody"/>
        <w:bidi w:val="0"/>
        <w:spacing w:before="0" w:after="0"/>
        <w:ind w:left="1440" w:right="0" w:firstLine="720"/>
        <w:jc w:val="both"/>
        <w:rPr>
          <w:caps w:val="false"/>
          <w:smallCaps w:val="false"/>
        </w:rPr>
      </w:pPr>
      <w:r>
        <w:rPr>
          <w:caps w:val="false"/>
          <w:smallCaps w:val="false"/>
        </w:rPr>
        <w:t> </w:t>
      </w:r>
    </w:p>
    <w:tbl>
      <w:tblPr>
        <w:tblW w:w="8305" w:type="dxa"/>
        <w:jc w:val="left"/>
        <w:tblInd w:w="0" w:type="dxa"/>
        <w:tblLayout w:type="fixed"/>
        <w:tblCellMar>
          <w:top w:w="0" w:type="dxa"/>
          <w:left w:w="0" w:type="dxa"/>
          <w:bottom w:w="0" w:type="dxa"/>
          <w:right w:w="0" w:type="dxa"/>
        </w:tblCellMar>
      </w:tblPr>
      <w:tblGrid>
        <w:gridCol w:w="75"/>
        <w:gridCol w:w="245"/>
        <w:gridCol w:w="7985"/>
      </w:tblGrid>
      <w:tr>
        <w:trPr/>
        <w:tc>
          <w:tcPr>
            <w:tcW w:w="7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sz w:val="20"/>
              </w:rPr>
            </w:pPr>
            <w:r>
              <w:rPr>
                <w:sz w:val="20"/>
              </w:rPr>
              <w:t>(1)</w:t>
            </w:r>
          </w:p>
        </w:tc>
        <w:tc>
          <w:tcPr>
            <w:tcW w:w="7985" w:type="dxa"/>
            <w:tcBorders/>
            <w:vAlign w:val="center"/>
          </w:tcPr>
          <w:p>
            <w:pPr>
              <w:pStyle w:val="TableContents"/>
              <w:bidi w:val="0"/>
              <w:spacing w:before="0" w:after="283"/>
              <w:jc w:val="both"/>
              <w:rPr>
                <w:sz w:val="20"/>
              </w:rPr>
            </w:pPr>
            <w:r>
              <w:rPr>
                <w:sz w:val="20"/>
              </w:rPr>
              <w:t>any tax, duty, assessment or other governmental charge that would not have been imposed but for: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both"/>
              <w:rPr/>
            </w:pPr>
            <w:r>
              <w:rPr/>
              <w:t> </w:t>
            </w:r>
          </w:p>
        </w:tc>
        <w:tc>
          <w:tcPr>
            <w:tcW w:w="228" w:type="dxa"/>
            <w:tcBorders/>
            <w:vAlign w:val="center"/>
          </w:tcPr>
          <w:p>
            <w:pPr>
              <w:pStyle w:val="TableContents"/>
              <w:bidi w:val="0"/>
              <w:spacing w:before="0" w:after="283"/>
              <w:jc w:val="both"/>
              <w:rPr>
                <w:sz w:val="20"/>
              </w:rPr>
            </w:pPr>
            <w:r>
              <w:rPr>
                <w:sz w:val="20"/>
              </w:rPr>
              <w:t>(A)</w:t>
            </w:r>
          </w:p>
        </w:tc>
        <w:tc>
          <w:tcPr>
            <w:tcW w:w="9902" w:type="dxa"/>
            <w:tcBorders/>
            <w:vAlign w:val="center"/>
          </w:tcPr>
          <w:p>
            <w:pPr>
              <w:pStyle w:val="TableContents"/>
              <w:bidi w:val="0"/>
              <w:spacing w:before="0" w:after="283"/>
              <w:jc w:val="both"/>
              <w:rPr>
                <w:sz w:val="20"/>
              </w:rPr>
            </w:pPr>
            <w:r>
              <w:rPr>
                <w:sz w:val="20"/>
              </w:rPr>
              <w:t>the existence of any present or former connection between the Holder or beneficial owner of such Note and the Relevant Jurisdiction, other than merely holding such Note or the receipt of payments thereunder, including such Holder or beneficial owner being or having been a national, domiciliary or resident of such Relevant Jurisdiction or treated as a resident thereof or being or having been physically present or engaged in a trade or business therein or having or having had a permanent establishment therein;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283"/>
              <w:jc w:val="both"/>
              <w:rPr/>
            </w:pPr>
            <w:r>
              <w:rPr/>
              <w:t> </w:t>
            </w:r>
          </w:p>
        </w:tc>
        <w:tc>
          <w:tcPr>
            <w:tcW w:w="225" w:type="dxa"/>
            <w:tcBorders/>
            <w:vAlign w:val="center"/>
          </w:tcPr>
          <w:p>
            <w:pPr>
              <w:pStyle w:val="TableContents"/>
              <w:bidi w:val="0"/>
              <w:spacing w:before="0" w:after="283"/>
              <w:jc w:val="both"/>
              <w:rPr>
                <w:sz w:val="20"/>
              </w:rPr>
            </w:pPr>
            <w:r>
              <w:rPr>
                <w:sz w:val="20"/>
              </w:rPr>
              <w:t>(B)</w:t>
            </w:r>
          </w:p>
        </w:tc>
        <w:tc>
          <w:tcPr>
            <w:tcW w:w="9905" w:type="dxa"/>
            <w:tcBorders/>
            <w:vAlign w:val="center"/>
          </w:tcPr>
          <w:p>
            <w:pPr>
              <w:pStyle w:val="TableContents"/>
              <w:bidi w:val="0"/>
              <w:spacing w:before="0" w:after="283"/>
              <w:jc w:val="both"/>
              <w:rPr>
                <w:sz w:val="20"/>
              </w:rPr>
            </w:pPr>
            <w:r>
              <w:rPr>
                <w:sz w:val="20"/>
              </w:rPr>
              <w:t>the presentation of such Note (in cases in which presentation is required) more than 30 days after the later of the date on which the payment of the principal of (including the Redemption Price, the Specified Repurchase Date Repurchase Price and the Fundamental Change Repurchase Price, if applicable) and interest on such Note or the payment of cash and/or the delivery of Class A Ordinary Shares (together with payment of cash for any fractional Class A Ordinary Shares) upon conversion of such Note became due and payable or deliverable pursuant to the terms thereof or was made or duly provided for;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both"/>
              <w:rPr/>
            </w:pPr>
            <w:r>
              <w:rPr/>
              <w:t> </w:t>
            </w:r>
          </w:p>
        </w:tc>
        <w:tc>
          <w:tcPr>
            <w:tcW w:w="224" w:type="dxa"/>
            <w:tcBorders/>
            <w:vAlign w:val="center"/>
          </w:tcPr>
          <w:p>
            <w:pPr>
              <w:pStyle w:val="TableContents"/>
              <w:bidi w:val="0"/>
              <w:spacing w:before="0" w:after="283"/>
              <w:jc w:val="both"/>
              <w:rPr>
                <w:sz w:val="20"/>
              </w:rPr>
            </w:pPr>
            <w:r>
              <w:rPr>
                <w:sz w:val="20"/>
              </w:rPr>
              <w:t>(C)</w:t>
            </w:r>
          </w:p>
        </w:tc>
        <w:tc>
          <w:tcPr>
            <w:tcW w:w="9906" w:type="dxa"/>
            <w:tcBorders/>
            <w:vAlign w:val="center"/>
          </w:tcPr>
          <w:p>
            <w:pPr>
              <w:pStyle w:val="TableContents"/>
              <w:bidi w:val="0"/>
              <w:spacing w:before="0" w:after="283"/>
              <w:jc w:val="both"/>
              <w:rPr>
                <w:sz w:val="20"/>
              </w:rPr>
            </w:pPr>
            <w:r>
              <w:rPr>
                <w:sz w:val="20"/>
              </w:rPr>
              <w:t>the failure of the Holder or beneficial owner to comply with a timely request from the Company or any successor of the Company, addressed to the Holder, to provide certification, information, documents or other evidence concerning such Holder’s or beneficial owner’s nationality, residence, identity or connection with the Relevant Jurisdiction, or to make any declaration or satisfy any other reporting requirement relating to such matters, if and to the extent that due and timely compliance with such request is required by statute, regulation or administrative practice of the Relevant Jurisdiction in order to reduce or eliminate any withholding or deduction as to which Additional Amounts would have otherwise been payable;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52"/>
        <w:gridCol w:w="9878"/>
      </w:tblGrid>
      <w:tr>
        <w:trPr/>
        <w:tc>
          <w:tcPr>
            <w:tcW w:w="75" w:type="dxa"/>
            <w:tcBorders/>
            <w:vAlign w:val="center"/>
          </w:tcPr>
          <w:p>
            <w:pPr>
              <w:pStyle w:val="TableContents"/>
              <w:bidi w:val="0"/>
              <w:spacing w:before="0" w:after="283"/>
              <w:jc w:val="both"/>
              <w:rPr/>
            </w:pPr>
            <w:r>
              <w:rPr/>
              <w:t> </w:t>
            </w:r>
          </w:p>
        </w:tc>
        <w:tc>
          <w:tcPr>
            <w:tcW w:w="252" w:type="dxa"/>
            <w:tcBorders/>
            <w:vAlign w:val="center"/>
          </w:tcPr>
          <w:p>
            <w:pPr>
              <w:pStyle w:val="TableContents"/>
              <w:bidi w:val="0"/>
              <w:spacing w:before="0" w:after="283"/>
              <w:jc w:val="both"/>
              <w:rPr>
                <w:sz w:val="20"/>
              </w:rPr>
            </w:pPr>
            <w:r>
              <w:rPr>
                <w:sz w:val="20"/>
              </w:rPr>
              <w:t>(D)</w:t>
            </w:r>
          </w:p>
        </w:tc>
        <w:tc>
          <w:tcPr>
            <w:tcW w:w="9878" w:type="dxa"/>
            <w:tcBorders/>
            <w:vAlign w:val="center"/>
          </w:tcPr>
          <w:p>
            <w:pPr>
              <w:pStyle w:val="TableContents"/>
              <w:bidi w:val="0"/>
              <w:spacing w:before="0" w:after="283"/>
              <w:jc w:val="both"/>
              <w:rPr>
                <w:sz w:val="20"/>
              </w:rPr>
            </w:pPr>
            <w:r>
              <w:rPr>
                <w:sz w:val="20"/>
              </w:rPr>
              <w:t>the presentation of such Note (in cases in which presentation is required) for payment in the Relevant Jurisdiction, unless such Note could not have been presented for payment elsewhere;</w:t>
            </w:r>
          </w:p>
        </w:tc>
      </w:tr>
    </w:tbl>
    <w:p>
      <w:pPr>
        <w:pStyle w:val="TextBody"/>
        <w:bidi w:val="0"/>
        <w:spacing w:before="0" w:after="0"/>
        <w:ind w:left="0" w:right="0" w:hanging="0"/>
        <w:jc w:val="both"/>
        <w:rPr>
          <w:caps w:val="false"/>
          <w:smallCaps w:val="false"/>
        </w:rPr>
      </w:pPr>
      <w:r>
        <w:rPr>
          <w:caps w:val="false"/>
          <w:smallCaps w:val="false"/>
        </w:rPr>
        <w:t> </w:t>
      </w:r>
    </w:p>
    <w:tbl>
      <w:tblPr>
        <w:tblW w:w="1285" w:type="dxa"/>
        <w:jc w:val="left"/>
        <w:tblInd w:w="0" w:type="dxa"/>
        <w:tblLayout w:type="fixed"/>
        <w:tblCellMar>
          <w:top w:w="0" w:type="dxa"/>
          <w:left w:w="0" w:type="dxa"/>
          <w:bottom w:w="0" w:type="dxa"/>
          <w:right w:w="0" w:type="dxa"/>
        </w:tblCellMar>
      </w:tblPr>
      <w:tblGrid>
        <w:gridCol w:w="75"/>
        <w:gridCol w:w="245"/>
        <w:gridCol w:w="965"/>
      </w:tblGrid>
      <w:tr>
        <w:trPr/>
        <w:tc>
          <w:tcPr>
            <w:tcW w:w="7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sz w:val="20"/>
              </w:rPr>
            </w:pPr>
            <w:r>
              <w:rPr>
                <w:sz w:val="20"/>
              </w:rPr>
              <w:t>(2)</w:t>
            </w:r>
          </w:p>
        </w:tc>
        <w:tc>
          <w:tcPr>
            <w:tcW w:w="965" w:type="dxa"/>
            <w:tcBorders/>
            <w:vAlign w:val="center"/>
          </w:tcPr>
          <w:p>
            <w:pPr>
              <w:pStyle w:val="TableContents"/>
              <w:bidi w:val="0"/>
              <w:spacing w:before="0" w:after="283"/>
              <w:jc w:val="both"/>
              <w:rPr>
                <w:sz w:val="20"/>
              </w:rPr>
            </w:pPr>
            <w:r>
              <w:rPr>
                <w:sz w:val="20"/>
              </w:rPr>
              <w:t>[Reserved];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both"/>
              <w:rPr/>
            </w:pPr>
            <w:r>
              <w:rPr/>
              <w:t> </w:t>
            </w:r>
          </w:p>
        </w:tc>
        <w:tc>
          <w:tcPr>
            <w:tcW w:w="244" w:type="dxa"/>
            <w:tcBorders/>
            <w:vAlign w:val="center"/>
          </w:tcPr>
          <w:p>
            <w:pPr>
              <w:pStyle w:val="TableContents"/>
              <w:bidi w:val="0"/>
              <w:spacing w:before="0" w:after="283"/>
              <w:jc w:val="both"/>
              <w:rPr>
                <w:sz w:val="20"/>
              </w:rPr>
            </w:pPr>
            <w:r>
              <w:rPr>
                <w:sz w:val="20"/>
              </w:rPr>
              <w:t>(3)</w:t>
            </w:r>
          </w:p>
        </w:tc>
        <w:tc>
          <w:tcPr>
            <w:tcW w:w="9886" w:type="dxa"/>
            <w:tcBorders/>
            <w:vAlign w:val="center"/>
          </w:tcPr>
          <w:p>
            <w:pPr>
              <w:pStyle w:val="TableContents"/>
              <w:bidi w:val="0"/>
              <w:spacing w:before="0" w:after="283"/>
              <w:jc w:val="both"/>
              <w:rPr>
                <w:sz w:val="20"/>
              </w:rPr>
            </w:pPr>
            <w:r>
              <w:rPr>
                <w:sz w:val="20"/>
              </w:rPr>
              <w:t>any estate, inheritance, gift, sale, transfer, excise, personal property or similar tax, assessment or other governmental charge;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both"/>
              <w:rPr/>
            </w:pPr>
            <w:r>
              <w:rPr/>
              <w:t> </w:t>
            </w:r>
          </w:p>
        </w:tc>
        <w:tc>
          <w:tcPr>
            <w:tcW w:w="224" w:type="dxa"/>
            <w:tcBorders/>
            <w:vAlign w:val="center"/>
          </w:tcPr>
          <w:p>
            <w:pPr>
              <w:pStyle w:val="TableContents"/>
              <w:bidi w:val="0"/>
              <w:spacing w:before="0" w:after="283"/>
              <w:jc w:val="both"/>
              <w:rPr>
                <w:sz w:val="20"/>
              </w:rPr>
            </w:pPr>
            <w:r>
              <w:rPr>
                <w:sz w:val="20"/>
              </w:rPr>
              <w:t>(4)</w:t>
            </w:r>
          </w:p>
        </w:tc>
        <w:tc>
          <w:tcPr>
            <w:tcW w:w="9906" w:type="dxa"/>
            <w:tcBorders/>
            <w:vAlign w:val="center"/>
          </w:tcPr>
          <w:p>
            <w:pPr>
              <w:pStyle w:val="TableContents"/>
              <w:bidi w:val="0"/>
              <w:spacing w:before="0" w:after="283"/>
              <w:jc w:val="both"/>
              <w:rPr>
                <w:sz w:val="20"/>
              </w:rPr>
            </w:pPr>
            <w:r>
              <w:rPr>
                <w:sz w:val="20"/>
              </w:rPr>
              <w:t>any tax, duty, assessment or other governmental charge that is payable otherwise than by withholding or deduction from payments or deliveries under or with respect to the Notes;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both"/>
              <w:rPr/>
            </w:pPr>
            <w:r>
              <w:rPr/>
              <w:t> </w:t>
            </w:r>
          </w:p>
        </w:tc>
        <w:tc>
          <w:tcPr>
            <w:tcW w:w="196" w:type="dxa"/>
            <w:tcBorders/>
            <w:vAlign w:val="center"/>
          </w:tcPr>
          <w:p>
            <w:pPr>
              <w:pStyle w:val="TableContents"/>
              <w:bidi w:val="0"/>
              <w:spacing w:before="0" w:after="283"/>
              <w:jc w:val="both"/>
              <w:rPr>
                <w:sz w:val="20"/>
              </w:rPr>
            </w:pPr>
            <w:r>
              <w:rPr>
                <w:sz w:val="20"/>
              </w:rPr>
              <w:t>(5)</w:t>
            </w:r>
          </w:p>
        </w:tc>
        <w:tc>
          <w:tcPr>
            <w:tcW w:w="9934" w:type="dxa"/>
            <w:tcBorders/>
            <w:vAlign w:val="center"/>
          </w:tcPr>
          <w:p>
            <w:pPr>
              <w:pStyle w:val="TableContents"/>
              <w:bidi w:val="0"/>
              <w:spacing w:before="0" w:after="283"/>
              <w:jc w:val="both"/>
              <w:rPr>
                <w:sz w:val="20"/>
              </w:rPr>
            </w:pPr>
            <w:r>
              <w:rPr>
                <w:sz w:val="20"/>
              </w:rPr>
              <w:t>any tax, assessment, withholding or deduction required by sections 1471 through 1474 of the Code (“</w:t>
            </w:r>
            <w:r>
              <w:rPr>
                <w:b/>
                <w:sz w:val="20"/>
              </w:rPr>
              <w:t>FATCA</w:t>
            </w:r>
            <w:r>
              <w:rPr>
                <w:sz w:val="20"/>
              </w:rPr>
              <w:t>”), any current or future Treasury regulations or rulings promulgated thereunder, any law, regulation or other official guidance enacted in any jurisdiction implementing FATCA, any intergovernmental agreement between the United States and any other jurisdiction to implement FATCA or any law enacted by such other jurisdiction to give effect to such agreement, or any agreement with the U.S. Internal Revenue Service under FATCA;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7"/>
        <w:gridCol w:w="9893"/>
      </w:tblGrid>
      <w:tr>
        <w:trPr/>
        <w:tc>
          <w:tcPr>
            <w:tcW w:w="75" w:type="dxa"/>
            <w:tcBorders/>
            <w:vAlign w:val="center"/>
          </w:tcPr>
          <w:p>
            <w:pPr>
              <w:pStyle w:val="TableContents"/>
              <w:bidi w:val="0"/>
              <w:spacing w:before="0" w:after="283"/>
              <w:jc w:val="both"/>
              <w:rPr/>
            </w:pPr>
            <w:r>
              <w:rPr/>
              <w:t> </w:t>
            </w:r>
          </w:p>
        </w:tc>
        <w:tc>
          <w:tcPr>
            <w:tcW w:w="237" w:type="dxa"/>
            <w:tcBorders/>
            <w:vAlign w:val="center"/>
          </w:tcPr>
          <w:p>
            <w:pPr>
              <w:pStyle w:val="TableContents"/>
              <w:bidi w:val="0"/>
              <w:spacing w:before="0" w:after="283"/>
              <w:jc w:val="both"/>
              <w:rPr>
                <w:sz w:val="20"/>
              </w:rPr>
            </w:pPr>
            <w:r>
              <w:rPr>
                <w:sz w:val="20"/>
              </w:rPr>
              <w:t>(6)</w:t>
            </w:r>
          </w:p>
        </w:tc>
        <w:tc>
          <w:tcPr>
            <w:tcW w:w="9893" w:type="dxa"/>
            <w:tcBorders/>
            <w:vAlign w:val="center"/>
          </w:tcPr>
          <w:p>
            <w:pPr>
              <w:pStyle w:val="TableContents"/>
              <w:bidi w:val="0"/>
              <w:spacing w:before="0" w:after="283"/>
              <w:jc w:val="both"/>
              <w:rPr>
                <w:sz w:val="20"/>
              </w:rPr>
            </w:pPr>
            <w:r>
              <w:rPr>
                <w:sz w:val="20"/>
              </w:rPr>
              <w:t>any combination of taxes, duties, assessments or other governmental charges referred to in the preceding clauses (1), (2), (3), (4) or (5); or</w:t>
            </w:r>
          </w:p>
        </w:tc>
      </w:tr>
    </w:tbl>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 respect to any payment of the principal of (including the Redemption Price, the Specified Repurchase Date Repurchase Price and the Fundamental Change Repurchase Price, if applicable) and interest on such Note or the payment of cash and/or the delivery of Class A Ordinary Shares (together with payment of cash for any fractional Class A Ordinary Shares) upon conversion of such Note to a Holder, if the Holder is a fiduciary, partnership or person other than the sole beneficial owner of that payment to the extent that such payment would be required to be included in the income under the laws of the Relevant Jurisdiction, for tax purposes, of a beneficiary or settlor with respect to the fiduciary, a partner or member of that partnership or a beneficial owner, in each case, that would not have been entitled to such Additional Amounts had that beneficiary, settlor, partner, member or beneficial owner been the Holder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these provisions, there are circumstances in which taxes could be withheld or deducted, but Additional Amounts would not be payable with respect to Notes held for some or all beneficial owners of Notes.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and the Paying Agent shall also be entitled to make any withholding or deduction pursuant to an agreement described in Section 1471(b) of the Code or otherwise imposed pursuant to FATCA and any regulations or agreements thereunder or official interpretations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reference in this Indenture or the Notes in any context to the payment of cash and/or the delivery of Class A Ordinary Shares (together with payments of cash for any fractional Class A Ordinary Shares), upon conversion of any Note or the payment of principal of (including the Redemption Price, the Specified Repurchase Date Repurchase Price and the Fundamental Change Repurchase Price, if applicable) and interest on any Note or any other amount payable with respect to such Note, such reference shall be deemed to include payment of Additional Amounts to the extent that, in such context, Additional Amounts are, were or would be payable in respect to that amount pursuant to this Section 4.10.</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the Company or its successor is required to make any deduction or withholding from any payments or deliveries with respect to the Notes, it will deliver to the Trustee official tax receipts evidencing the remittance to the relevant tax authorities of the amounts so withheld or deducted or, if such receipts are not obtainable, other evidence of payments reasonably satisfactory to the Trustee. Upon request, copies of those receipts or other evidence of payments, as the case may be, will be made available by the Paying Agent to the Holders or beneficial owners of the Notes.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shall have no obligation to determine whether any Additional Amounts are payable under this Indenture or the amount thereof.</w:t>
      </w:r>
    </w:p>
    <w:p>
      <w:pPr>
        <w:pStyle w:val="TextBody"/>
        <w:bidi w:val="0"/>
        <w:spacing w:before="0" w:after="0"/>
        <w:ind w:left="0" w:right="0" w:hanging="0"/>
        <w:jc w:val="both"/>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5</w:t>
      </w:r>
      <w:r>
        <w:rPr>
          <w:rFonts w:ascii="Times New Roman;Times;Serif" w:hAnsi="Times New Roman;Times;Serif"/>
          <w:b w:val="false"/>
          <w:i w:val="false"/>
          <w:smallCaps/>
          <w:sz w:val="20"/>
        </w:rPr>
        <w:br/>
        <w:t>Lists of Holders and Reports by the Company and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5.01 </w:t>
      </w:r>
      <w:r>
        <w:rPr>
          <w:rFonts w:ascii="Times New Roman;Times;Serif" w:hAnsi="Times New Roman;Times;Serif"/>
          <w:b w:val="false"/>
          <w:i/>
          <w:caps w:val="false"/>
          <w:smallCaps w:val="false"/>
          <w:sz w:val="20"/>
        </w:rPr>
        <w:t>Lists of Holders</w:t>
      </w:r>
      <w:r>
        <w:rPr>
          <w:rFonts w:ascii="Times New Roman;Times;Serif" w:hAnsi="Times New Roman;Times;Serif"/>
          <w:b w:val="false"/>
          <w:i w:val="false"/>
          <w:caps w:val="false"/>
          <w:smallCaps w:val="false"/>
          <w:sz w:val="20"/>
        </w:rPr>
        <w:t>. The Company covenants and agrees that it will furnish or cause to be furnished to the Trustee, semi-annually, not more than 15 days after each Regular Record Date in each year beginning with August 15, 2026, and at such other times as the Trustee may request in writing, within 30 days after receipt by the Company of any such request (or such lesser time as the Trustee may reasonably request in order to enable it to timely provide any notice to be provided by it hereunder), a list in such form as the Trustee may reasonably require of the names and addresses of the Holders as of a date not more than 15 days (or such other date as the Trustee may reasonably request in order to so provide any such notices) prior to the time such information is furnished, except that no such list need be furnished so long as the Trustee is acting as Note Registrar.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5.02 </w:t>
      </w:r>
      <w:r>
        <w:rPr>
          <w:rFonts w:ascii="Times New Roman;Times;Serif" w:hAnsi="Times New Roman;Times;Serif"/>
          <w:b w:val="false"/>
          <w:i/>
          <w:caps w:val="false"/>
          <w:smallCaps w:val="false"/>
          <w:sz w:val="20"/>
        </w:rPr>
        <w:t>Preservation and Disclosure of Lists</w:t>
      </w:r>
      <w:r>
        <w:rPr>
          <w:rFonts w:ascii="Times New Roman;Times;Serif" w:hAnsi="Times New Roman;Times;Serif"/>
          <w:b w:val="false"/>
          <w:i w:val="false"/>
          <w:caps w:val="false"/>
          <w:smallCaps w:val="false"/>
          <w:sz w:val="20"/>
        </w:rPr>
        <w:t>. The Trustee shall preserve, in as current a form as is reasonably practicable, all information as to the names and addresses of the Holders contained in the most recent list furnished to it as provided in Section 5.01 or maintained by the Trustee in its capacity as Note Registrar, if so acting. The Trustee may destroy any list furnished to it as provided in Section 5.01 upon receipt of a new list so furnished.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6</w:t>
      </w:r>
      <w:r>
        <w:rPr>
          <w:rFonts w:ascii="Times New Roman;Times;Serif" w:hAnsi="Times New Roman;Times;Serif"/>
          <w:b w:val="false"/>
          <w:i w:val="false"/>
          <w:smallCaps/>
          <w:sz w:val="20"/>
        </w:rPr>
        <w:br/>
        <w:t>Defaults and Remedies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6.01 </w:t>
      </w:r>
      <w:r>
        <w:rPr>
          <w:rFonts w:ascii="Times New Roman;Times;Serif" w:hAnsi="Times New Roman;Times;Serif"/>
          <w:b w:val="false"/>
          <w:i/>
          <w:caps w:val="false"/>
          <w:smallCaps w:val="false"/>
          <w:sz w:val="20"/>
        </w:rPr>
        <w:t>Events of Default.</w:t>
      </w:r>
      <w:r>
        <w:rPr>
          <w:rFonts w:ascii="Times New Roman;Times;Serif" w:hAnsi="Times New Roman;Times;Serif"/>
          <w:b w:val="false"/>
          <w:i w:val="false"/>
          <w:caps w:val="false"/>
          <w:smallCaps w:val="false"/>
          <w:sz w:val="20"/>
        </w:rPr>
        <w:t xml:space="preserve"> Each of the following events shall be an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with respect to the Notes: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default in any payment of interest or Additional Amounts, if any, on any Note when due and payable, and the default continues for a period of thirty (30) days;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default in the payment of principal of any Note when due and payable on the Maturity Date, upon Redemption, upon any required repurchase, upon declaration of acceleration or otherwise;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failure by the Company to comply with its obligation to convert the Notes in accordance with this Indenture upon exercise of a Holder’s conversion right and such failure continues for a period of five (5) Business Days;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failure by the Company to issue a Fundamental Change Company Notice in accordance with Section 15.02, notice of a Make-Whole Fundamental Change in accordance with Section 14.03(a) or a notice of a specified corporate transaction in accordance with Section 14.01(b)(ii) or Section 14.01(b)(iii), in each case, when due, and such failure continues for five (5) Business Days;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failure by the Company to comply with its obligations under ‎Article 11;</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failure by the Company for 60 days after written notice from the Trustee or by the Trustee at the request of the Holders of at least 25% in principal amount of the Notes then outstanding has been received by the Company to comply with any of its other agreements contained in the Notes or this Indenture;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default by the Company or any Significant Subsidiary with respect to any mortgage, agreement or other instrument under which there may be outstanding, or by which there may be secured or evidenced, any indebtedness for money borrowed (which, for the avoidance of doubt, shall not include any obligations due under any foreign exchange, currency option, currency swap or other similar transaction) with a principal amount in excess of $60,000,000 (or the foreign currency equivalent thereof) in the aggregate by the Company and/or any such Significant Subsidiary, whether such indebtedness now exists or shall hereafter be created (i) resulting in such indebtedness becoming or being declared due and payable prior to its stated maturity date or (ii) constituting a failure to pay the principal of any such indebtedness when due and payable (after the expiration of all applicable grace periods) at its stated maturity, upon required repurchase, upon declaration of acceleration or otherwise and in each case, such failure to pay or default shall not have been cured or waived, such indebtedness is not paid or discharged, or such acceleration is not otherwise cured, annulled or rescinded, within thirty (30) days after written notice to the Company by the Trustee or to the Company and the Trustee by Holders of at least 25% in aggregate principal amount of Notes then outstanding in accordance with this Indenture;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or any Significant Subsidiary shall commence a voluntary case or other proceeding seeking liquidation, reorganization or other relief with respect to the Company or any such Significant Subsidiary or its debts under any bankruptcy, insolvency or other similar law now or hereafter in effect or seeking the appointment of a trustee, receiver, liquidator, custodian or other similar official of the Company or any such Significant Subsidiary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 involuntary case or other proceeding shall be commenced against the Company or any Significant Subsidiary seeking liquidation, reorganization or other relief with respect to the Company or such Significant Subsidiary or its debts under any bankruptcy, insolvency or other similar law now or hereafter in effect or seeking the appointment of a trustee, receiver, liquidator, custodian or other similar official of the Company or such Significant Subsidiary or any substantial part of its property, and such involuntary case or other proceeding shall remain undismissed and unstayed for a period of 90 consecutive days.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be deemed to have knowledge of an Event of Default unless and until a Responsible Officer receives written notification of such Event of Default describing the circumstances of such, and identifying the circumstances constituting such Event of Default and stating that such notification is a notice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6.02 </w:t>
      </w:r>
      <w:r>
        <w:rPr>
          <w:rFonts w:ascii="Times New Roman;Times;Serif" w:hAnsi="Times New Roman;Times;Serif"/>
          <w:b w:val="false"/>
          <w:i/>
          <w:caps w:val="false"/>
          <w:smallCaps w:val="false"/>
          <w:sz w:val="20"/>
        </w:rPr>
        <w:t>Acceleration; Rescission and Annulment</w:t>
      </w:r>
      <w:r>
        <w:rPr>
          <w:rFonts w:ascii="Times New Roman;Times;Serif" w:hAnsi="Times New Roman;Times;Serif"/>
          <w:b w:val="false"/>
          <w:i w:val="false"/>
          <w:caps w:val="false"/>
          <w:smallCaps w:val="false"/>
          <w:sz w:val="20"/>
        </w:rPr>
        <w:t>. If one or more Events of Default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 then, and in each and every such case (other than an Event of Default specified in Section 6.01(h) or Section 6.01(i) with respect to the Company), unless the principal of all of the Notes shall have already become due and payable, either the Trustee or the Holders of at least 25% in aggregate principal amount of the Notes then outstanding determined in accordance with Section 8.04, by notice in writing to the Company (and to the Trustee if given by Holders), may (and the Trustee, at the written request of such Holders accompanied by security and/or indemnity satisfactory to the Trustee an otherwise subject to the limitations set forth in this Indenture, shall) declare 100% of the principal of, and accrued and unpaid interest on, all the outstanding Notes to be due and payable immediately, and upon any such declaration the same shall become and shall automatically be immediately due and payable without any action on part of the Trustee. If an Event of Default specified in Section 6.01(h) or Section 6.01(i) with respect to the Company occurs and is continuing, 100% of the principal of, and accrued and unpaid interest, if any, on, all Notes shall become and shall automatically be immediately due and payable. If an Event of Default occurs and is continuing, the Trustee may pursue, in its own name or as trustee of an express trust, any available remedy by proceeding at law or in equity to collect the payment of principal of and interest on the Notes or to enforce the performance of any provision of the notes or this Indenture. The Trustee may maintain a proceeding even if it does not possess any of the Notes or does not produce any of them in the proceeding. If any portion of the amount payable on the Notes upon acceleration is considered by a court to be unearned interest (through the allocation of the value of the instrument to the embedded warrant or otherwise), the court could disallow recovery of any such portion without any action on part of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immediately preceding paragraph, however, is subject to the conditions that if, at any time after the principal of the Notes shall have been so declared due and payable, and before any judgment or decree for the payment of the monies due shall have been obtained or entered as hereinafter provided, and if (1) rescission would not conflict with any judgment or decree of a court of competent jurisdiction and (2) all existing Events of Default under this Indenture, other than the nonpayment of the principal of and accrued and unpaid interest, if any, on Notes that shall have become due solely by such acceleration, shall have been cured or waived pursuant to ‎Section 6.09, then and in every such case the Holders of a majority in aggregate principal amount of the Notes then outstanding, by written notice to the Company and to the Trustee, may waive all Defaults or Events of Default with respect to the Notes and rescind and annul such declaration and its consequences and such Default shall cease to exist, and any Event of Default arising therefrom shall be deemed to have been cured for every purpose of this Indenture; but no such waiver or rescission and annulment shall extend to or shall affect any subsequent Default or Event of Default, or shall impair any right consequent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avoidance of doubt, and without limiting the manner in which any Default or Event of Default can be cured: (i) a failure by the Company to send a notice in accordance with this Indenture and any related Default (or Event of Default) shall be deemed cured and shall cease to continue upon delivery of such notice to the applicable recipient; (ii) if the Company fails to make any payment of principal of or interest on the Notes (or delivery of any other consideration in respect thereof) when due, such Default (or Event of Default) shall be deemed cured and shall cease to continue upon the making of such payment or delivery, as applicable, together with any accrued interest thereon, if applicable; and (iii) a Reporting Event of Default shall be deemed cured and shall cease to continue at such time as the Company files the applicable report or reports that gave rise to such Reporting Event of Default (it being understood that any report that the Company files with the Commission through the EDGAR system (or any successor thereto) will be deemed to be filed with the Trustee at the time such report is so filed via the EDGAR system (or such successor));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the avoidance of doubt, (x) the cure of any Event of Default shall not invalidate any acceleration of the Notes on account of such Event of Default that was properly effected prior to such time as such Event of Default was cured and (y) the cure of any Reporting Event of Default shall not affect the Company’s obligation to pay any Additional Interest that accrues prior to the time of such cure. In addition, if an Event of Default is cured or waived before any related notice of acceleration is delivered, such Event of Default shall be deemed cured and the Notes shall not be subject to acceleration on account of such Event of Default. For the avoidance of doubt, nothing in the immediately preceding two sentences shall constitute a waiver of or in any way limit the Trustee’s or any Holder’s right to institute suit for any damages incurred as a result of an Event of Default under this Indenture even if such Event of Default is subsequently cured.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6.03 </w:t>
      </w:r>
      <w:r>
        <w:rPr>
          <w:rFonts w:ascii="Times New Roman;Times;Serif" w:hAnsi="Times New Roman;Times;Serif"/>
          <w:b w:val="false"/>
          <w:i/>
          <w:caps w:val="false"/>
          <w:smallCaps w:val="false"/>
          <w:sz w:val="20"/>
        </w:rPr>
        <w:t xml:space="preserve">Additional Interest. </w:t>
      </w:r>
      <w:r>
        <w:rPr>
          <w:rFonts w:ascii="Times New Roman;Times;Serif" w:hAnsi="Times New Roman;Times;Serif"/>
          <w:b w:val="false"/>
          <w:i w:val="false"/>
          <w:caps w:val="false"/>
          <w:smallCaps w:val="false"/>
          <w:sz w:val="20"/>
        </w:rPr>
        <w:t>Notwithstanding anything in this Indenture or in the Notes to the contrary, to the extent the Company elects, the sole remedy for an Event of Default under this Indenture relating to the failure by the Company to comply with its reporting obligations under ‎ Section 4.06(b) (such default, a “</w:t>
      </w:r>
      <w:r>
        <w:rPr>
          <w:rFonts w:ascii="Times New Roman;Times;Serif" w:hAnsi="Times New Roman;Times;Serif"/>
          <w:b/>
          <w:i w:val="false"/>
          <w:caps w:val="false"/>
          <w:smallCaps w:val="false"/>
          <w:sz w:val="20"/>
        </w:rPr>
        <w:t>Reporting Event of Default</w:t>
      </w:r>
      <w:r>
        <w:rPr>
          <w:rFonts w:ascii="Times New Roman;Times;Serif" w:hAnsi="Times New Roman;Times;Serif"/>
          <w:b w:val="false"/>
          <w:i w:val="false"/>
          <w:caps w:val="false"/>
          <w:smallCaps w:val="false"/>
          <w:sz w:val="20"/>
        </w:rPr>
        <w:t>” and the obligations described in Section 4.06(b), the “</w:t>
      </w:r>
      <w:r>
        <w:rPr>
          <w:rFonts w:ascii="Times New Roman;Times;Serif" w:hAnsi="Times New Roman;Times;Serif"/>
          <w:b/>
          <w:i w:val="false"/>
          <w:caps w:val="false"/>
          <w:smallCaps w:val="false"/>
          <w:sz w:val="20"/>
        </w:rPr>
        <w:t>Reporting Obligations</w:t>
      </w:r>
      <w:r>
        <w:rPr>
          <w:rFonts w:ascii="Times New Roman;Times;Serif" w:hAnsi="Times New Roman;Times;Serif"/>
          <w:b w:val="false"/>
          <w:i w:val="false"/>
          <w:caps w:val="false"/>
          <w:smallCaps w:val="false"/>
          <w:sz w:val="20"/>
        </w:rPr>
        <w:t>”) shall after the occurrence of such an Event of Default (which will be the 60th day after written notice is provided to the Company in accordance with an Event of Default pursuant to Section 6.01(f)) consist exclusively of the right to receive Additional Interest on the Notes at a rate equal to (x) 0.25% per annum of the principal amount of the Notes outstanding for each day during the period beginning on, and including, the date on which such an Event of Default first occurs and ending on the earlier of (i) the date on which such Event of Default is cured or validly waived or (ii) the 180th day immediately following, and including, the date on which such Event of Default first occurred and (y) if such Event of Default has not been cured or validly waived prior to the 181st day immediately following, and including, the date on which such Event of Default first occurred, 0.50% per annum of the principal amount of the Notes outstanding for each day during the period beginning on, and including, the 181st day immediately following, and including the date on which such Event of Default first occurred and ending on the earlier of (i) the date on which such Event of Default is cured or validly waived or (ii) the 365th day immediately following, and including, the date on which such Event of Default first occurred.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so elects, such Additional Interest shall be payable in the same manner and on the same dates as the stated interest payable on the Notes. On the 366th day after such Event of Default (if the Event of Default relating to the Company’s failure to comply with the Reporting Obligations is not cured or waived prior to such 366th day), the Notes shall be subject to acceleration under ‎Section 6.02. The provisions of this ‎Section 6.03 shall not affect the rights of Holders of Notes in the event of the occurrence of any other Event of Default. In the event the Company does not elect to pay the Additional Interest following an Event of Default relating to the Reporting Obligations in accordance with this ‎Section 6.03 or the Company elected to make such payment but does not pay the Additional Interest when due, the Notes shall be immediately subject to acceleration under ‎Section 6.02 as a result of the Event of Default pursuant to Section 6.01(f) is then continuing.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elect to pay the Additional Interest as the sole remedy during the first 365 days after the occurrence of an Event of Default relating to the failure by the Company to comply with the Reporting Obligations in accordance with this ‎Section 6.03, the Company must notify in writing all Holders of the Notes, the Trustee and the Paying Agent (if other than the Trustee) of such election prior to the beginning of such 365-day period. Upon the Company’s failure to timely give such notice, the Notes shall be immediately subject to acceleration under ‎Section 6.02. The Trustee shall not at any time be under any duty or responsibility to any Holder of Notes to determine the Additional Interest, or with respect to the nature, extent, or calculation of the amount of Additional Interest owed, or with respect to the method employed in such calculation of the Additional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event shall Additional Interest payable at the Company’s election for failure to comply with its Reporting Obligations pursuant to this Section 6.03, together with any Additional Interest that may accrue as a result of the Company’s failure to timely file any document or report that the Company is required to file with the Commission pursuant to Section 13 or 15(d) of the Exchange Act, as applicable (after giving effect to all applicable grace periods thereunder and other than current reports on Form 8-K), as set forth in Section 4.06(d), accrue at a rate in excess of 1.00% per annum pursuant to this Indenture, regardless of the number of events or circumstances giving rise to the requirement to pay such Additional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6.04 </w:t>
      </w:r>
      <w:r>
        <w:rPr>
          <w:rFonts w:ascii="Times New Roman;Times;Serif" w:hAnsi="Times New Roman;Times;Serif"/>
          <w:b w:val="false"/>
          <w:i/>
          <w:caps w:val="false"/>
          <w:smallCaps w:val="false"/>
          <w:sz w:val="20"/>
        </w:rPr>
        <w:t>Payments of Notes on Default; Suit Therefor.</w:t>
      </w:r>
      <w:r>
        <w:rPr>
          <w:rFonts w:ascii="Times New Roman;Times;Serif" w:hAnsi="Times New Roman;Times;Serif"/>
          <w:b w:val="false"/>
          <w:i w:val="false"/>
          <w:caps w:val="false"/>
          <w:smallCaps w:val="false"/>
          <w:sz w:val="20"/>
        </w:rPr>
        <w:t xml:space="preserve"> If an Event of Default described in ‎Section 6.01(a) or ‎Section 6.01(b) shall have occurred and be continuing, the Company shall, upon demand of the Trustee or the requisite Holders, pay to the Trustee, for the benefit of the Holders of the Notes, the whole amount then due and payable on the Notes for principal (including the Redemption Price, the Fundamental Change Repurchase Price and the Specified Repurchase Date Repurchase Price, if applicable), and interest, if any, with interest on any overdue principal, and interest, if any, at the rate borne by the Notes at such time, and, in addition thereto, such further amount as shall be sufficient to cover any amounts due to the Trustee under Section 7.06. If the Company shall fail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the Notes and collect the moneys adjudged or decreed to be payable in the manner provided by law out of the property of the Company or any other obligor upon the Notes, wherever situated.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there shall be pending proceedings for the bankruptcy or for the reorganization of the Company or any other obligor on the Notes under Title 11 of the United States Code, or any other applicable law, or in case a receiver, assignee or trustee in bankruptcy or reorganization, liquidator, sequestrator or similar official shall have been appointed for or taken possession of the Company or such other obligor, the property of the Company or such other obligor, or in the event of any other judicial proceedings relative to the Company or such other obligor upon the Notes, or to the creditors or property of the Company or such other obligor, the Trustee, irrespective of whether the principal of the Notes shall then be due and payable as therein expressed or by declaration or otherwise and irrespective of whether the Trustee shall have made any demand pursuant to the provisions of this ‎Section 6.04, shall be entitled and empowered, by intervention in such proceedings or otherwise, to file and prove a claim or claims for the whole amount of principal and accrued and unpaid interest, if any, in respect of the Notes, and, in case of any judicial proceedings, to file such proofs of claim and other papers or documents and to take such other actions as it may deem necessary or advisable in order to have the claims of the Trustee (including any claim for the reasonable compensation, expenses, disbursements and advances of the Trustee, its agents and counsel) and of the Holders allowed in such judicial proceedings relative to the Company or any other obligor on the Notes, its or their creditors, or its or their property, and to collect and receive any monies or other property payable or deliverable on any such claims, and to distribute the same after the deduction of any amounts due to the Trustee under Section 7.06; and any receiver, assignee or trustee in bankruptcy or reorganization, liquidator, custodian or similar official is hereby authorized by each of the Holders to make such payments to the Trustee, as administrative expenses, and, in the event that the Trustee shall consent to the making of such payments directly to the Holders, to pay to the Trustee any amount due it for reasonable compensation, expenses, advances and disbursements, including agents and counsel fees, and including any other amounts due to the Trustee under Section 7.06, incurred by it up to the date of such distribution. To the extent that such payment of reasonable compensation, expenses, advances and disbursements out of the estate in any such proceedings shall be denied for any reason, payment of the same shall be secured by a lien on, and shall be paid out of, any and all distributions, dividends, monies, securities and other property that the Holders of the Notes may be entitled to receive in such proceedings, whether in liquidation or under any plan of reorganization or arrangement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herein contained shall be deemed to authorize the Trustee to authorize or consent to or accept or adopt on behalf of any Holder any plan of reorganization, arrangement, adjustment or composition affecting such Holder or the rights of any Holder thereof, or to authorize the Trustee to vote in respect of the claim of any Holder in any such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rights of action and of asserting claims under this Indenture, or under any of the Notes, may be enforced by the Trustee without the possession of any of the Notes, or the production thereof at any trial or other proceeding relative thereto, and any such suit or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proceedings brought by the Trustee (and in any proceedings involving the interpretation of any provision of this Indenture to which the Trustee shall be a party) the Trustee shall be held to represent all the Holders of the Notes, and it shall not be necessary to make any Holders of the Notes parties to any such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the Trustee shall have proceeded to enforce any right under this Indenture and such proceedings shall have been discontinued or abandoned because of any waiver pursuant to ‎Section 6.09 or any rescission and annulment pursuant to ‎Section 6.02 or for any other reason or shall have been determined adversely to the Trustee, then and in every such case the Company, the Holders and the Trustee shall, subject to any determination in such proceeding, be restored respectively to their several positions and rights hereunder, and all rights, remedies and powers of the Company, the Holders and the Trustee shall continue as though no such proceeding had been instituted.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6.05 </w:t>
      </w:r>
      <w:r>
        <w:rPr>
          <w:rFonts w:ascii="Times New Roman;Times;Serif" w:hAnsi="Times New Roman;Times;Serif"/>
          <w:b w:val="false"/>
          <w:i/>
          <w:caps w:val="false"/>
          <w:smallCaps w:val="false"/>
          <w:sz w:val="20"/>
        </w:rPr>
        <w:t>Application of Monies Collected by Trustee.</w:t>
      </w:r>
      <w:r>
        <w:rPr>
          <w:rFonts w:ascii="Times New Roman;Times;Serif" w:hAnsi="Times New Roman;Times;Serif"/>
          <w:b w:val="false"/>
          <w:i w:val="false"/>
          <w:caps w:val="false"/>
          <w:smallCaps w:val="false"/>
          <w:sz w:val="20"/>
        </w:rPr>
        <w:t xml:space="preserve"> Any monies or property collected by the Trustee pursuant to this ‎ Article 6 with respect to the Notes shall be applied in the following order, at the date or dates fixed by the Trustee for the distribution of such monies or property, upon presentation of the several Notes, and stamping thereon the payment, if only partially paid, and upon surrender thereof, if fully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First</w:t>
      </w:r>
      <w:r>
        <w:rPr>
          <w:rFonts w:ascii="Times New Roman;Times;Serif" w:hAnsi="Times New Roman;Times;Serif"/>
          <w:b w:val="false"/>
          <w:i w:val="false"/>
          <w:caps w:val="false"/>
          <w:smallCaps w:val="false"/>
          <w:sz w:val="20"/>
        </w:rPr>
        <w:t>, to the payment of all amounts due the Trustee (in any capacity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Second</w:t>
      </w:r>
      <w:r>
        <w:rPr>
          <w:rFonts w:ascii="Times New Roman;Times;Serif" w:hAnsi="Times New Roman;Times;Serif"/>
          <w:b w:val="false"/>
          <w:i w:val="false"/>
          <w:caps w:val="false"/>
          <w:smallCaps w:val="false"/>
          <w:sz w:val="20"/>
        </w:rPr>
        <w:t>, in case the principal of the outstanding Notes shall not have become due and be unpaid, to the payment of interest on, and any cash due upon conversion of, the Notes in default in the order of the date due of the payments of such interest and cash due upon conversion, as the case may be, with interest (to the extent that such interest is payable on such Notes and has been collected by the Trustee) upon such overdue payments at the rate borne by the Notes at such time, such payments to be made ratably to the Persons entitled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Third</w:t>
      </w:r>
      <w:r>
        <w:rPr>
          <w:rFonts w:ascii="Times New Roman;Times;Serif" w:hAnsi="Times New Roman;Times;Serif"/>
          <w:b w:val="false"/>
          <w:i w:val="false"/>
          <w:caps w:val="false"/>
          <w:smallCaps w:val="false"/>
          <w:sz w:val="20"/>
        </w:rPr>
        <w:t>, in case the principal of the outstanding Notes shall have become due, by declaration or otherwise, and be unpaid to the payment of the whole amount (including, if applicable, the payment of the Redemption Price, the Fundamental Change Repurchase Price and the Specified Repurchase Date Repurchase Price and any cash due upon conversion) then owing and unpaid upon the Notes for principal and interest, if any, with interest on the overdue principal and, to the extent that such interest has been collected by the Trustee, upon overdue installments of interest at the rate borne by the Notes at such time, and in case such monies shall be insufficient to pay in full the whole amounts so due and unpaid upon the Notes, then to the payment of such principal (including, if applicable, the Redemption Price, the Fundamental Change Repurchase Price and the Specified Repurchase Date Repurchase Price any cash due upon conversion) and interest without preference or priority of principal over interest, or of interest over principal or of any installment of interest over any other installment of interest, or of any Note over any other Note, ratably to the aggregate of such principal (including, if applicable, the Redemption Price, the Fundamental Change Repurchase Price and the Specified Repurchase Date Repurchase Price and any cash due upon conversion) and accrued and unpaid interest;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Fourth</w:t>
      </w:r>
      <w:r>
        <w:rPr>
          <w:rFonts w:ascii="Times New Roman;Times;Serif" w:hAnsi="Times New Roman;Times;Serif"/>
          <w:b w:val="false"/>
          <w:i w:val="false"/>
          <w:caps w:val="false"/>
          <w:smallCaps w:val="false"/>
          <w:sz w:val="20"/>
        </w:rPr>
        <w:t>, to the payment of the remainder, if any,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6.06 </w:t>
      </w:r>
      <w:r>
        <w:rPr>
          <w:rFonts w:ascii="Times New Roman;Times;Serif" w:hAnsi="Times New Roman;Times;Serif"/>
          <w:b w:val="false"/>
          <w:i/>
          <w:caps w:val="false"/>
          <w:smallCaps w:val="false"/>
          <w:sz w:val="20"/>
        </w:rPr>
        <w:t>Proceedings by Holders.</w:t>
      </w:r>
      <w:r>
        <w:rPr>
          <w:rFonts w:ascii="Times New Roman;Times;Serif" w:hAnsi="Times New Roman;Times;Serif"/>
          <w:b w:val="false"/>
          <w:i w:val="false"/>
          <w:caps w:val="false"/>
          <w:smallCaps w:val="false"/>
          <w:sz w:val="20"/>
        </w:rPr>
        <w:t xml:space="preserve"> Except to enforce the right to receive payment of principal (including, if applicable, the Redemption Price, the Fundamental Change Repurchase Price and the Specified Repurchase Date Repurchase Price) or interest when due, or the right to receive payment or delivery of the consideration due upon conversion, no Holder of any Note shall have any right by virtue of or by availing of any provision of this Indenture to institute any suit, action or proceeding in equity or at law upon or under or with respect to this Indenture, or for the appointment of a receiver, trustee, liquidator, custodian or other similar official, or for any other remedy hereunder, unless: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Holder previously shall have given to the Trustee written notice of an Event of Default and of the continuance thereof, as herein provided;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Holders of at least 25% in aggregate principal amount of the Notes then outstanding shall have made written request upon the Trustee to institute such action, suit or proceeding in its own name as Trustee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Holders shall have offered, and if requested, provided, to the Trustee such security and/or indemnity satisfactory to it against any loss, liability or expense to be incurred therein or thereby;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for 60 days after its receipt of such notice, request and offer of such security and/or indemnity, shall have neglected or refused to institute any such action, suit or proceeding;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direction that, in the opinion of the Trustee, is inconsistent with such written request shall have been given to the Trustee by the Holders of a majority of the aggregate principal amount of the Notes then outstanding within such 60-day period pursuant to ‎Section 6.09,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 being understood and intended, and being expressly covenanted by the taker and Holder of every Note with every other taker and Holder and the Trustee that no one or more Holders shall have any right in any manner whatever by virtue of or by availing of any provision of this Indenture to affect, disturb or prejudice the rights of any other Holder (it being understood that the Trustee shall not have an affirmative duty to ascertain whether or not any such direction is unduly prejudicial to any other Holder), or to obtain or seek to obtain priority over or preference to any other such Holder, or to enforce any right under this Indenture, except in the manner herein provided and for the equal, ratable and common benefit of all Holders (except as otherwise </w:t>
      </w:r>
      <w:r>
        <w:rPr>
          <w:rFonts w:ascii="Times New Roman;Times;Serif" w:hAnsi="Times New Roman;Times;Serif"/>
          <w:b w:val="false"/>
          <w:i/>
          <w:caps w:val="false"/>
          <w:smallCaps w:val="false"/>
          <w:sz w:val="20"/>
        </w:rPr>
        <w:t>provided herein</w:t>
      </w:r>
      <w:r>
        <w:rPr>
          <w:rFonts w:ascii="Times New Roman;Times;Serif" w:hAnsi="Times New Roman;Times;Serif"/>
          <w:b w:val="false"/>
          <w:i w:val="false"/>
          <w:caps w:val="false"/>
          <w:smallCaps w:val="false"/>
          <w:sz w:val="20"/>
        </w:rPr>
        <w:t>). For the protection and enforcement of this ‎Section 6.06, each and every Holder and the Trustee shall be entitled to such relief as can be given either at law or in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this Indenture and any provision of any Note, each Holder shall have the right to receive payment or delivery, as the case may be, of (x) the principal (including the Redemption Price, the Specified Repurchase Date Repurchase Price on the Specified Repurchase Date and the Fundamental Change Repurchase Price, if applicable) of, (y) accrued and unpaid interest, if any, on, and (z) the consideration due upon conversion of, such Note, on or after the respective due dates expressed or provided for in such Note or in this Indenture, or to institute suit for the enforcement of any such payment or delivery, as the case may be, and such right to receive such payment or delivery, as the case may be, on or after such respective dates shall not be impaired of affected without the consent of such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6.07 </w:t>
      </w:r>
      <w:r>
        <w:rPr>
          <w:rFonts w:ascii="Times New Roman;Times;Serif" w:hAnsi="Times New Roman;Times;Serif"/>
          <w:b w:val="false"/>
          <w:i/>
          <w:caps w:val="false"/>
          <w:smallCaps w:val="false"/>
          <w:sz w:val="20"/>
        </w:rPr>
        <w:t>Proceedings by Trustee.</w:t>
      </w:r>
      <w:r>
        <w:rPr>
          <w:rFonts w:ascii="Times New Roman;Times;Serif" w:hAnsi="Times New Roman;Times;Serif"/>
          <w:b w:val="false"/>
          <w:i w:val="false"/>
          <w:caps w:val="false"/>
          <w:smallCaps w:val="false"/>
          <w:sz w:val="20"/>
        </w:rPr>
        <w:t xml:space="preserve"> In case of an Event of Default, the Trustee may in its discretion proceed to protect and enforce the rights vested in it by this Indenture by such appropriate judicial proceedings as are necessary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6.08 </w:t>
      </w:r>
      <w:r>
        <w:rPr>
          <w:rFonts w:ascii="Times New Roman;Times;Serif" w:hAnsi="Times New Roman;Times;Serif"/>
          <w:b w:val="false"/>
          <w:i/>
          <w:caps w:val="false"/>
          <w:smallCaps w:val="false"/>
          <w:sz w:val="20"/>
        </w:rPr>
        <w:t>Remedies Cumulative and Continuing.</w:t>
      </w:r>
      <w:r>
        <w:rPr>
          <w:rFonts w:ascii="Times New Roman;Times;Serif" w:hAnsi="Times New Roman;Times;Serif"/>
          <w:b w:val="false"/>
          <w:i w:val="false"/>
          <w:caps w:val="false"/>
          <w:smallCaps w:val="false"/>
          <w:sz w:val="20"/>
        </w:rPr>
        <w:t xml:space="preserve"> Except as provided in the last paragraph of ‎Section 2.06, all powers and remedies given by this ‎ Article 6 to the Trustee or to the Holders shall, to the extent permitted by law, be deemed cumulative and not exclusive of any thereof or of any other powers and remedies available to the Trustee or the Holders of the Notes, by judicial proceedings or otherwise, to enforce the performance or observance of the covenants and agreements contained in this Indenture, and no delay or omission of the Trustee or of any Holder of any of the Notes to exercise any right or power accruing upon any Default or Event of Default shall impair any such right or power, or shall be construed to be a waiver of any such Default or Event of Default or any acquiescence therein; and, subject to the provisions of ‎Section 6.07, every power and remedy given by this ‎Article 6 or by law to the Trustee or to the Holders may be exercised from time to time, and as often as shall be deemed expedient, by the Trustee or by the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6.09 </w:t>
      </w:r>
      <w:r>
        <w:rPr>
          <w:rFonts w:ascii="Times New Roman;Times;Serif" w:hAnsi="Times New Roman;Times;Serif"/>
          <w:b w:val="false"/>
          <w:i/>
          <w:caps w:val="false"/>
          <w:smallCaps w:val="false"/>
          <w:sz w:val="20"/>
        </w:rPr>
        <w:t>Direction of Proceedings and Waiver of Defaults by Majority of Holders.</w:t>
      </w:r>
      <w:r>
        <w:rPr>
          <w:rFonts w:ascii="Times New Roman;Times;Serif" w:hAnsi="Times New Roman;Times;Serif"/>
          <w:b w:val="false"/>
          <w:i w:val="false"/>
          <w:caps w:val="false"/>
          <w:smallCaps w:val="false"/>
          <w:sz w:val="20"/>
        </w:rPr>
        <w:t xml:space="preserve"> The Holders of a majority of the aggregate principal amount of the Notes at the time outstanding determined in accordance with Section 8.04 shall have the right to direct the time, method and place of conducting any proceeding for any remedy available to the Trustee or exercising any trust or power conferred on the Trustee;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Trustee may refuse to follow any direction that conflicts with law or this Indenture, that the Trustee determines is unduly prejudicial to the rights of any other Holder (it being understood that the Trustee shall not have an affirmative duty to ascertain whether or not any such direction is unduly prejudicial to any other Holder) or that may involve the Trustee in personal liability, or if it is not provided with security and/or indemnity to its satisfaction may take any other action it deems proper that is not inconsistent with any such direction received from Holders. In addition, the Trustee will not be required to expend its own funds under any circumstances. The Holders of a majority in aggregate principal amount of the Notes at the time outstanding determined in accordance with Section 8.04 may on behalf of the Holders of all of the Notes waive any past Default or Event of Default hereunder and its consequences (including, for the avoidance of doubt, any acceleration as a result of such Default or Event of Default) except any continuing Default or Event of Default relating to (1) a default in the payment of accrued and unpaid interest, if any, on, or the principal (including any Redemption Price, any Fundamental Change Repurchase Price and any Specified Repurchase Date Repurchase Price) of, the Notes when due that has not been cured pursuant to the provisions of ‎ Section 6.02, (2) a failure by the Company to pay or deliver, as the case may be, the consideration due upon conversion of the Notes or (3) a default in respect of a covenant or provision hereof which under ‎Article 10 cannot be modified or amended without the consent of each Holder of an outstanding Note affected. Upon any such waiver the Company, the Trustee and the Holders of the Notes shall be restored to their former positions and rights hereunder; but no such waiver shall extend to any subsequent or other Default or Event of Default or impair any right consequent thereon. Whenever any Default or Event of Default hereunder shall have been waived as permitted by this ‎Section 6.09, said Default or Event of Default shall for all purposes of the Notes and this Indenture be deemed to have been cured and to be not continuing; but no such waiver shall extend to any subsequent or other Default or Event of Default or impair any right consequent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6.10 </w:t>
      </w:r>
      <w:r>
        <w:rPr>
          <w:rFonts w:ascii="Times New Roman;Times;Serif" w:hAnsi="Times New Roman;Times;Serif"/>
          <w:b w:val="false"/>
          <w:i/>
          <w:caps w:val="false"/>
          <w:smallCaps w:val="false"/>
          <w:sz w:val="20"/>
        </w:rPr>
        <w:t>Notice of Defaults.</w:t>
      </w:r>
      <w:r>
        <w:rPr>
          <w:rFonts w:ascii="Times New Roman;Times;Serif" w:hAnsi="Times New Roman;Times;Serif"/>
          <w:b w:val="false"/>
          <w:i w:val="false"/>
          <w:caps w:val="false"/>
          <w:smallCaps w:val="false"/>
          <w:sz w:val="20"/>
        </w:rPr>
        <w:t xml:space="preserve"> The Trustee shall, within 90 days after the occurrence and continuance of a Default of which a Responsible Officer receives written notice or obtains actual knowledge, deliver to all Holders notice of all Defaults known to a Responsible Officer, unless such Defaults shall have been cured or waived before the giving of such notice;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except in the case of a Default in the payment of the principal of (including the Redemption Price, the Fundamental Change Repurchase Price and the Specified Repurchase Date Repurchase Price, if applicable), or accrued and unpaid interest on, any of the Notes or a Default in the payment or delivery of the consideration due upon conversion, the Trustee shall be protected in withholding such notice if the Trustee in good faith determines that the withholding of such notice is in the interests of the Holders (it being understood that the Trustee shall not have an affirmative duty to make such determination). The Trustee shall not be deemed to have knowledge of an Event of Default unless and until a Responsible Officer receives written notification of such Event of Default describing the circumstances of such, and identifying the circumstances constituting such Event of Default and stating that such notification is a “notice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6.11 </w:t>
      </w:r>
      <w:r>
        <w:rPr>
          <w:rFonts w:ascii="Times New Roman;Times;Serif" w:hAnsi="Times New Roman;Times;Serif"/>
          <w:b w:val="false"/>
          <w:i/>
          <w:caps w:val="false"/>
          <w:smallCaps w:val="false"/>
          <w:sz w:val="20"/>
        </w:rPr>
        <w:t>Undertaking to Pay Costs.</w:t>
      </w:r>
      <w:r>
        <w:rPr>
          <w:rFonts w:ascii="Times New Roman;Times;Serif" w:hAnsi="Times New Roman;Times;Serif"/>
          <w:b w:val="false"/>
          <w:i w:val="false"/>
          <w:caps w:val="false"/>
          <w:smallCaps w:val="false"/>
          <w:sz w:val="20"/>
        </w:rPr>
        <w:t xml:space="preserve"> All parties to this Indenture agree, and each Holder of any Note by its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the provisions of this ‎Section 6.11 (to the extent permitted by law) shall not apply to any suit instituted by the Trustee, to any suit instituted by any Holder, or group of Holders, holding in the aggregate more than 10% in principal amount of the Notes at the time outstanding determined in accordance with Section 8.04, or to any suit instituted by any Holder for the enforcement of the payment of the principal of or accrued and unpaid interest, if any, on any Note (including, but not limited to, the Redemption Price, the Fundamental Change Repurchase Price and the Specified Repurchase Date Repurchase Price, if applicable) on or after the due date expressed or provided for in such Note or this Indenture or to any suit for the enforcement of the right to convert any Note, or receive the consideration due upon conversion, in accordance with the provisions of ‎Article 14.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7</w:t>
      </w:r>
      <w:r>
        <w:rPr>
          <w:rFonts w:ascii="Times New Roman;Times;Serif" w:hAnsi="Times New Roman;Times;Serif"/>
          <w:b w:val="false"/>
          <w:i w:val="false"/>
          <w:smallCaps/>
          <w:sz w:val="20"/>
        </w:rPr>
        <w:br/>
        <w:t>Concerning the Trustee</w:t>
      </w:r>
      <w:r>
        <w:rPr>
          <w:rFonts w:ascii="Times New Roman;Times;Serif" w:hAnsi="Times New Roman;Times;Serif"/>
          <w:b w:val="false"/>
          <w:i/>
          <w:smallCaps/>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7.01 </w:t>
      </w:r>
      <w:r>
        <w:rPr>
          <w:rFonts w:ascii="Times New Roman;Times;Serif" w:hAnsi="Times New Roman;Times;Serif"/>
          <w:b w:val="false"/>
          <w:i/>
          <w:caps w:val="false"/>
          <w:smallCaps w:val="false"/>
          <w:sz w:val="20"/>
        </w:rPr>
        <w:t>Duties and Responsibilities of Trustee.</w:t>
      </w:r>
      <w:r>
        <w:rPr>
          <w:rFonts w:ascii="Times New Roman;Times;Serif" w:hAnsi="Times New Roman;Times;Serif"/>
          <w:b w:val="false"/>
          <w:i w:val="false"/>
          <w:caps w:val="false"/>
          <w:smallCaps w:val="false"/>
          <w:sz w:val="20"/>
        </w:rPr>
        <w:t xml:space="preserve"> The Trustee, prior to the occurrence of an Event of Default and after the curing or waiver of all Events of Default that may have occurred, undertakes to perform such duties and only such duties as are specifically set forth in this Indenture. In the event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an Event of Default occurs and is continuing, the Trustee will be under no obligation to exercise any of the rights or powers under this Indenture at the request or direction of any of the Holders unless such Holders have offered, and if requested, provided, to the Trustee indemnity or security satisfactory to it against any loss, liability or expense that might be incurred by it in compliance with such request or direction.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provision of this Indenture shall be construed to relieve the Trustee from liability for its own grossly negligent action, its own grossly negligent failure to act or its own willful misconduct, except that: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the occurrence of an Event of Default and after the curing or waiving of all Events of Default that may have occurred: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absence of bad faith and willful misconduct on the part of the Trustee, the Trustee may, as to the truth of the statements and the correctness of the opinions expressed therein, conclusively rely upon any certificates or opinions furnished to the Trustee and conforming to the requirements of this Indenture; but, in the case of any such certificates or opinions that by any provisions hereof are specifically required to be furnished to the Trustee, the Trustee shall be under a duty to examine the same to determine whether or not they conform to the requirements of this Indenture (but need not confirm or investigate the accuracy of any mathematical calculations or other facts stated therein);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shall not be liable for any error of judgment made in good faith by a Responsible Officer or Officers of the Trustee, unless it shall be proved that the Trustee was grossly negligent in ascertaining the pertinent facts;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shall not be liable with respect to any action taken or omitted to be taken by it in good faith in accordance with the direction of the Holders of not less than a majority of the aggregate principal amount of the Notes at the time outstanding determined as provided in Section 8.04 relating to the time, method and place of conducting any proceeding for any remedy available to the Trustee, or exercising any trust or power conferred upon the Trustee, under this Indenture;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whether or not therein provided, every provision of this Indenture relating to the conduct or affecting the liability of, or affording protection to, the Trustee shall be subject to the provisions of this Section;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shall not be liable in respect of any payment (as to the correctness of amount, entitlement to receive or any other matters relating to payment) or notice effected by the Company or any Paying Agent or any records maintained by any co-Note Registrar with respect to the Notes;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any party fails to deliver a notice relating to an event the fact of which, pursuant to this Indenture, requires notice to be sent to the Trustee, the Trustee may conclusively rely on its failure to receive such notice as reason to act as if no such event occurred, unless a Responsible Officer of the Trustee had actual knowledge of such event;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Trustee shall not be required to give any bond or surety in respect of the execution of the trusts and powers under this Indenture;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 the absence of written investment direction from the Company, all cash received by the Trustee shall be placed in a non-interest bearing trust account, and in no event shall the Trustee be liable for the selection of investments or for investment losses, fees, taxes or other charges incurred thereon or for losses incurred as a result of the liquidation of any such investment prior to its maturity date or the failure of the party directing such investments prior to its maturity date or the failure of the party directing such investment to provide timely written investment direction, and the Trustee shall have no obligation to invest or reinvest any amounts held hereunder in the absence of such written investment direction from the Company;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that the Trustee is also acting as Custodian, Note Registrar, Paying Agent, Conversion Agent, Bid Solicitation Agent or transfer agent hereunder, the rights and protections afforded to the Trustee pursuant to this Article 7 shall also be afforded to such Custodian, Note Registrar, Paying Agent, Conversion Agent, Bid Solicitation Agent or transfer agent.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provisions contained in this Indenture shall require the Trustee to expend or risk its own funds or otherwise incur personal financial liability in the performance of any of its duties or in the exercise of any of its rights or powers. Prior to taking any action under this Indenture, the Trustee shall be entitled to indemnification or security satisfactory to it against any loss, liability, or expense caused by taking or not taking such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7.02 </w:t>
      </w:r>
      <w:r>
        <w:rPr>
          <w:rFonts w:ascii="Times New Roman;Times;Serif" w:hAnsi="Times New Roman;Times;Serif"/>
          <w:b w:val="false"/>
          <w:i/>
          <w:caps w:val="false"/>
          <w:smallCaps w:val="false"/>
          <w:sz w:val="20"/>
        </w:rPr>
        <w:t>Reliance on Documents, Opinions, Etc.</w:t>
      </w:r>
      <w:r>
        <w:rPr>
          <w:rFonts w:ascii="Times New Roman;Times;Serif" w:hAnsi="Times New Roman;Times;Serif"/>
          <w:b w:val="false"/>
          <w:i w:val="false"/>
          <w:caps w:val="false"/>
          <w:smallCaps w:val="false"/>
          <w:sz w:val="20"/>
        </w:rPr>
        <w:t xml:space="preserve"> Except as otherwise provided in Section 7.01:</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may conclusively rely and shall be fully protected in acting or refraining from acting upon any resolution, certificate, statement, instrument, opinion, report, notice, request, consent, order, bond, note, coupon or other paper or document believed by it in good faith to be genuine and to have been signed or presented by the proper party or parties;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request, direction, order or demand of the Company mentioned herein shall be sufficiently evidenced by an Officer’s Certificate (unless other evidence in respect thereof be herein specifically prescribed); and any Board Resolution may be evidenced to the Trustee by a copy thereof certified by the Secretary or an Assistant Secretary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whenever in the administration of this Indenture, the Trustee shall deem it desirable that a matter be proved or established prior to taking, suffering or omitting any action hereunder, the Trustee (unless other evidence be herein specifically prescribed) may, in the absence of gross negligence or willful misconduct on its part, conclusively rely upon an Officer’s Certificate;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may consult with counsel of its selection, and require an Opinion of Counsel and any advice of such counsel or Opinion of Counsel shall be full and complete authorization and protection in respect of any action taken or omitted by it hereunder in good faith and in accordance with such advice or Opinion of Counsel;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shall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expense of the Company and shall incur no liability of any kind by reason of such inquiry or investigation;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may execute any of the trusts or powers hereunder or perform any duties hereunder either directly or by or through agents, custodians, nominees or attorneys and the Trustee shall not be responsible for any misconduct or negligence on the part of any agent, custodian, nominee or attorney appointed by it with due care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permissive rights of the Trustee enumerated herein shall not be construed as duties;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Trustee may request that the Company deliver an Officer’s Certificate setting forth the names of the individuals and/or titles of officers authorized at such times to take specified actions pursuant to this Indenture, which Officer’s Certificate may be signed by any Person authorized to sign an Officer’s Certificate, including any Person specified as so authorized in any such certificate previously delivered and not superseded;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the Trustee nor any of its directors, officers, employees, agents, or affiliates shall be responsible for nor have any duty to monitor the performance or any action of the Company, or any of their respective directors, members, officers, agents, affiliates, or employees, nor shall it have any liability in connection with the malfeasance or nonfeasance by such party. The Trustee shall not be responsible for any inaccuracy in the information obtained from the Company or for any inaccuracy or omission in the records which may result from such information or any failure by the Trustee to perform its duties or set forth herein as a result of any inaccuracy or incompleteness. The Trustee shall have no obligation to determine whether the Liquidity Conditions have been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event shall the Trustee be liable for any special, indirect, punitive, or consequential loss or damage of any kind whatsoever (including but not limited to lost profits), even if the Trustee has been advised of the likelihood of such loss or damage and regardless of the form of action. The Trustee shall not be charged with knowledge of any Default or Event of Default with respect to the Notes, unless either (1) a Responsible Officer shall have actual knowledge of such Default or Event of Default or (2) written notice of such Default or Event of Default shall have been received by a Responsible Officer of the Trustee from the Company or from any Holder of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7.03 </w:t>
      </w:r>
      <w:r>
        <w:rPr>
          <w:rFonts w:ascii="Times New Roman;Times;Serif" w:hAnsi="Times New Roman;Times;Serif"/>
          <w:b w:val="false"/>
          <w:i/>
          <w:caps w:val="false"/>
          <w:smallCaps w:val="false"/>
          <w:sz w:val="20"/>
        </w:rPr>
        <w:t>No Responsibility for Recitals, Etc.</w:t>
      </w:r>
      <w:r>
        <w:rPr>
          <w:rFonts w:ascii="Times New Roman;Times;Serif" w:hAnsi="Times New Roman;Times;Serif"/>
          <w:b w:val="false"/>
          <w:i w:val="false"/>
          <w:caps w:val="false"/>
          <w:smallCaps w:val="false"/>
          <w:sz w:val="20"/>
        </w:rPr>
        <w:t xml:space="preserve"> The recitals contained herein and in the Notes (except in the Trustee’s certificate of authentication) shall be taken as the statements of the Company, and the Trustee assumes no responsibility for the correctness of the same. The Trustee makes no representations as to the validity or sufficiency of this Indenture, the Offering Memorandum or of the Notes. The Trustee shall not be accountable for the use or application by the Company of any Notes or the proceeds of any Notes authenticated and delivered by the Trustee in conformity with the provisions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7.04 </w:t>
      </w:r>
      <w:r>
        <w:rPr>
          <w:rFonts w:ascii="Times New Roman;Times;Serif" w:hAnsi="Times New Roman;Times;Serif"/>
          <w:b w:val="false"/>
          <w:i/>
          <w:caps w:val="false"/>
          <w:smallCaps w:val="false"/>
          <w:sz w:val="20"/>
        </w:rPr>
        <w:t>Trustee, Paying Agents, Conversion Agents, Bid Solicitation Agent or Note Registrar May Own Notes.</w:t>
      </w:r>
      <w:r>
        <w:rPr>
          <w:rFonts w:ascii="Times New Roman;Times;Serif" w:hAnsi="Times New Roman;Times;Serif"/>
          <w:b w:val="false"/>
          <w:i w:val="false"/>
          <w:caps w:val="false"/>
          <w:smallCaps w:val="false"/>
          <w:sz w:val="20"/>
        </w:rPr>
        <w:t xml:space="preserve"> The Trustee, any Paying Agent, any Conversion Agent, Bid Solicitation Agent (if other than the Company or any Affiliate thereof) or Note Registrar, in its individual or any other capacity, may become the owner or pledgee of Notes with the same rights it would have if it were not the Trustee, Paying Agent, Conversion Agent, Bid Solicitation Agent or Note Registrar.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7.05 </w:t>
      </w:r>
      <w:r>
        <w:rPr>
          <w:rFonts w:ascii="Times New Roman;Times;Serif" w:hAnsi="Times New Roman;Times;Serif"/>
          <w:b w:val="false"/>
          <w:i/>
          <w:caps w:val="false"/>
          <w:smallCaps w:val="false"/>
          <w:sz w:val="20"/>
        </w:rPr>
        <w:t>Monies and Ordinary Shares to Be Held in Trust.</w:t>
      </w:r>
      <w:r>
        <w:rPr>
          <w:rFonts w:ascii="Times New Roman;Times;Serif" w:hAnsi="Times New Roman;Times;Serif"/>
          <w:b w:val="false"/>
          <w:i w:val="false"/>
          <w:caps w:val="false"/>
          <w:smallCaps w:val="false"/>
          <w:sz w:val="20"/>
        </w:rPr>
        <w:t xml:space="preserve"> All monies and Class A Ordinary Shares received by the Trustee shall, until used or applied as herein provided, be held in trust for the purposes for which they were received. Money and Class A Ordinary Shares held by the Trustee in trust hereunder need not be segregated from other funds except to the extent required by law. The Trustee shall be under no liability for interest on any money or Class A Ordinary Shares received by it hereunder except as may be agreed from time to time by the Company and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7.06 </w:t>
      </w:r>
      <w:r>
        <w:rPr>
          <w:rFonts w:ascii="Times New Roman;Times;Serif" w:hAnsi="Times New Roman;Times;Serif"/>
          <w:b w:val="false"/>
          <w:i/>
          <w:caps w:val="false"/>
          <w:smallCaps w:val="false"/>
          <w:sz w:val="20"/>
        </w:rPr>
        <w:t>Compensation and Expenses of Trustee.</w:t>
      </w:r>
      <w:r>
        <w:rPr>
          <w:rFonts w:ascii="Times New Roman;Times;Serif" w:hAnsi="Times New Roman;Times;Serif"/>
          <w:b w:val="false"/>
          <w:i w:val="false"/>
          <w:caps w:val="false"/>
          <w:smallCaps w:val="false"/>
          <w:sz w:val="20"/>
        </w:rPr>
        <w:t xml:space="preserve"> The Company covenants and agrees to pay to the Trustee from time to time and the Trustee shall receive such compensation for all services rendered by it hereunder in any capacity (which shall not be limited by any provision of law in regard to the compensation of a trustee of an express trust) as previously and mutually agreed to in writing between the Trustee and the Company, and the Company will pay or reimburse the Trustee upon its request for all reasonable expenses, disbursements and advances reasonably incurred or made by the Trustee in accordance with any of the provisions of this Indenture in any capacity thereunder (including the reasonable compensation and the expenses and disbursements of its agents and counsel and of all Persons not regularly in its employ) except any such expense, disbursement or advance as shall have been caused by its gross negligence or willful misconduct. The Company also covenants to indemnify the Trustee or any predecessor Trustee in any capacity under this Indenture and any other document or transaction entered into in connection herewith and its agents and any authenticating agent for, and to hold them harmless against, any loss, claim, damage, liability or expense incurred without gross negligence or willful misconduct on the part of the Trustee, its officers, directors, agents or employees, or such agent or authenticating agent, as the case may be, and arising out of or in connection with the acceptance or administration of this Indenture or in any other capacity hereunder and the enforcement of this Indenture (including this Section 7.06), including the costs and expenses of defending themselves against any claim of liability in the premises. The obligations of the Company under this Section 7.06 to compensate or indemnify the Trustee and to pay or reimburse the Trustee for expenses, disbursements and advances shall be secured by a senior claim to which the Notes are hereby made subordinate on all money or property held or collected by the Trustee, except, subject to the effect of Section 6.05, funds held in trust herewith for the benefit of the Holders of particular Notes, and, for the avoidance of doubt, such lien shall not be extended in a manner that would conflict with the Company’s obligations to its other creditors. The Trustee’s right to receive payment of any amounts due under this Section 7.06 shall not be subordinate to any other liability or indebtedness of the Company. The obligation of the Company under this Section 7.06 shall survive the satisfaction and discharge of this Indenture and the earlier resignation or removal of the Trustee. The Company need not pay for any settlement made without its consent, which consent shall not be unreasonably withheld. The indemnification provided in this Section 7.06 shall extend to the officers, directors, agents and employees of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prejudice to any other rights available to the Trustee under applicable law, when the Trustee and its agents and any authenticating agent incur expenses or render services after an Event of Default specified in Section 6.01(h) or Section 6.01(i) occurs, the expenses and the compensation for the services are intended to constitute expenses of administration under any bankruptcy, insolvency or similar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7.07 </w:t>
      </w:r>
      <w:r>
        <w:rPr>
          <w:rFonts w:ascii="Times New Roman;Times;Serif" w:hAnsi="Times New Roman;Times;Serif"/>
          <w:b w:val="false"/>
          <w:i/>
          <w:caps w:val="false"/>
          <w:smallCaps w:val="false"/>
          <w:sz w:val="20"/>
        </w:rPr>
        <w:t xml:space="preserve">Officer’s Certificate as Evidence. </w:t>
      </w:r>
      <w:r>
        <w:rPr>
          <w:rFonts w:ascii="Times New Roman;Times;Serif" w:hAnsi="Times New Roman;Times;Serif"/>
          <w:b w:val="false"/>
          <w:i w:val="false"/>
          <w:caps w:val="false"/>
          <w:smallCaps w:val="false"/>
          <w:sz w:val="20"/>
        </w:rPr>
        <w:t>Except as otherwise provided in Section 7.01, whenever in the administration of the provisions of this Indenture the Trustee shall deem it necessary or desirable that a matter be proved or established prior to taking or omitting any action hereunder, such matter (unless other evidence in respect thereof be herein specifically prescribed) may, in the absence of gross negligence and willful misconduct, on the part of the Trustee, be deemed to be conclusively proved and established by an Officer’s Certificate delivered to the Trustee, and such Officer’s Certificate, in the absence of gross negligence, and willful misconduct, on the part of the Trustee, shall be full warrant to the Trustee for any action taken or omitted by it under the provisions of this Indenture upon the faith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7.08 </w:t>
      </w:r>
      <w:r>
        <w:rPr>
          <w:rFonts w:ascii="Times New Roman;Times;Serif" w:hAnsi="Times New Roman;Times;Serif"/>
          <w:b w:val="false"/>
          <w:i/>
          <w:caps w:val="false"/>
          <w:smallCaps w:val="false"/>
          <w:sz w:val="20"/>
        </w:rPr>
        <w:t>Eligibility of Trustee.</w:t>
      </w:r>
      <w:r>
        <w:rPr>
          <w:rFonts w:ascii="Times New Roman;Times;Serif" w:hAnsi="Times New Roman;Times;Serif"/>
          <w:b w:val="false"/>
          <w:i w:val="false"/>
          <w:caps w:val="false"/>
          <w:smallCaps w:val="false"/>
          <w:sz w:val="20"/>
        </w:rPr>
        <w:t xml:space="preserve"> There shall at all times be a Trustee hereunder which shall be a Person that is eligible pursuant to the Trust Indenture Act (as if the Trust Indenture Act were applicable hereto) to act as such and has a combined capital and surplus of at least $50,000,000. If such Person publishes reports of condition at least annually, pursuant to law or to the requirements of any supervising or examining authority, then for the purposes of this Section 7.08, the combined capital and surplus of such Person shall be deemed to be its combined capital and surplus as set forth in its most recent report of condition so published. If at any time the Trustee shall cease to be eligible in accordance with the provisions of this Section 7.08, it shall resign promptly in the manner and with the effect hereinafter specified in this Article 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7.09 </w:t>
      </w:r>
      <w:r>
        <w:rPr>
          <w:rFonts w:ascii="Times New Roman;Times;Serif" w:hAnsi="Times New Roman;Times;Serif"/>
          <w:b w:val="false"/>
          <w:i/>
          <w:caps w:val="false"/>
          <w:smallCaps w:val="false"/>
          <w:sz w:val="20"/>
        </w:rPr>
        <w:t>Resignation or Removal of Trustee.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may at any time resign by giving written notice of such resignation to the Company and by delivering notice thereof to the Holders. Upon receiving such notice of resignation, the Company shall promptly appoint a successor trustee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45 days after the giving of such notice of resignation to the Holders, the resigning Trustee may, upon ten Business Days’ notice to the Company and the Holders, petition any court of competent jurisdiction, at the expense of the Company, for the appointment of a successor trustee, or any Holder who has been a bona fide Holder of a Note or Notes for at least six months (or since the date of this Indenture) may, subject to the provisions of Section 6.11, on behalf of himself or herself and all others similarly situated, petition any such court for the appointment of a successor trustee. Such court may thereupon, after such notice, if any, as it may deem proper and prescribe, appoint a successor trustee.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at any time any of the following shall occur: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shall cease to be eligible in accordance with the provisions of Section 7.08 and shall fail to resign after written request therefor by the Company or by any such Holder,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in either case, the Company may by a Board Resolution remove the Trustee and appoint a successor trustee by written instrument, in duplicate, executed by order of the Board of Directors, one copy of which instrument shall be delivered to the Trustee so removed and one copy to the successor trustee, or, subject to the provisions of Section 6.11, any Holder who has been a bona fide Holder of a Note or Notes for at least six months (or since the date of this Indenture) may, on behalf of himself or herself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Holders of a majority in aggregate principal amount of the Notes at the time outstanding, as determined in accordance with Section 8.04, may at any time remove the Trustee and nominate a successor trustee that shall be deemed appointed as successor trustee unless within ten days after notice to the Company of such nomination the Company objects thereto, in which case the Trustee so removed or any Holder, upon the terms and conditions and otherwise as in Section 7.09(a) provided, may petition any court of competent jurisdiction for an appointment of a successor trustee.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resignation or removal of the Trustee and appointment of a successor trustee pursuant to any of the provisions of this Section 7.09 shall become effective upon acceptance of appointment by the successor trustee as provided in Section 7.10.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7.10 </w:t>
      </w:r>
      <w:r>
        <w:rPr>
          <w:rFonts w:ascii="Times New Roman;Times;Serif" w:hAnsi="Times New Roman;Times;Serif"/>
          <w:b w:val="false"/>
          <w:i/>
          <w:caps w:val="false"/>
          <w:smallCaps w:val="false"/>
          <w:sz w:val="20"/>
        </w:rPr>
        <w:t>Acceptance by Successor Trustee.</w:t>
      </w:r>
      <w:r>
        <w:rPr>
          <w:rFonts w:ascii="Times New Roman;Times;Serif" w:hAnsi="Times New Roman;Times;Serif"/>
          <w:b w:val="false"/>
          <w:i w:val="false"/>
          <w:caps w:val="false"/>
          <w:smallCaps w:val="false"/>
          <w:sz w:val="20"/>
        </w:rPr>
        <w:t xml:space="preserve"> Any successor trustee appointed as provided in Section 7.09 shall execute, acknowledge and deliver to the Company and to its predecessor trustee an instrument accepting such appointment hereunder, and thereupon the resignation or removal of the predecessor trustee shall become effective and such successor trustee, without any further act, deed or conveyance, shall become vested with all the rights, powers, duties and obligations of its predecessor hereunder, with like effect as if originally named as Trustee herein; but, nevertheless, on the written request of the Company or of the successor trustee, the trustee ceasing to act shall, upon payment of any amounts then due it pursuant to the provisions of Section 7.06, execute and deliver an instrument transferring to such successor trustee all the rights and powers of the trustee so ceasing to act. Upon request of any such successor trustee, the Company shall execute any and all instruments in writing for more fully and certainly vesting in and confirming to such successor trustee all such rights and powers. Any trustee ceasing to act shall, nevertheless, retain a senior claim to which the Notes are hereby made subordinate on all money or property held or collected by such trustee as such, except for funds held in trust for the benefit of Holders of particular Notes, to secure any amounts then due it pursuant to the provisions of Section 7.06.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successor trustee shall accept appointment as provided in this Section 7.10 unless at the time of such acceptance such successor trustee shall be eligible under the provisions of Section 7.08.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acceptance of appointment by a successor trustee as provided in this Section 7.10, each of the Company and the successor trustee, at the written direction and at the expense of the Company shall deliver or cause to be delivered notice of the succession of such trustee hereunder to the Holders. If the Company fails to deliver such notice within ten days after acceptance of appointment by the successor trustee, the successor trustee shall cause such notice to be delivered at the expense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7.11 </w:t>
      </w:r>
      <w:r>
        <w:rPr>
          <w:rFonts w:ascii="Times New Roman;Times;Serif" w:hAnsi="Times New Roman;Times;Serif"/>
          <w:b w:val="false"/>
          <w:i/>
          <w:caps w:val="false"/>
          <w:smallCaps w:val="false"/>
          <w:sz w:val="20"/>
        </w:rPr>
        <w:t>Succession by Merger, Etc.</w:t>
      </w:r>
      <w:r>
        <w:rPr>
          <w:rFonts w:ascii="Times New Roman;Times;Serif" w:hAnsi="Times New Roman;Times;Serif"/>
          <w:b w:val="false"/>
          <w:i w:val="false"/>
          <w:caps w:val="false"/>
          <w:smallCaps w:val="false"/>
          <w:sz w:val="20"/>
        </w:rPr>
        <w:t xml:space="preserve"> Any organization or other entity into which the Trustee may be merged or converted or with which it may be consolidated, or any organization or other entity resulting from any merger, conversion or consolidation to which the Trustee shall be a party, or any organization or other entity succeeding to all or substantially all of the corporate trust business of the Trustee (including the administration of this Indenture), shall be the successor to the Trustee hereunder without the execution or filing of any paper or any further act on the part of any of the parties 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any organization or other entity succeeding to all or substantially all of the corporate trust business of the Trustee such organization or other entity shall be eligible under the provisions of Section 7.08.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case at the time such successor to the Trustee shall succeed to the trusts created by this Indenture, any of the Notes shall have been authenticated but not delivered, any such successor to the Trustee may adopt the certificate of authentication of any predecessor trustee or authenticating agent appointed by such predecessor trustee, and deliver such Notes so authenticated; and in case at that time any of the Notes shall not have been authenticated, any successor to the Trustee or an authenticating agent appointed by such successor trustee may authenticate such Notes either in the name of any predecessor trustee hereunder or in the name of the successor trustee; and in all such cases such certificates shall have the full force which it is anywhere in the Notes or in this Indenture provided that the certificate of the Trustee shall have;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right to adopt the certificate of authentication of any predecessor trustee or to authenticate Notes in the name of any predecessor trustee shall apply only to its successor or successors by merger, conversion or consolidation.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7.12 </w:t>
      </w:r>
      <w:r>
        <w:rPr>
          <w:rFonts w:ascii="Times New Roman;Times;Serif" w:hAnsi="Times New Roman;Times;Serif"/>
          <w:b w:val="false"/>
          <w:i/>
          <w:caps w:val="false"/>
          <w:smallCaps w:val="false"/>
          <w:sz w:val="20"/>
        </w:rPr>
        <w:t>Trustee’s Application for Instructions from the Company.</w:t>
      </w:r>
      <w:r>
        <w:rPr>
          <w:rFonts w:ascii="Times New Roman;Times;Serif" w:hAnsi="Times New Roman;Times;Serif"/>
          <w:b w:val="false"/>
          <w:i w:val="false"/>
          <w:caps w:val="false"/>
          <w:smallCaps w:val="false"/>
          <w:sz w:val="20"/>
        </w:rPr>
        <w:t xml:space="preserve"> Any application by the Trustee for written instructions from the Company (other than with regard to any action proposed to be taken or omitted to be taken by the Trustee that affects the rights of the Holders of the Notes under this Indenture) may, at the option of the Trustee, set forth in writing any action proposed to be taken or omitted by the Trustee under this Indenture and the date on and/or after which such action shall be taken or such omission shall be effective. The Trustee shall not be liable to the Company for any action taken by, or omission of, the Trustee in accordance with a proposal included in such application on or after the date specified in such application (which date shall not be less than three Business Days after the date any Officer that the Company has indicated to the Trustee should receive such application actually receives such application, unless any such Officer shall have consented in writing to any earlier date), unless, prior to taking any such action (or the effective date in the case of any omission), the Trustee shall have received written instructions in accordance with this Indenture in response to such application specifying the action to be taken or omitted.</w:t>
      </w:r>
    </w:p>
    <w:p>
      <w:pPr>
        <w:pStyle w:val="TextBody"/>
        <w:bidi w:val="0"/>
        <w:spacing w:before="0" w:after="0"/>
        <w:ind w:left="0" w:right="0" w:hanging="0"/>
        <w:jc w:val="both"/>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8</w:t>
      </w:r>
      <w:r>
        <w:rPr>
          <w:rFonts w:ascii="Times New Roman;Times;Serif" w:hAnsi="Times New Roman;Times;Serif"/>
          <w:b w:val="false"/>
          <w:i w:val="false"/>
          <w:smallCaps/>
          <w:sz w:val="20"/>
        </w:rPr>
        <w:br/>
        <w:t>Concerning the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8.01 </w:t>
      </w:r>
      <w:r>
        <w:rPr>
          <w:rFonts w:ascii="Times New Roman;Times;Serif" w:hAnsi="Times New Roman;Times;Serif"/>
          <w:b w:val="false"/>
          <w:i/>
          <w:caps w:val="false"/>
          <w:smallCaps w:val="false"/>
          <w:sz w:val="20"/>
        </w:rPr>
        <w:t>Action by Holders</w:t>
      </w:r>
      <w:r>
        <w:rPr>
          <w:rFonts w:ascii="Times New Roman;Times;Serif" w:hAnsi="Times New Roman;Times;Serif"/>
          <w:b w:val="false"/>
          <w:i w:val="false"/>
          <w:caps w:val="false"/>
          <w:smallCaps w:val="false"/>
          <w:sz w:val="20"/>
        </w:rPr>
        <w:t>. Whenever in this Indenture it is provided that the Holders of a specified percentage of the aggregate principal amount of the Notes may take any action (including the making of any demand or request, the giving of any notice, consent or waiver or the taking of any other action), the fact that at the time of taking any such action, the Holders of such specified percentage have joined therein may be evidenced (a) by any instrument or any number of instruments of similar tenor executed by Holders in person or by agent or proxy appointed in writing, or (b) by the record of the Holders voting in favor thereof at any meeting of Holders duly called and held in accordance with the provisions of Article 9, or (c) by a combination of such instrument or instruments and any such record of such a meeting of Holders. Whenever the Company or the Trustee solicits the taking of any action by the Holders of the Notes, the Company or the Trustee may, but shall not be required to, fix in advance of such solicitation, a date as the record date for determining Holders entitled to take such action. The record date if one is selected shall be not more than fifteen days prior to the date of commencement of solicitation of such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8.02 </w:t>
      </w:r>
      <w:r>
        <w:rPr>
          <w:rFonts w:ascii="Times New Roman;Times;Serif" w:hAnsi="Times New Roman;Times;Serif"/>
          <w:b w:val="false"/>
          <w:i/>
          <w:caps w:val="false"/>
          <w:smallCaps w:val="false"/>
          <w:sz w:val="20"/>
        </w:rPr>
        <w:t>Proof of Execution by Holders</w:t>
      </w:r>
      <w:r>
        <w:rPr>
          <w:rFonts w:ascii="Times New Roman;Times;Serif" w:hAnsi="Times New Roman;Times;Serif"/>
          <w:b w:val="false"/>
          <w:i w:val="false"/>
          <w:caps w:val="false"/>
          <w:smallCaps w:val="false"/>
          <w:sz w:val="20"/>
        </w:rPr>
        <w:t>. Subject to the provisions of Section 7.01, Section 7.02 and Section 9.05, proof of the execution of any instrument or writing by a Holder or its agent or proxy shall be sufficient if made in accordance with such reasonable rules and regulations as may be prescribed by the Trustee or in such manner as shall be satisfactory to the Trustee. The holding of Notes shall be proved by the Note Register or by a certificate of the Note Registrar. The record of any Holders’ meeting shall be proved in the manner provided in Section 9.06.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8.03 </w:t>
      </w:r>
      <w:r>
        <w:rPr>
          <w:rFonts w:ascii="Times New Roman;Times;Serif" w:hAnsi="Times New Roman;Times;Serif"/>
          <w:b w:val="false"/>
          <w:i/>
          <w:caps w:val="false"/>
          <w:smallCaps w:val="false"/>
          <w:sz w:val="20"/>
        </w:rPr>
        <w:t>Who Are Deemed Absolute Owners</w:t>
      </w:r>
      <w:r>
        <w:rPr>
          <w:rFonts w:ascii="Times New Roman;Times;Serif" w:hAnsi="Times New Roman;Times;Serif"/>
          <w:b w:val="false"/>
          <w:i w:val="false"/>
          <w:caps w:val="false"/>
          <w:smallCaps w:val="false"/>
          <w:sz w:val="20"/>
        </w:rPr>
        <w:t>. The Company, the Trustee, any authenticating agent, any Paying Agent, any Conversion Agent and any Note Registrar may deem the Person in whose name a Note shall be registered upon the Note Register to be, and may treat it as, the absolute owner of such Note (whether or not such Note shall be overdue and notwithstanding any notation of ownership or other writing thereon made by any Person other than the Company or any Note Registrar) for the purpose of receiving payment of or on account of the principal (including any Redemption Price, any Fundamental Change Repurchase Price and the Specified Repurchase Date Repurchase Price) of and (subject to Section 2.03) accrued and unpaid interest on such Note, for conversion of such Note and for all other purposes under this Indenture; and neither the Company nor the Trustee nor any Paying Agent nor any Conversion Agent nor any Note Registrar shall be affected nor incur any liability by any notice to the contrary. The sole registered holder of a Global Note shall be the Depositary or its nominee. All such payments or deliveries so made to any Holder for the time being, or upon its order, shall be valid, and, to the extent of the sums or Class A Ordinary Shares so paid or delivered, effectual to satisfy and discharge the liability for monies payable or shares deliverable upon any such Note. Notwithstanding anything to the contrary in this Indenture or the Notes following an Event of Default, any holder of a beneficial interest in a Global Note may directly enforce against the Company, without the consent, solicitation, proxy, authorization or any other action of the Depositary or any other Person, such holder’s right to exchange such beneficial interest for a Note in certificated form in accordance with the provisions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8.04 </w:t>
      </w:r>
      <w:r>
        <w:rPr>
          <w:rFonts w:ascii="Times New Roman;Times;Serif" w:hAnsi="Times New Roman;Times;Serif"/>
          <w:b w:val="false"/>
          <w:i/>
          <w:caps w:val="false"/>
          <w:smallCaps w:val="false"/>
          <w:sz w:val="20"/>
        </w:rPr>
        <w:t>Company-Owned Notes Disregarded</w:t>
      </w:r>
      <w:r>
        <w:rPr>
          <w:rFonts w:ascii="Times New Roman;Times;Serif" w:hAnsi="Times New Roman;Times;Serif"/>
          <w:b w:val="false"/>
          <w:i w:val="false"/>
          <w:caps w:val="false"/>
          <w:smallCaps w:val="false"/>
          <w:sz w:val="20"/>
        </w:rPr>
        <w:t>. In determining whether the Holders of the requisite aggregate principal amount of Notes have concurred in any direction, consent, waiver or other action under this Indenture, Notes that are owned by the Company, by any Subsidiary thereof or by any Affiliate of the Company or any Subsidiary thereof shall be disregarded and deemed not to be outstanding for the purpose of any such determination; provided that for the purposes of determining whether the Trustee shall be protected in relying on any such direction, consent, waiver or other action only Notes that a Responsible Officer actually knows are so owned shall be so disregarded. Notes so owned that have been pledged in good faith may be regarded as outstanding for the purposes of this Section 8.04 if the pledgee shall establish to the satisfaction of the Trustee the pledgee’s right to so act with respect to such Notes and that the pledgee is not the Company, a Subsidiary thereof or an Affiliate of the Company or a Subsidiary thereof. In the case of a dispute as to such right, any decision by the Trustee taken upon the advice of counsel shall be full protection to the Trustee. Upon request of the Trustee, the Company shall furnish to the Trustee promptly an Officer’s Certificate listing and identifying all Notes, if any, known by the Company to be owned or held by or for the account of any of the above described Persons; and, subject to Section 7.01, the Trustee shall be entitled to accept such Officer’s Certificate as conclusive evidence of the facts therein set forth and of the fact that all Notes not listed therein are outstanding for the purpose of any such determination.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8.05 </w:t>
      </w:r>
      <w:r>
        <w:rPr>
          <w:rFonts w:ascii="Times New Roman;Times;Serif" w:hAnsi="Times New Roman;Times;Serif"/>
          <w:b w:val="false"/>
          <w:i/>
          <w:caps w:val="false"/>
          <w:smallCaps w:val="false"/>
          <w:sz w:val="20"/>
        </w:rPr>
        <w:t>Revocation of Consents; Future Holders Bound</w:t>
      </w:r>
      <w:r>
        <w:rPr>
          <w:rFonts w:ascii="Times New Roman;Times;Serif" w:hAnsi="Times New Roman;Times;Serif"/>
          <w:b w:val="false"/>
          <w:i w:val="false"/>
          <w:caps w:val="false"/>
          <w:smallCaps w:val="false"/>
          <w:sz w:val="20"/>
        </w:rPr>
        <w:t>. At any time prior to (but not after) the evidencing to the Trustee, as provided in Section 8.01, of the taking of any action by the Holders of the percentage of the aggregate principal amount of the Notes specified in this Indenture in connection with such action, any Holder of a Note that is shown by the evidence to be included in the Notes the Holders of which have consented to such action may, by filing written notice with the Trustee at its Corporate Trust Office and upon proof of holding as provided in Section 8.02, revoke such action so far as concerns such Note. Except as aforesaid, any such action taken by the Holder of any Note shall be conclusive and binding upon such Holder and upon all future Holders and owners of such Note and of any Notes issued in exchange or substitution therefor or upon registration of transfer thereof, irrespective of whether any notation in regard thereto is made upon such Note or any Note issued in exchange or substitution therefor or upon registration of transfer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9</w:t>
      </w:r>
      <w:r>
        <w:rPr>
          <w:rFonts w:ascii="Times New Roman;Times;Serif" w:hAnsi="Times New Roman;Times;Serif"/>
          <w:b w:val="false"/>
          <w:i w:val="false"/>
          <w:smallCaps/>
          <w:sz w:val="20"/>
        </w:rPr>
        <w:br/>
        <w:t>Holders’ Meetings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9.01 </w:t>
      </w:r>
      <w:r>
        <w:rPr>
          <w:rFonts w:ascii="Times New Roman;Times;Serif" w:hAnsi="Times New Roman;Times;Serif"/>
          <w:b w:val="false"/>
          <w:i/>
          <w:caps w:val="false"/>
          <w:smallCaps w:val="false"/>
          <w:sz w:val="20"/>
        </w:rPr>
        <w:t>Purpose of Meetings.</w:t>
      </w:r>
      <w:r>
        <w:rPr>
          <w:rFonts w:ascii="Times New Roman;Times;Serif" w:hAnsi="Times New Roman;Times;Serif"/>
          <w:b w:val="false"/>
          <w:i w:val="false"/>
          <w:caps w:val="false"/>
          <w:smallCaps w:val="false"/>
          <w:sz w:val="20"/>
        </w:rPr>
        <w:t xml:space="preserve"> A meeting of Holders may be called at any time and from time to time pursuant to the provisions of this ‎Article 9 for any of the following purposes: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give any notice to the Company or to the Trustee or to give any directions to the Trustee permitted under this Indenture, or to consent to the waiving of any Default or Event of Default hereunder (in each case, as permitted under this Indenture) and its consequences, or to take any other action authorized to be taken by Holders pursuant to any of the provisions of ‎Article 6;</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remove the Trustee and nominate a successor trustee pursuant to the provisions of Article 7;</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consent to the execution of an indenture or indentures supplemental hereto pursuant to the provisions of ‎Section 10.02;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take any other action authorized to be taken by or on behalf of the Holders of any specified aggregate principal amount of the Notes under any other provision of this Indenture or under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9.02 </w:t>
      </w:r>
      <w:r>
        <w:rPr>
          <w:rFonts w:ascii="Times New Roman;Times;Serif" w:hAnsi="Times New Roman;Times;Serif"/>
          <w:b w:val="false"/>
          <w:i/>
          <w:caps w:val="false"/>
          <w:smallCaps w:val="false"/>
          <w:sz w:val="20"/>
        </w:rPr>
        <w:t>Call of Meetings by Trustee.</w:t>
      </w:r>
      <w:r>
        <w:rPr>
          <w:rFonts w:ascii="Times New Roman;Times;Serif" w:hAnsi="Times New Roman;Times;Serif"/>
          <w:b w:val="false"/>
          <w:i w:val="false"/>
          <w:caps w:val="false"/>
          <w:smallCaps w:val="false"/>
          <w:sz w:val="20"/>
        </w:rPr>
        <w:t xml:space="preserve"> The Trustee may at any time call a meeting of Holders to take any action specified in ‎Section 9.01, to be held at such time and at such place as the Trustee shall determine. Notice of every meeting of the Holders, setting forth the time and the place of such meeting and in general terms the action proposed to be taken at such meeting and the establishment of any record date pursuant to Section 8.01, shall be delivered to Holders of such Notes. Such notice shall also be delivered to the Company. Such notices shall be delivered not less than 20 nor more than 90 days prior to the date fixed for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meeting of Holders shall be valid without notice if the Holders of all Notes then outstanding are present in person or by proxy or if notice is waived before or after the meeting by the Holders of all Notes then outstanding, and if the Company and the Trustee are either present by duly authorized representatives or have, before or after the meeting, waived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9.03 </w:t>
      </w:r>
      <w:r>
        <w:rPr>
          <w:rFonts w:ascii="Times New Roman;Times;Serif" w:hAnsi="Times New Roman;Times;Serif"/>
          <w:b w:val="false"/>
          <w:i/>
          <w:caps w:val="false"/>
          <w:smallCaps w:val="false"/>
          <w:sz w:val="20"/>
        </w:rPr>
        <w:t>Call of Meetings by Company or Holders.</w:t>
      </w:r>
      <w:r>
        <w:rPr>
          <w:rFonts w:ascii="Times New Roman;Times;Serif" w:hAnsi="Times New Roman;Times;Serif"/>
          <w:b w:val="false"/>
          <w:i w:val="false"/>
          <w:caps w:val="false"/>
          <w:smallCaps w:val="false"/>
          <w:sz w:val="20"/>
        </w:rPr>
        <w:t xml:space="preserve"> In case at any time the Company, pursuant to a Board Resolution, or the Holders of at least 10% of the aggregate principal amount of the Notes then outstanding, shall have requested the Trustee to call a meeting of Holders, by written request setting forth in reasonable detail the action proposed to be taken at the meeting, and the Trustee shall not have delivered the notice of such meeting within 20 days after receipt of such request, then the Company or such Holders may determine the time and the place for such meeting and may call such meeting to take any action authorized in ‎Section 9.01, by delivering notice thereof as provided in ‎Section 9.02.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9.04 </w:t>
      </w:r>
      <w:r>
        <w:rPr>
          <w:rFonts w:ascii="Times New Roman;Times;Serif" w:hAnsi="Times New Roman;Times;Serif"/>
          <w:b w:val="false"/>
          <w:i/>
          <w:caps w:val="false"/>
          <w:smallCaps w:val="false"/>
          <w:sz w:val="20"/>
        </w:rPr>
        <w:t>Qualifications for Voting.</w:t>
      </w:r>
      <w:r>
        <w:rPr>
          <w:rFonts w:ascii="Times New Roman;Times;Serif" w:hAnsi="Times New Roman;Times;Serif"/>
          <w:b w:val="false"/>
          <w:i w:val="false"/>
          <w:caps w:val="false"/>
          <w:smallCaps w:val="false"/>
          <w:sz w:val="20"/>
        </w:rPr>
        <w:t xml:space="preserve"> To be entitled to vote at any meeting of Holders a Person shall (a) be a Holder of one or more Notes on the record date pertaining to such meeting or (b) be a Person appointed by an instrument in writing as proxy by a Holder of one or more Notes on the record date pertaining to such meeting. The only Persons who shall be entitled to be present or to speak at any meeting of Holders shall be the Persons entitled to vote at such meeting and their counsel and any representatives of the Trustee and its counsel and any representatives of the Company and its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9.05 </w:t>
      </w:r>
      <w:r>
        <w:rPr>
          <w:rFonts w:ascii="Times New Roman;Times;Serif" w:hAnsi="Times New Roman;Times;Serif"/>
          <w:b w:val="false"/>
          <w:i/>
          <w:caps w:val="false"/>
          <w:smallCaps w:val="false"/>
          <w:sz w:val="20"/>
        </w:rPr>
        <w:t>Regulations.</w:t>
      </w:r>
      <w:r>
        <w:rPr>
          <w:rFonts w:ascii="Times New Roman;Times;Serif" w:hAnsi="Times New Roman;Times;Serif"/>
          <w:b w:val="false"/>
          <w:i w:val="false"/>
          <w:caps w:val="false"/>
          <w:smallCaps w:val="false"/>
          <w:sz w:val="20"/>
        </w:rPr>
        <w:t xml:space="preserve"> Notwithstanding any other provisions of this Indenture, the Trustee may make such reasonable regulations as it may deem advisable for any meeting of Holders, in regard to proof of the holding of Notes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by an instrument in writing, appoint a temporary chairman of the meeting, unless the meeting shall have been called by the Company or by Holders as provided in ‎Section 9.03, in which case the Company or the Holders calling the meeting, as the case may be, shall in like manner appoint a temporary chairman. A permanent chairman and a permanent secretary of the meeting shall be elected by vote of the Holders of a majority in aggregate principal amount of the outstanding Notes represented at the meeting and entitled to vote at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provisions of Section 8.04, at any meeting of Holders each Holder or proxyholder shall be entitled to one vote for each $1,000 principal amount of Notes held or represented by him or her;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vote shall be cast or counted at any meeting in respect of any Note challenged as not outstanding and ruled by the chairman of the meeting to be not outstanding. The chairman of the meeting shall have no right to vote other than by virtue of Notes held by it or instruments in writing as aforesaid duly designating it as the proxy to vote on behalf of other Holders. Any meeting of Holders duly called pursuant to the provisions of ‎Section 9.02 or ‎Section 9.03 may be adjourned from time to time by the Holders of a majority of the aggregate principal amount of Notes represented at the meeting, whether or not constituting a quorum, and the meeting may be held as so adjourned without further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9.06 </w:t>
      </w:r>
      <w:r>
        <w:rPr>
          <w:rFonts w:ascii="Times New Roman;Times;Serif" w:hAnsi="Times New Roman;Times;Serif"/>
          <w:b w:val="false"/>
          <w:i/>
          <w:caps w:val="false"/>
          <w:smallCaps w:val="false"/>
          <w:sz w:val="20"/>
        </w:rPr>
        <w:t>Voting.</w:t>
      </w:r>
      <w:r>
        <w:rPr>
          <w:rFonts w:ascii="Times New Roman;Times;Serif" w:hAnsi="Times New Roman;Times;Serif"/>
          <w:b w:val="false"/>
          <w:i w:val="false"/>
          <w:caps w:val="false"/>
          <w:smallCaps w:val="false"/>
          <w:sz w:val="20"/>
        </w:rPr>
        <w:t xml:space="preserve"> The vote upon any resolution submitted to any meeting of Holders shall be by written ballot on which shall be subscribed the signatures of the Holders or of their representatives by proxy and the outstanding aggregate principal amount of the Notes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delivered as provided in ‎Section 9.02. The record shall show the aggregate principal amount of the Notes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 the latter to have attached thereto the ballots voted at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record so signed and verified shall be conclusive evidence of the matters therein stated.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9.07 </w:t>
      </w:r>
      <w:r>
        <w:rPr>
          <w:rFonts w:ascii="Times New Roman;Times;Serif" w:hAnsi="Times New Roman;Times;Serif"/>
          <w:b w:val="false"/>
          <w:i/>
          <w:caps w:val="false"/>
          <w:smallCaps w:val="false"/>
          <w:sz w:val="20"/>
        </w:rPr>
        <w:t>No Delay of Rights by Meeting.</w:t>
      </w:r>
      <w:r>
        <w:rPr>
          <w:rFonts w:ascii="Times New Roman;Times;Serif" w:hAnsi="Times New Roman;Times;Serif"/>
          <w:b w:val="false"/>
          <w:i w:val="false"/>
          <w:caps w:val="false"/>
          <w:smallCaps w:val="false"/>
          <w:sz w:val="20"/>
        </w:rPr>
        <w:t xml:space="preserve"> Nothing contained in this ‎Article 9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the Holders under any of the provisions of this Indenture or of the Notes.</w:t>
      </w:r>
    </w:p>
    <w:p>
      <w:pPr>
        <w:pStyle w:val="TextBody"/>
        <w:bidi w:val="0"/>
        <w:spacing w:before="0" w:after="0"/>
        <w:ind w:left="0" w:right="0" w:hanging="0"/>
        <w:jc w:val="both"/>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10</w:t>
      </w:r>
      <w:r>
        <w:rPr>
          <w:rFonts w:ascii="Times New Roman;Times;Serif" w:hAnsi="Times New Roman;Times;Serif"/>
          <w:b w:val="false"/>
          <w:i w:val="false"/>
          <w:smallCaps/>
          <w:sz w:val="20"/>
        </w:rPr>
        <w:br/>
        <w:t>Supplemental Indentures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10.01 </w:t>
      </w:r>
      <w:r>
        <w:rPr>
          <w:rFonts w:ascii="Times New Roman;Times;Serif" w:hAnsi="Times New Roman;Times;Serif"/>
          <w:b w:val="false"/>
          <w:i/>
          <w:caps w:val="false"/>
          <w:smallCaps w:val="false"/>
          <w:sz w:val="20"/>
        </w:rPr>
        <w:t>Amendments or Supplemental Indentures Without Consent of Holders.</w:t>
      </w:r>
      <w:r>
        <w:rPr>
          <w:rFonts w:ascii="Times New Roman;Times;Serif" w:hAnsi="Times New Roman;Times;Serif"/>
          <w:b w:val="false"/>
          <w:i w:val="false"/>
          <w:caps w:val="false"/>
          <w:smallCaps w:val="false"/>
          <w:sz w:val="20"/>
        </w:rPr>
        <w:t xml:space="preserve"> The Company and the Trustee, at the Company’s expense, may amend or supplement this Indenture or the Notes without notice to or the consent of any Holder 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cure any ambiguity, omission, defect or inconsistency;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provide for the assumption by a Successor Entity of the obligations of the Company under this Indenture pursuant to ‎Article 11;</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add guarantees with respect to the Notes;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secure the Notes;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add to the covenants or Events of Default of the Company for the benefit of the Holders or surrender any right or power conferred upon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 connection with any Share Exchange Event, (i) provide that the Notes are convertible into Reference Property, subject to the provisions of ‎Section 14.02, and (ii) effect the related changes to the terms of the Notes described under ‎Section 14.08, in each case, in accordance with the applicable provisions of this Indenture;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increase the Conversion Rate as provided 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provide for the appointment of and acceptance of appoint by a successor Trustee, Note Registrar, Paying Agent, Bid Solicitation Agent or Conversion Agent to facilitate the administration of the trusts under this Indenture by more than one trustee;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irrevocably elect a Settlement Method and/or a Specified Dollar Amount (or minimum Specified Dollar Amount), or eliminate the Company’s right to elect a Settlement Method (including, at the Company’s option upon an irrevocable election of a Settlement Method as provided under Section 14.02(a)),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no such election or elimination will affect any Settlement Method theretofore elected (or deemed to be elected) with respect to any Note pursuant to Article 14;</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comply with the rules of any applicable securities depositary, including DTC;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make any change that does not adversely affect the rights of any Holder in any material respect, as determined by the Company in good faith;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conform the provisions of this Indenture to the “Description of Notes” section of the Offering Memorandum;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appoint a successor Trustee with respect to the Notes;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to comply with any requirement of the Commission in connection with the qualification of this Indenture under the Trust Indenture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do not need to approve the particular form of any proposed amendment. It will be sufficient if such Holders approve the substance of the proposed amendment. After an amendment under this Indenture becomes effective, the Company shall send to the Holders (with a copy to the Trustee) a notice briefly describing such amendment. However, the failure to give such notice to all the Holders, or any defect in the notice, will not impair or affect the validity of the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written request of the Company, the Trustee is hereby authorized to join with the Company in the execution of any such supplemental indenture, to make any further appropriate agreements and stipulations that may be therein contained, but the Trustee shall not be obligated to, but may in its discretion, enter into any supplemental indenture that affects the Trustee’s own rights, duties or immunities under this Indenture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supplemental indenture authorized by the provisions of this ‎Section 10.01 may be executed by the Company and the Trustee without the consent of the Holders of any of the Notes at the time outstanding, notwithstanding any of the provisions of ‎Section 10.02.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10.02 </w:t>
      </w:r>
      <w:r>
        <w:rPr>
          <w:rFonts w:ascii="Times New Roman;Times;Serif" w:hAnsi="Times New Roman;Times;Serif"/>
          <w:b w:val="false"/>
          <w:i/>
          <w:caps w:val="false"/>
          <w:smallCaps w:val="false"/>
          <w:sz w:val="20"/>
        </w:rPr>
        <w:t>Amendments or Supplemental Indentures with Consent of Holders.</w:t>
      </w:r>
      <w:r>
        <w:rPr>
          <w:rFonts w:ascii="Times New Roman;Times;Serif" w:hAnsi="Times New Roman;Times;Serif"/>
          <w:b w:val="false"/>
          <w:i w:val="false"/>
          <w:caps w:val="false"/>
          <w:smallCaps w:val="false"/>
          <w:sz w:val="20"/>
        </w:rPr>
        <w:t xml:space="preserve"> With the consent (evidenced as provided in Article 8) of the Holders of at least a majority of the aggregate principal amount of the Notes then outstanding (determined in accordance with Article 8 and including, without limitation, consents obtained in connection with a repurchase of, or tender or exchange offer for, Notes), the Company may from time to time and at any time enter into an indenture or indentures supplemental hereto for the purpose of adding any provisions to or changing in any manner or eliminating any of the provisions of this Indenture, the Notes or any supplemental indenture or of modifying in any manner the rights of the Holders;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without the consent of each Holder of an outstanding Note affected, no such supplemental indenture shall: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reduce the principal amount of Notes whose Holders must consent to an amendment;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reduce the rate of or extend the stated time for payment of interest on any Note;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reduce the principal of or extend the Maturity Date of any Note;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make any change that adversely affects the conversion rights of any Notes, except as required by this Indenture;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reduce the Redemption Price, the Specified Repurchase Date Repurchase Price on the Specified Repurchase Date or the Fundamental Change Repurchase Price of any Note or amend or modify in any manner adverse to the Holders the Company’s obligation to make such payments, whether through an amendment or waiver of provisions in the covenants, definitions or otherwise;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make any Note payable in money other than U.S. dollars;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change the ranking of the Notes;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impair the right of any Holder to receive payment of principal and interest on such Holder’s Notes on or after the due dates therefor or to institute suit for the enforcement of any payment on or with respect to such Holder’s Notes;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change the Company’s obligation to pay Additional Amounts on any Note;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make any change in this ‎Article 10 or in the waiver provisions in ‎Section 6.02 or ‎Section 6.09, in each case, that requires each Holder’s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written request of the Company, and upon the filing with the Trustee of evidence of the consent of Holders as aforesaid and subject to ‎Section 10.05,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do not need under this ‎Section 10.02 to approve the particular form of any proposed supplemental indenture. It shall be sufficient if such Holders approve the substance of the proposed supplemental indenture. After any such supplemental indenture becomes effective, the Company shall deliver to the Holders (with a copy to the Trustee) a notice briefly describing such supplemental indenture. However, the failure to give such notice to all the Holders, or any defect in the notice, will not impair or affect the validity of the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10.03 </w:t>
      </w:r>
      <w:r>
        <w:rPr>
          <w:rFonts w:ascii="Times New Roman;Times;Serif" w:hAnsi="Times New Roman;Times;Serif"/>
          <w:b w:val="false"/>
          <w:i/>
          <w:caps w:val="false"/>
          <w:smallCaps w:val="false"/>
          <w:sz w:val="20"/>
        </w:rPr>
        <w:t>Effect of Supplemental Indentures</w:t>
      </w:r>
      <w:r>
        <w:rPr>
          <w:rFonts w:ascii="Times New Roman;Times;Serif" w:hAnsi="Times New Roman;Times;Serif"/>
          <w:b w:val="false"/>
          <w:i w:val="false"/>
          <w:caps w:val="false"/>
          <w:smallCaps w:val="false"/>
          <w:sz w:val="20"/>
        </w:rPr>
        <w:t>. Upon the execution of any supplemental indenture pursuant to the provisions of this ‎ Article 10, this Indenture shall be and be deemed to be modified and amended in accordance therewith and the respective rights, limitation of rights, obligations, duties and immunities under this Indenture of the Trustee, the Company and the Holders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10.04 </w:t>
      </w:r>
      <w:r>
        <w:rPr>
          <w:rFonts w:ascii="Times New Roman;Times;Serif" w:hAnsi="Times New Roman;Times;Serif"/>
          <w:b w:val="false"/>
          <w:i/>
          <w:caps w:val="false"/>
          <w:smallCaps w:val="false"/>
          <w:sz w:val="20"/>
        </w:rPr>
        <w:t>Notation on Notes</w:t>
      </w:r>
      <w:r>
        <w:rPr>
          <w:rFonts w:ascii="Times New Roman;Times;Serif" w:hAnsi="Times New Roman;Times;Serif"/>
          <w:b w:val="false"/>
          <w:i w:val="false"/>
          <w:caps w:val="false"/>
          <w:smallCaps w:val="false"/>
          <w:sz w:val="20"/>
        </w:rPr>
        <w:t>. Notes authenticated and delivered after the execution of any supplemental indenture pursuant to the provisions of this ‎Article 10 may, at the Company’s expense, bear a notation in form approved by the Trustee as to any matter provided for in such supplemental indenture. If the Company or the Trustee shall so determine, new Notes so modified as to conform, in the opinion of the Trustee and the Company, to any modification of this Indenture contained in any such supplemental indenture may, at the Company’s expense, be prepared and executed by the Company, authenticated by the Trustee (or an authenticating agent duly appointed by the Trustee pursuant to Section 17.10) upon receipt of a Company Order and delivered in exchange for the Notes then outstanding, upon surrender of such Notes then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10.05 </w:t>
      </w:r>
      <w:r>
        <w:rPr>
          <w:rFonts w:ascii="Times New Roman;Times;Serif" w:hAnsi="Times New Roman;Times;Serif"/>
          <w:b w:val="false"/>
          <w:i/>
          <w:caps w:val="false"/>
          <w:smallCaps w:val="false"/>
          <w:sz w:val="20"/>
        </w:rPr>
        <w:t>Evidence of Compliance of Supplemental Indenture to Be Furnished to Trustee</w:t>
      </w:r>
      <w:r>
        <w:rPr>
          <w:rFonts w:ascii="Times New Roman;Times;Serif" w:hAnsi="Times New Roman;Times;Serif"/>
          <w:b w:val="false"/>
          <w:i w:val="false"/>
          <w:caps w:val="false"/>
          <w:smallCaps w:val="false"/>
          <w:sz w:val="20"/>
        </w:rPr>
        <w:t>. In addition to the documents required by Section 17.05, the Trustee shall receive an Officer’s Certificate and an Opinion of Counsel as conclusive evidence that any supplemental indenture executed pursuant hereto complies with the requirements of this ‎Article 10, is permitted or authorized by this Indenture and is the legal, valid and binding obligation of the Company enforceable against it in accordance with its terms, subject to customary exceptions and qualifications.</w:t>
      </w:r>
    </w:p>
    <w:p>
      <w:pPr>
        <w:pStyle w:val="TextBody"/>
        <w:bidi w:val="0"/>
        <w:spacing w:before="0" w:after="0"/>
        <w:ind w:left="0" w:right="0" w:hanging="0"/>
        <w:jc w:val="both"/>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11</w:t>
      </w:r>
      <w:r>
        <w:rPr>
          <w:rFonts w:ascii="Times New Roman;Times;Serif" w:hAnsi="Times New Roman;Times;Serif"/>
          <w:b w:val="false"/>
          <w:i w:val="false"/>
          <w:smallCaps/>
          <w:sz w:val="20"/>
        </w:rPr>
        <w:br/>
        <w:t>Consolidation, Merger and Sale of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11.01 </w:t>
      </w:r>
      <w:r>
        <w:rPr>
          <w:rFonts w:ascii="Times New Roman;Times;Serif" w:hAnsi="Times New Roman;Times;Serif"/>
          <w:b w:val="false"/>
          <w:i/>
          <w:caps w:val="false"/>
          <w:smallCaps w:val="false"/>
          <w:sz w:val="20"/>
        </w:rPr>
        <w:t>When Company May Merge, Etc..</w:t>
      </w:r>
      <w:r>
        <w:rPr>
          <w:rFonts w:ascii="Times New Roman;Times;Serif" w:hAnsi="Times New Roman;Times;Serif"/>
          <w:b w:val="false"/>
          <w:i w:val="false"/>
          <w:caps w:val="false"/>
          <w:smallCaps w:val="false"/>
          <w:sz w:val="20"/>
        </w:rPr>
        <w:t xml:space="preserve"> Subject to the provisions of ‎ Section 11.02, the Company shall not consolidate with or merge with or into, or sell, convey, transfer or lease all or substantially all of the consolidated properties and assets of the Company and its Subsidiaries, taken as a whole, to, another Person (a “</w:t>
      </w:r>
      <w:r>
        <w:rPr>
          <w:rFonts w:ascii="Times New Roman;Times;Serif" w:hAnsi="Times New Roman;Times;Serif"/>
          <w:b/>
          <w:i w:val="false"/>
          <w:caps w:val="false"/>
          <w:smallCaps w:val="false"/>
          <w:sz w:val="20"/>
        </w:rPr>
        <w:t>Business Combination Event</w:t>
      </w:r>
      <w:r>
        <w:rPr>
          <w:rFonts w:ascii="Times New Roman;Times;Serif" w:hAnsi="Times New Roman;Times;Serif"/>
          <w:b w:val="false"/>
          <w:i w:val="false"/>
          <w:caps w:val="false"/>
          <w:smallCaps w:val="false"/>
          <w:sz w:val="20"/>
        </w:rPr>
        <w:t>”) (other than any such sale, conveyance, transfer or lease to one or more of the Company’s direct or indirect Wholly Owned Subsidiaries), unless: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resulting, surviving or transferee Person if not the Company is a Qualified Successor Entity (such Qualified Successor Entity, the “</w:t>
      </w:r>
      <w:r>
        <w:rPr>
          <w:rFonts w:ascii="Times New Roman;Times;Serif" w:hAnsi="Times New Roman;Times;Serif"/>
          <w:b/>
          <w:i w:val="false"/>
          <w:caps w:val="false"/>
          <w:smallCaps w:val="false"/>
          <w:sz w:val="20"/>
        </w:rPr>
        <w:t>Successor Entity</w:t>
      </w:r>
      <w:r>
        <w:rPr>
          <w:rFonts w:ascii="Times New Roman;Times;Serif" w:hAnsi="Times New Roman;Times;Serif"/>
          <w:b w:val="false"/>
          <w:i w:val="false"/>
          <w:caps w:val="false"/>
          <w:smallCaps w:val="false"/>
          <w:sz w:val="20"/>
        </w:rPr>
        <w:t>”), duly organized and existing under the laws of the United States of America, any State thereof, the District of Columbia, the Cayman Islands, the British Virgin Islands, Bermuda, Singapore or Hong Kong and such Qualified Successor Entity (if not the Company) expressly assumes by supplemental indenture all of the obligations of the Company under the Notes and this Indenture (including, for the avoidance of doubt, the obligation to pay any Additional Amounts);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immediately after giving effect to such Business Combination Event, no Default or Event of Default shall have occurred and be continuing under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11.01, the sale, conveyance, transfer or lease of all or substantially all of the properties and assets of one or more Subsidiaries of the Company to another Person, which properties and assets, if held by the Company instead of such Subsidiaries, would constitute all or substantially all of the properties and assets of the Company on a consolidated basis, shall be deemed to be the sale, conveyance, transfer or lease of all or substantially all of the properties and assets of the Company to another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11.02 </w:t>
      </w:r>
      <w:r>
        <w:rPr>
          <w:rFonts w:ascii="Times New Roman;Times;Serif" w:hAnsi="Times New Roman;Times;Serif"/>
          <w:b w:val="false"/>
          <w:i/>
          <w:caps w:val="false"/>
          <w:smallCaps w:val="false"/>
          <w:sz w:val="20"/>
        </w:rPr>
        <w:t>Successor Entity to Be Substituted.</w:t>
      </w:r>
      <w:r>
        <w:rPr>
          <w:rFonts w:ascii="Times New Roman;Times;Serif" w:hAnsi="Times New Roman;Times;Serif"/>
          <w:b w:val="false"/>
          <w:i w:val="false"/>
          <w:caps w:val="false"/>
          <w:smallCaps w:val="false"/>
          <w:sz w:val="20"/>
        </w:rPr>
        <w:t xml:space="preserve"> In case of any such Business Combination Event and upon the assumption by the Successor Entity, by supplemental indenture, executed and delivered to the Trustee and satisfactory in form to the Trustee, of the due and punctual payment of the principal of and accrued and unpaid interest on all of the Notes, the due and punctual delivery or payment, as the case may be, of any consideration due upon conversion of the Notes and the due and punctual performance of all of the covenants and conditions of this Indenture to be performed by the Company, such Successor Entity (if not the Company) shall succeed to and, except in the case of a lease of all or substantially all of the consolidated properties and assets of the Company and its Subsidiaries, taken as a whole, shall be substituted for the Company, with the same effect as if it had been named herein as the party of the first part and may thereafter exercise every right and power of the Company under this Indenture. Such Successor Entity thereupon may cause to be signed, and may issue either in its own name or in the name of the Company any or all of the Notes issuable hereunder which theretofore shall not have been signed by the Company and delivered to the Trustee; and, upon the order of such Successor Entity instead of the Company and subject to all the terms, conditions and limitations in this Indenture prescribed, the Trustee shall authenticate and shall deliver, or cause to be authenticated and delivered, any Notes that previously shall have been signed and delivered by an Officer of the Company to the Trustee for authentication, and any Notes that such Successor Entity thereafter shall cause to be signed and delivered to the Trustee for that purpose. All the Notes so issued shall in all respects have the same legal rank and benefit under this Indenture as the Notes theretofore or thereafter issued in accordance with the terms of this Indenture as though all of such Notes had been issued at the date of the execution hereof. In the event of any such Business Combination Event (but not in the case of a lease), upon compliance with this Article 11 the Person named as the “Company” in the first paragraph of this Indenture (or any successor that shall thereafter have become such in the manner prescribed in this Article 11) may be dissolved, wound up and liquidated at any time thereafter and, except in the case of a lease, such Person shall be released from its liabilities as obligor and maker of the Notes and from its obligations under this Indenture and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such Business Combination Event, such changes in phraseology and form (but not in substance) may be made in the Notes thereafter to be issued as may be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12</w:t>
      </w:r>
      <w:r>
        <w:rPr>
          <w:rFonts w:ascii="Times New Roman;Times;Serif" w:hAnsi="Times New Roman;Times;Serif"/>
          <w:b w:val="false"/>
          <w:i w:val="false"/>
          <w:smallCaps/>
          <w:sz w:val="20"/>
        </w:rPr>
        <w:br/>
        <w:t>Immunity of Incorporators, Shareholders, Officers and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12.01 </w:t>
      </w:r>
      <w:r>
        <w:rPr>
          <w:rFonts w:ascii="Times New Roman;Times;Serif" w:hAnsi="Times New Roman;Times;Serif"/>
          <w:b w:val="false"/>
          <w:i/>
          <w:caps w:val="false"/>
          <w:smallCaps w:val="false"/>
          <w:sz w:val="20"/>
        </w:rPr>
        <w:t>Indenture and Notes Solely Corporate Obligations</w:t>
      </w:r>
      <w:r>
        <w:rPr>
          <w:rFonts w:ascii="Times New Roman;Times;Serif" w:hAnsi="Times New Roman;Times;Serif"/>
          <w:b w:val="false"/>
          <w:i w:val="false"/>
          <w:caps w:val="false"/>
          <w:smallCaps w:val="false"/>
          <w:sz w:val="20"/>
        </w:rPr>
        <w:t>. No recourse for the payment of the principal of or accrued and unpaid interest on any Note, nor for any claim based thereon or otherwise in respect thereof, and no recourse under or upon any obligation, covenant or agreement of the Company in this Indenture or in any supplemental indenture or in any Note, nor because of the creation of any indebtedness represented thereby, shall be had against any incorporator, shareholder, employee, agent, Officer or director or Subsidiary, as such, past, present or future, of the Company or of any successor entity, either directly or through the Company or any successor entity,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Notes.</w:t>
      </w:r>
    </w:p>
    <w:p>
      <w:pPr>
        <w:pStyle w:val="TextBody"/>
        <w:bidi w:val="0"/>
        <w:spacing w:before="0" w:after="0"/>
        <w:ind w:left="0" w:right="0" w:hanging="0"/>
        <w:jc w:val="both"/>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13</w:t>
      </w:r>
      <w:r>
        <w:rPr>
          <w:rFonts w:ascii="Times New Roman;Times;Serif" w:hAnsi="Times New Roman;Times;Serif"/>
          <w:b w:val="false"/>
          <w:i w:val="false"/>
          <w:smallCaps/>
          <w:sz w:val="20"/>
        </w:rPr>
        <w:br/>
        <w:t>[Intentionally Omitted]</w:t>
      </w:r>
    </w:p>
    <w:p>
      <w:pPr>
        <w:pStyle w:val="TextBody"/>
        <w:bidi w:val="0"/>
        <w:spacing w:before="0" w:after="0"/>
        <w:ind w:left="0" w:right="0" w:hanging="0"/>
        <w:jc w:val="both"/>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14</w:t>
      </w:r>
      <w:r>
        <w:rPr>
          <w:rFonts w:ascii="Times New Roman;Times;Serif" w:hAnsi="Times New Roman;Times;Serif"/>
          <w:b w:val="false"/>
          <w:i w:val="false"/>
          <w:smallCaps/>
          <w:sz w:val="20"/>
        </w:rPr>
        <w:br/>
        <w:t>Conversion of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14.01 </w:t>
      </w:r>
      <w:r>
        <w:rPr>
          <w:rFonts w:ascii="Times New Roman;Times;Serif" w:hAnsi="Times New Roman;Times;Serif"/>
          <w:b w:val="false"/>
          <w:i/>
          <w:caps w:val="false"/>
          <w:smallCaps w:val="false"/>
          <w:sz w:val="20"/>
        </w:rPr>
        <w:t>Conversion Privilege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and upon compliance with the provisions of this ‎Article 14, each Holder of a Note shall have the right, at such Holder’s option, to convert all or any portion (if the portion to be converted is $1,000 principal amount or an integral multiple thereof) of such Note (i) subject to satisfaction of the conditions described in Section 14.01(b), at any time prior to the close of business on the Business Day immediately preceding December 1, 2031, under the circumstances and during the periods set forth in Section 14.01(b), and (ii) regardless of the conditions described in Section 14.01(b), on or after December 1, 2031 until the close of business on the second Scheduled Trading Day immediately preceding the Maturity Date, in each case, at an initial conversion rate of 100.7557 Class A Ordinary Shares (subject to adjustment as provided in this ‎Article 14, the “</w:t>
      </w:r>
      <w:r>
        <w:rPr>
          <w:rFonts w:ascii="Times New Roman;Times;Serif" w:hAnsi="Times New Roman;Times;Serif"/>
          <w:b/>
          <w:i w:val="false"/>
          <w:caps w:val="false"/>
          <w:smallCaps w:val="false"/>
          <w:sz w:val="20"/>
        </w:rPr>
        <w:t>Conversion Rate</w:t>
      </w:r>
      <w:r>
        <w:rPr>
          <w:rFonts w:ascii="Times New Roman;Times;Serif" w:hAnsi="Times New Roman;Times;Serif"/>
          <w:b w:val="false"/>
          <w:i w:val="false"/>
          <w:caps w:val="false"/>
          <w:smallCaps w:val="false"/>
          <w:sz w:val="20"/>
        </w:rPr>
        <w:t>”) per $1,000 principal amount of Notes (subject to, and in accordance with, the settlement provisions of ‎Section 14.02, the “</w:t>
      </w:r>
      <w:r>
        <w:rPr>
          <w:rFonts w:ascii="Times New Roman;Times;Serif" w:hAnsi="Times New Roman;Times;Serif"/>
          <w:b/>
          <w:i w:val="false"/>
          <w:caps w:val="false"/>
          <w:smallCaps w:val="false"/>
          <w:sz w:val="20"/>
        </w:rPr>
        <w:t>Conversion Obligation</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Prior to the close of business on the Business Day immediately preceding December 1, 2031, a Holder may surrender all or any portion of its Notes for conversion at any time during the five Business Day period immediately after any ten consecutive Trading Day period (the “</w:t>
      </w:r>
      <w:r>
        <w:rPr>
          <w:rFonts w:ascii="Times New Roman;Times;Serif" w:hAnsi="Times New Roman;Times;Serif"/>
          <w:b/>
          <w:i w:val="false"/>
          <w:caps w:val="false"/>
          <w:smallCaps w:val="false"/>
          <w:sz w:val="20"/>
        </w:rPr>
        <w:t>Measurement Period</w:t>
      </w:r>
      <w:r>
        <w:rPr>
          <w:rFonts w:ascii="Times New Roman;Times;Serif" w:hAnsi="Times New Roman;Times;Serif"/>
          <w:b w:val="false"/>
          <w:i w:val="false"/>
          <w:caps w:val="false"/>
          <w:smallCaps w:val="false"/>
          <w:sz w:val="20"/>
        </w:rPr>
        <w:t>”) in which the Trading Price per $1,000 principal amount of Notes, as determined following a written request by a Holder of Notes in accordance with this subsection (b)(i), for each Trading Day of the Measurement Period was less than 98% of the product of the Last Reported Sale Price of the Class A Ordinary Shares on each such Trading Day and the Conversion Rate on each such Trading Day. The Trading Prices shall be determined by the Bid Solicitation Agent pursuant to this subsection (b)(i) and the definition of Trading Price set forth in this Indenture. The Company shall provide written notice to the Bid Solicitation Agent (if other than the Company) of the three independent nationally recognized securities dealers selected by the Company pursuant to the definition of Trading Price, along with appropriate contact information for each. The Bid Solicitation Agent (if other than the Company) shall have no obligation to determine the Trading Price per $1,000 principal amount of Notes unless the Company has requested such determination in writing, and the Company shall have no obligation to make such request (or, if the Company is acting as Bid Solicitation Agent, the Company shall have no obligation to determine the Trading Price per $1,000 principal amount of Notes) unless a Holder or Holders of at least $5,000,000 principal amount of Notes in the aggregate provides the Company with reasonable evidence that the Trading Price per $1,000 principal amount of Notes on any Trading Day would be less than 98% of the product of the Last Reported Sale Price of the Class A Ordinary Shares on such Trading Day and the Conversion Rate on such Trading Day, at which time the Company shall instruct the securities dealers to deliver bids and the Bid Solicitation Agent (if other than the Company) in writing to determine, or if the Company is acting as Bid Solicitation Agent, the Company shall determine, the Trading Price per $1,000 principal amount of Notes beginning on the next Trading Day and on each successive Trading Day until the Trading Price per $1,000 principal amount of Notes is greater than or equal to 98% of the product of the Last Reported Sale Price of the Class A Ordinary Shares and the Conversion Rate. If (x) the Company is not acting as Bid Solicitation Agent, and the Company does not, when the Company is required to, instruct the Bid Solicitation Agent to determine the Trading Price per $1,000 principal amount of Notes when obligated as provided in the preceding sentence, or if the Company instructs the Bid Solicitation Agent in writing to obtain bids and the Bid Solicitation Agent fails to make such determination, or (y) the Company is acting as Bid Solicitation Agent and the Company fails to make such determination when obligated as provided in the preceding sentence, then, in either case, the Trading Price per $1,000 principal amount of Notes on any date shall be deemed to be less than 98% of the product of the Last Reported Sale Price of the Class A Ordinary Shares and the Conversion Rate on each Trading Day of such failure. If the Trading Price condition set forth above has been met, the Company shall so notify the Holders, the Trustee and the Conversion Agent (if other than the Trustee) in writing. If, at any time after the Trading Price condition set forth above has been met, the Trading Price per $1,000 principal amount of Notes is greater than or equal to 98% of the product of the Last Reported Sale Price of the Class A Ordinary Shares and the Conversion Rate for such date, the Company shall so notify in writing the Holders, the Trustee and the Conversion Agent (if other than the Trustee), and thereafter neither the Company nor the Bid Solicitation Agent (of other than the Company) shall be required to solicit bids again until a new Holder request is made as provided in this Section 14.01(b)(i).</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prior to the close of business on the Business Day immediately preceding December 1, 2031, the Company elects to:</w:t>
      </w:r>
    </w:p>
    <w:p>
      <w:pPr>
        <w:pStyle w:val="TextBody"/>
        <w:bidi w:val="0"/>
        <w:spacing w:before="0" w:after="0"/>
        <w:ind w:left="144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both"/>
              <w:rPr/>
            </w:pPr>
            <w:r>
              <w:rPr/>
              <w:t> </w:t>
            </w:r>
          </w:p>
        </w:tc>
        <w:tc>
          <w:tcPr>
            <w:tcW w:w="224" w:type="dxa"/>
            <w:tcBorders/>
            <w:vAlign w:val="center"/>
          </w:tcPr>
          <w:p>
            <w:pPr>
              <w:pStyle w:val="TableContents"/>
              <w:bidi w:val="0"/>
              <w:spacing w:before="0" w:after="283"/>
              <w:jc w:val="both"/>
              <w:rPr>
                <w:sz w:val="20"/>
              </w:rPr>
            </w:pPr>
            <w:r>
              <w:rPr>
                <w:sz w:val="20"/>
              </w:rPr>
              <w:t>(A)</w:t>
            </w:r>
          </w:p>
        </w:tc>
        <w:tc>
          <w:tcPr>
            <w:tcW w:w="9906" w:type="dxa"/>
            <w:tcBorders/>
            <w:vAlign w:val="center"/>
          </w:tcPr>
          <w:p>
            <w:pPr>
              <w:pStyle w:val="TableContents"/>
              <w:bidi w:val="0"/>
              <w:spacing w:before="0" w:after="283"/>
              <w:jc w:val="both"/>
              <w:rPr>
                <w:sz w:val="20"/>
              </w:rPr>
            </w:pPr>
            <w:r>
              <w:rPr>
                <w:sz w:val="20"/>
              </w:rPr>
              <w:t>distribute to all or substantially all holders of the Class A Ordinary Shares any rights, options or warrants (other than in connection with a shareholder rights plan prior to separation of such rights from the Class A Ordinary Shares) entitling them, for a period of not more than forty-five (45) calendar days after the announcement date of such distribution, to subscribe for or purchase Class A Ordinary Shares at a price per share that is less than the average of the Last Reported Sale Prices of the Class A Ordinary Shares for the ten (10) consecutive Trading Day period ending on, and including, the Trading Day immediately preceding the date of announcement of such distribution;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both"/>
              <w:rPr/>
            </w:pPr>
            <w:r>
              <w:rPr/>
              <w:t> </w:t>
            </w:r>
          </w:p>
        </w:tc>
        <w:tc>
          <w:tcPr>
            <w:tcW w:w="227" w:type="dxa"/>
            <w:tcBorders/>
            <w:vAlign w:val="center"/>
          </w:tcPr>
          <w:p>
            <w:pPr>
              <w:pStyle w:val="TableContents"/>
              <w:bidi w:val="0"/>
              <w:spacing w:before="0" w:after="283"/>
              <w:jc w:val="both"/>
              <w:rPr>
                <w:sz w:val="20"/>
              </w:rPr>
            </w:pPr>
            <w:r>
              <w:rPr>
                <w:sz w:val="20"/>
              </w:rPr>
              <w:t>(B)</w:t>
            </w:r>
          </w:p>
        </w:tc>
        <w:tc>
          <w:tcPr>
            <w:tcW w:w="9903" w:type="dxa"/>
            <w:tcBorders/>
            <w:vAlign w:val="center"/>
          </w:tcPr>
          <w:p>
            <w:pPr>
              <w:pStyle w:val="TableContents"/>
              <w:bidi w:val="0"/>
              <w:spacing w:before="0" w:after="283"/>
              <w:jc w:val="both"/>
              <w:rPr>
                <w:sz w:val="20"/>
              </w:rPr>
            </w:pPr>
            <w:r>
              <w:rPr>
                <w:sz w:val="20"/>
              </w:rPr>
              <w:t>distribute to all or substantially all holders of Class A Ordinary Shares, the Company’s assets, securities or rights to purchase securities of the Company (other than in connection with a shareholder rights plan prior to separation of such rights from the Class A Ordinary Shares), which distribution has a per share value, as reasonably determined by the Company in good faith, exceeding 10% of the Last Reported Sale Price of the Class A Ordinary Shares on the Trading Day preceding the date of announcement for such distribution,</w:t>
            </w:r>
          </w:p>
        </w:tc>
      </w:tr>
    </w:tbl>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then, in either case, the Company shall notify all Holders of the Notes, the Trustee and the Conversion Agent (if other than the Trustee) in writing at least forty-eight (48) Scheduled Trading Days prior to the Ex-Dividend Date for such distribution (or, if later in the case of any such separation of rights issued pursuant to a shareholder rights plan, as soon as reasonably practicable after the Company becomes aware that such separation or triggering event has occurred or will occur);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if the Company elects Physical Settlement for conversions that occur at any time from, and including, the date of notice until the earlier of (1) the close of business on the second Business Day immediately preceding the Ex-Dividend Date for such distribution and (2) the Company’s announcement that such issuance or distribution will not take place , the Company may provide not less than ten (10) Business Days’ nor more than thirty (30) Business Days’ notice before such Ex-Dividend Date. Once the Company has given such notice, Holders may surrender all or any portion of their Notes for conversion at any time from, and including, the date the Company provides such notice until the earlier of (1) the close of business on the second Business Day immediately preceding the Ex-Dividend Date for such distribution and (2) the Company’s announcement that such issuance or distribution will not take place, even if the Notes are not otherwise convertible at such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Holders may not convert their Notes pursuant to this subsection (b)(ii) if they participate, at the same time and upon the same terms as holders of the Class A Ordinary Shares and solely as a result of holding the Notes, in any of the transactions described in clause (A) or (B) of this subsection (b)(ii) without having to convert their Notes as if they held a number of Class A Ordinary Shares equal to the applicable Conversion Rate multiplied by the principal amount (expressed in thousands) of Notes held by such Holder.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a transaction or event that constitutes a Fundamental Change or a Make-Whole Fundamental Change occurs prior to the close of business on the Business Day immediately preceding December 1, 2031, regardless of whether a Holder has the right to require the Company to repurchase the Notes pursuant to Section 15.01, or if the Company is a party to a Share Exchange Event (other than a Share Exchange Event that is solely for the purpose of changing the Company’s jurisdiction of organization that (x) does not constitute a Fundamental Change or a Make-Whole Fundamental Change and (y) results in a reclassification, conversion or exchange of outstanding shares of the surviving entity and such shares become Reference Property for the Notes) that occurs prior to the close of business on the Business Day immediately preceding December 1, 2031, all or any portion of a Holder’s Notes may be surrendered for conversion at any time from or after the actual effective date of such transaction or event until the earlier of (x) 35 Business Days after the actual effective date of such transaction or event or, if such transaction or event also constitutes a Fundamental Change (other than an Exempted Fundamental Change), until the close of business on the Business Day immediately preceding the related Fundamental Change Repurchase Date and (y) the close of business on the second Scheduled Trading Day immediately preceding the Maturity Date. The Company shall notify Holders, the Trustee and the Conversion Agent (if other than the Trustee) in writing as promptly as practicable following the effective date of such transaction or event, but in no event later than the effective date of such transaction or event.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Prior to the close of business on the Business Day immediately preceding December 1, 2031, a Holder may surrender all or any portion of its Notes for conversion at any time during any calendar quarter commencing after the calendar quarter ending on June 30, 2026 (and only during such calendar quarter), if the Last Reported Sale Price of the Class A Ordinary Shares for at least 20 Trading Days (whether or not consecutive) during the period of 30 consecutive Trading Days ending on, and including, the last Trading Day of the immediately preceding calendar quarter is greater than or equal to 130% of the Conversion Price on each applicable Trading Day.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If the Company calls any Note for Redemption pursuant to Article 16 prior to the close of business on the Business Day immediately preceding December 1, 2031, then a Holder may surrender all or any portion of its Called Notes for conversion at any time prior to the close of business on the second Business Day prior to the related Redemption Date, even if the Called Notes are not otherwise convertible at such time. After that time, the right to convert shall expire under this clause (v), unless the Company defaults in the payment of the Redemption Price, in which case the Holder of the Called Notes may convert such Note until the Redemption Price has been paid or duly provided for. If the Company elects to redeem fewer than all of the outstanding Notes for Optional Redemption pursuant to Article 16, and the Holder of any Note, or any owner of a beneficial interest in any Global Note, is reasonably not able to determine, prior to the close of business on the 44th Scheduled Trading Day immediately preceding the relevant Redemption Date (or, if the Company elects Physical Settlement for conversions that occur during the related Redemption Period, on the fourth Business Day immediately preceding the relevant Optional Redemption Date), whether such Note or beneficial interest, as applicable, is to be redeemed pursuant to such Redemption, then such Holder or owner, as applicable, will be entitled to convert such Note or beneficial interest, as applicable, at any time during the related Redemption Period, and each such conversion will be deemed to be of a Note called for Optional Redemption, and such Note or beneficial interest will be deemed called for Optional Redemption solely for the purposes of such conversion (“</w:t>
      </w:r>
      <w:r>
        <w:rPr>
          <w:rFonts w:ascii="Times New Roman;Times;Serif" w:hAnsi="Times New Roman;Times;Serif"/>
          <w:b/>
          <w:i w:val="false"/>
          <w:caps w:val="false"/>
          <w:smallCaps w:val="false"/>
          <w:sz w:val="20"/>
        </w:rPr>
        <w:t>Deemed Redemption</w:t>
      </w:r>
      <w:r>
        <w:rPr>
          <w:rFonts w:ascii="Times New Roman;Times;Serif" w:hAnsi="Times New Roman;Times;Serif"/>
          <w:b w:val="false"/>
          <w:i w:val="false"/>
          <w:caps w:val="false"/>
          <w:smallCaps w:val="false"/>
          <w:sz w:val="20"/>
        </w:rPr>
        <w:t>”). If a Holder elects to convert Called Notes during the related Redemption Period, the Company will, under certain circumstances, increase the Conversion Rate for such Called Notes pursuant to ‎Section 14.03. Accordingly, if the Company elects to redeem fewer than all of the outstanding Notes pursuant to ‎Article 16, Holders of the Notes that are not Called Notes shall not be entitled to convert such Notes pursuant to this ‎Section 14.01(b)(v) and shall not be entitled to an increase in the Conversion Rate on account of the Optional Redemption Notice for conversions of such Notes during the related Redemption Period, even if such Notes are otherwise convertible pursuant to any other provision of this ‎Section 14.01(b).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14.02 </w:t>
      </w:r>
      <w:r>
        <w:rPr>
          <w:rFonts w:ascii="Times New Roman;Times;Serif" w:hAnsi="Times New Roman;Times;Serif"/>
          <w:b w:val="false"/>
          <w:i/>
          <w:caps w:val="false"/>
          <w:smallCaps w:val="false"/>
          <w:sz w:val="20"/>
        </w:rPr>
        <w:t>Conversion Procedure; Settlement Upon Conversion</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this ‎Section 14.02, ‎Section 14.03(b) and ‎Section 14.08(a), upon conversion of any Note, the Company shall satisfy its Conversion Obligation by paying or delivering, as the case may be, to the converting Holder, in respect of each $1,000 principal amount of Notes being converted, cash (“</w:t>
      </w:r>
      <w:r>
        <w:rPr>
          <w:rFonts w:ascii="Times New Roman;Times;Serif" w:hAnsi="Times New Roman;Times;Serif"/>
          <w:b/>
          <w:i w:val="false"/>
          <w:caps w:val="false"/>
          <w:smallCaps w:val="false"/>
          <w:sz w:val="20"/>
        </w:rPr>
        <w:t>Cash Settlement</w:t>
      </w:r>
      <w:r>
        <w:rPr>
          <w:rFonts w:ascii="Times New Roman;Times;Serif" w:hAnsi="Times New Roman;Times;Serif"/>
          <w:b w:val="false"/>
          <w:i w:val="false"/>
          <w:caps w:val="false"/>
          <w:smallCaps w:val="false"/>
          <w:sz w:val="20"/>
        </w:rPr>
        <w:t>”), Class A Ordinary Shares, together with cash, if applicable, in lieu of delivering any fractional Class A Ordinary Shares in accordance with subsection ‎(j) of this ‎Section 14.02 (“</w:t>
      </w:r>
      <w:r>
        <w:rPr>
          <w:rFonts w:ascii="Times New Roman;Times;Serif" w:hAnsi="Times New Roman;Times;Serif"/>
          <w:b/>
          <w:i w:val="false"/>
          <w:caps w:val="false"/>
          <w:smallCaps w:val="false"/>
          <w:sz w:val="20"/>
        </w:rPr>
        <w:t>Physical Settlement</w:t>
      </w:r>
      <w:r>
        <w:rPr>
          <w:rFonts w:ascii="Times New Roman;Times;Serif" w:hAnsi="Times New Roman;Times;Serif"/>
          <w:b w:val="false"/>
          <w:i w:val="false"/>
          <w:caps w:val="false"/>
          <w:smallCaps w:val="false"/>
          <w:sz w:val="20"/>
        </w:rPr>
        <w:t>”) or a combination of cash and Class A Ordinary Shares, together with cash, if applicable, in lieu of delivering any fractional Class A Ordinary Shares in accordance with subsection ‎(j) of this ‎Section 14.02 (“</w:t>
      </w:r>
      <w:r>
        <w:rPr>
          <w:rFonts w:ascii="Times New Roman;Times;Serif" w:hAnsi="Times New Roman;Times;Serif"/>
          <w:b/>
          <w:i w:val="false"/>
          <w:caps w:val="false"/>
          <w:smallCaps w:val="false"/>
          <w:sz w:val="20"/>
        </w:rPr>
        <w:t>Combination Settlement</w:t>
      </w:r>
      <w:r>
        <w:rPr>
          <w:rFonts w:ascii="Times New Roman;Times;Serif" w:hAnsi="Times New Roman;Times;Serif"/>
          <w:b w:val="false"/>
          <w:i w:val="false"/>
          <w:caps w:val="false"/>
          <w:smallCaps w:val="false"/>
          <w:sz w:val="20"/>
        </w:rPr>
        <w:t>”), at its election, as set forth in this ‎Section 14.02.</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conversions of Called Notes for which the relevant Conversion Date occurs during the related Redemption Period, and all conversions for which the relevant Conversion Date occurs on or after December 1, 2031, shall be settled using the same Settlement Method.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Except for any conversions of Called Notes for which the relevant Conversion Date occurs during the related Redemption Period, and any conversions for which the relevant Conversion Date occurs on or after December 1, 2031, and except to the extent the Company has irrevocably elected Physical Settlement pursuant to Section 14.01(b)(ii) in a notice as described in such Section or has previously made an irrevocable election with respect to all subsequent conversions of Notes pursuant to Section 14.02(a)(iii), the Company shall use the same Settlement Method for all conversions with the same Conversion Date, but the Company shall not have any obligation to use the same Settlement Method with respect to conversions with different Conversion Dates.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in respect of any Conversion Date (or any conversions of Called Notes for which the relevant Conversion Date occurs during the related Redemption Period, or any conversions for which the relevant Conversion Date occurs on or after December 1, 2031 or for which the Company has irrevocably elected Physical Settlement pursuant to Section 14.01(b)(ii) in a notice as described in such Section), the Company elects to deliver a notice (the “</w:t>
      </w:r>
      <w:r>
        <w:rPr>
          <w:rFonts w:ascii="Times New Roman;Times;Serif" w:hAnsi="Times New Roman;Times;Serif"/>
          <w:b/>
          <w:i w:val="false"/>
          <w:caps w:val="false"/>
          <w:smallCaps w:val="false"/>
          <w:sz w:val="20"/>
        </w:rPr>
        <w:t>Settlement Notice</w:t>
      </w:r>
      <w:r>
        <w:rPr>
          <w:rFonts w:ascii="Times New Roman;Times;Serif" w:hAnsi="Times New Roman;Times;Serif"/>
          <w:b w:val="false"/>
          <w:i w:val="false"/>
          <w:caps w:val="false"/>
          <w:smallCaps w:val="false"/>
          <w:sz w:val="20"/>
        </w:rPr>
        <w:t>”) of the relevant Settlement Method in respect of such Conversion Date (or either such period, as the case may be), the Company, shall deliver such Settlement Notice to converting Holders, the Trustee and the Conversion Agent (if other than the Trustee) in accordance with ‎Section 17.15, no later than the close of business on the Trading Day immediately following the relevant Conversion Date (or, in the case of (x) any conversion of Called Notes for which the relevant Conversion Date occurs during the related Redemption Period, in the relevant Redemption Notice, (y) any conversions of Notes for which the relevant Conversion Date occurs on or after December 1, 2031, no later than December 1, 2031, or (z) any conversions for which the Company has irrevocably elected Physical Settlement pursuant to Section 14.01(b)(ii), in a notice as described in such Section). If the Company does not timely elect a Settlement Method prior to the deadline set forth in the immediately preceding sentence, the Company shall no longer have the right to elect a Settlement Method with respect to any such Conversion Date or during such period and the Company shall be deemed to have elected the Default Settlement Method in respect of its Conversion Obligation. Such Settlement Notice shall specify the relevant Settlement Method and in the case of an election of Combination Settlement, the relevant Settlement Notice shall indicate the Specified Dollar Amount per $1,000 principal amount of Notes. If the Company delivers a Settlement Notice electing Combination Settlement in respect of its Conversion Obligation, or the Company is deemed to have elected Combination Settlement, but does not indicate a Specified Dollar Amount per $1,000 principal amount of Notes to be converted in such Settlement Notice, the Specified Dollar Amount per $1,000 principal amount of Notes shall be deemed to be $1,000. For the avoidance of doubt, the Company’s failure to timely elect a Settlement Method or specify as applicable a Specified Dollar Amount will not constitute a Default or Event of Default under this Indenture.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notice to Holders, the Trustee and the Conversion Agent (if other than the Trustee), the Company may, from time to time, change the Default Settlement Method prior to December 1, 2031. In addition, by notice to Holders, the Trustee and the Conversion Agent (if other than the Trustee), the Company may, prior to December 1, 2031, at its option, irrevocably elect to fix the Settlement Method to any Settlement Method that the Company is then permitted to elect, including Combination Settlement with a Specified Dollar Amount per $1,000 principal amount of Notes of $1,000 or with an ability to continue to set the Specified Dollar Amount per $1,000 principal amount of Notes at or above a specific amount set forth in such notice. If the Company changes the Default Settlement Method or irrevocably elects to fix the Settlement Method, in either case, to Combination Settlement with an ability to continue to set the Specified Dollar Amount per $1,000 principal amount of Notes at or above a specific amount, the Company will, after the date of such change or election, as the case may be, inform Holders converting their Notes, the Trustee and the Conversion Agent (if other than the Trustee) of such Specified Dollar Amount no later than the relevant deadline for election of a Settlement Method as described in the immediately preceding paragraph, or, if the Company does not timely notify Holders, such Specified Dollar Amount will be the specific amount set forth in the Settlement Notice or, if no specific amount was set forth in the Settlement Notice, such Specified Dollar Amount will be $1,000 per $1,000 principal amount of Notes. A change in the Default Settlement Method or an irrevocable election will apply to all conversions of Notes on Conversion Dates occurring subsequent to delivery of such Settlement Notice;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such change or election will affect any Settlement Method theretofore elected (or deemed to be elected) with respect to any Note. For the avoidance of doubt, such an irrevocable election, if made, will be effective without the need to amend this Indenture or the Notes, including pursuant to the provisions described in Section 10.01(i). However, the Company may nonetheless choose to execute such an amendment at its option.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changes the Default Settlement Method or irrevocably fixes the Settlement Method pursuant to the provisions described in the preceding paragraph, then, concurrently with providing a Settlement Notice to Holders of Notes, the Trustee and the Conversion Agent (if other than the Trustee) of such change or election, the Company will post notice of the Default Settlement Method on its website or otherwise disclose such information in a Current Report on Form 6-K or 8-K (or any successor form) that is filed with the Commission.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cash, Class A Ordinary Shares or combination of cash and Class A Ordinary Shares payable or deliverable by the Company in respect of any conversion of Notes (the “</w:t>
      </w:r>
      <w:r>
        <w:rPr>
          <w:rFonts w:ascii="Times New Roman;Times;Serif" w:hAnsi="Times New Roman;Times;Serif"/>
          <w:b/>
          <w:i w:val="false"/>
          <w:caps w:val="false"/>
          <w:smallCaps w:val="false"/>
          <w:sz w:val="20"/>
        </w:rPr>
        <w:t>Settlement Amount</w:t>
      </w:r>
      <w:r>
        <w:rPr>
          <w:rFonts w:ascii="Times New Roman;Times;Serif" w:hAnsi="Times New Roman;Times;Serif"/>
          <w:b w:val="false"/>
          <w:i w:val="false"/>
          <w:caps w:val="false"/>
          <w:smallCaps w:val="false"/>
          <w:sz w:val="20"/>
        </w:rPr>
        <w:t>”) shall be computed as follows:</w:t>
      </w:r>
    </w:p>
    <w:p>
      <w:pPr>
        <w:pStyle w:val="TextBody"/>
        <w:bidi w:val="0"/>
        <w:spacing w:before="0" w:after="0"/>
        <w:ind w:left="144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both"/>
              <w:rPr/>
            </w:pPr>
            <w:r>
              <w:rPr/>
              <w:t> </w:t>
            </w:r>
          </w:p>
        </w:tc>
        <w:tc>
          <w:tcPr>
            <w:tcW w:w="231" w:type="dxa"/>
            <w:tcBorders/>
            <w:vAlign w:val="center"/>
          </w:tcPr>
          <w:p>
            <w:pPr>
              <w:pStyle w:val="TableContents"/>
              <w:bidi w:val="0"/>
              <w:spacing w:before="0" w:after="283"/>
              <w:jc w:val="both"/>
              <w:rPr>
                <w:sz w:val="20"/>
              </w:rPr>
            </w:pPr>
            <w:r>
              <w:rPr>
                <w:sz w:val="20"/>
              </w:rPr>
              <w:t>(A)</w:t>
            </w:r>
          </w:p>
        </w:tc>
        <w:tc>
          <w:tcPr>
            <w:tcW w:w="9899" w:type="dxa"/>
            <w:tcBorders/>
            <w:vAlign w:val="center"/>
          </w:tcPr>
          <w:p>
            <w:pPr>
              <w:pStyle w:val="TableContents"/>
              <w:bidi w:val="0"/>
              <w:spacing w:before="0" w:after="283"/>
              <w:jc w:val="both"/>
              <w:rPr>
                <w:sz w:val="20"/>
              </w:rPr>
            </w:pPr>
            <w:r>
              <w:rPr>
                <w:sz w:val="20"/>
              </w:rPr>
              <w:t>if the Company elects (or is deemed to have elected) to satisfy its Conversion Obligation in respect of such conversion by Physical Settlement, the Company shall deliver to the converting Holder in respect of each $1,000 principal amount of Notes being converted a number of Class A Ordinary Shares equal to the Conversion Rate in effect immediately after the close of business on the Conversion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both"/>
              <w:rPr/>
            </w:pPr>
            <w:r>
              <w:rPr/>
              <w:t> </w:t>
            </w:r>
          </w:p>
        </w:tc>
        <w:tc>
          <w:tcPr>
            <w:tcW w:w="231" w:type="dxa"/>
            <w:tcBorders/>
            <w:vAlign w:val="center"/>
          </w:tcPr>
          <w:p>
            <w:pPr>
              <w:pStyle w:val="TableContents"/>
              <w:bidi w:val="0"/>
              <w:spacing w:before="0" w:after="283"/>
              <w:jc w:val="both"/>
              <w:rPr>
                <w:sz w:val="20"/>
              </w:rPr>
            </w:pPr>
            <w:r>
              <w:rPr>
                <w:sz w:val="20"/>
              </w:rPr>
              <w:t>(B)</w:t>
            </w:r>
          </w:p>
        </w:tc>
        <w:tc>
          <w:tcPr>
            <w:tcW w:w="9899" w:type="dxa"/>
            <w:tcBorders/>
            <w:vAlign w:val="center"/>
          </w:tcPr>
          <w:p>
            <w:pPr>
              <w:pStyle w:val="TableContents"/>
              <w:bidi w:val="0"/>
              <w:spacing w:before="0" w:after="283"/>
              <w:jc w:val="both"/>
              <w:rPr>
                <w:sz w:val="20"/>
              </w:rPr>
            </w:pPr>
            <w:r>
              <w:rPr>
                <w:sz w:val="20"/>
              </w:rPr>
              <w:t>if the Company elects (or is deemed to have elected) to satisfy its Conversion Obligation in respect of such conversion by Cash Settlement, the Company shall pay to the converting Holder in respect of each $1,000 principal amount of Notes being converted cash in an amount equal to the sum of the Daily Conversion Values for each of the forty (40) consecutive Trading Days during the related Observation Period; and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both"/>
              <w:rPr/>
            </w:pPr>
            <w:r>
              <w:rPr/>
              <w:t> </w:t>
            </w:r>
          </w:p>
        </w:tc>
        <w:tc>
          <w:tcPr>
            <w:tcW w:w="229" w:type="dxa"/>
            <w:tcBorders/>
            <w:vAlign w:val="center"/>
          </w:tcPr>
          <w:p>
            <w:pPr>
              <w:pStyle w:val="TableContents"/>
              <w:bidi w:val="0"/>
              <w:spacing w:before="0" w:after="283"/>
              <w:jc w:val="both"/>
              <w:rPr>
                <w:sz w:val="20"/>
              </w:rPr>
            </w:pPr>
            <w:r>
              <w:rPr>
                <w:sz w:val="20"/>
              </w:rPr>
              <w:t>(C)</w:t>
            </w:r>
          </w:p>
        </w:tc>
        <w:tc>
          <w:tcPr>
            <w:tcW w:w="9901" w:type="dxa"/>
            <w:tcBorders/>
            <w:vAlign w:val="center"/>
          </w:tcPr>
          <w:p>
            <w:pPr>
              <w:pStyle w:val="TableContents"/>
              <w:bidi w:val="0"/>
              <w:spacing w:before="0" w:after="283"/>
              <w:jc w:val="both"/>
              <w:rPr>
                <w:sz w:val="20"/>
              </w:rPr>
            </w:pPr>
            <w:r>
              <w:rPr>
                <w:sz w:val="20"/>
              </w:rPr>
              <w:t>if the Company elects (or is deemed to have elected) to satisfy its Conversion Obligation in respect of such conversion by Combination Settlement, the Company shall pay or deliver, as the case may be, to the converting Holder in respect of each $1,000 principal amount of Notes being converted, a Settlement Amount equal to the sum of the Daily Settlement Amounts for each of the forty (40) consecutive Trading Days during the related Observation Period.</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Daily Settlement Amounts (if applicable) and the Daily Conversion Values (if applicable) shall be determined by the Company promptly following the last day of the Observation Period. Promptly after such determination of the Daily Settlement Amounts or the Daily Conversion Values, as the case may be, and the amount of cash payable in lieu of delivering any fractional Class A Ordinary Shares, the Company shall notify the Trustee and the Conversion Agent (if other than the Trustee) of the Daily Settlement Amounts or the Daily Conversion Values, as the case may be, and the amount of cash payable in lieu of delivering fractional Class A Ordinary Shares. The Trustee and the Conversion Agent (if other than the Trustee) shall have no responsibility or liability for any such determination.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to ‎Section 14.02(e), before any Holder of a Note shall be entitled to convert a Note as set forth above, a Holder shall (i) in the case of a Global Note, comply with the Applicable Procedures of the Depositary in effect at that time and, if required, pay funds equal to interest payable on the next Interest Payment Date to which such Holder is not entitled, and if required, pay all transfer or similar taxes, if any, as set forth in ‎Section 14.02(h) and (ii) in the case of a Physical Note, the Holder thereof shall (1) complete, manually sign and deliver an irrevocable notice (or a facsimile, PDF or other electronic transmission thereof) to the Conversion Agent as set forth in the Form of Notice of Conversion (a “</w:t>
      </w:r>
      <w:r>
        <w:rPr>
          <w:rFonts w:ascii="Times New Roman;Times;Serif" w:hAnsi="Times New Roman;Times;Serif"/>
          <w:b/>
          <w:i w:val="false"/>
          <w:caps w:val="false"/>
          <w:smallCaps w:val="false"/>
          <w:sz w:val="20"/>
        </w:rPr>
        <w:t>Notice of Conversion</w:t>
      </w:r>
      <w:r>
        <w:rPr>
          <w:rFonts w:ascii="Times New Roman;Times;Serif" w:hAnsi="Times New Roman;Times;Serif"/>
          <w:b w:val="false"/>
          <w:i w:val="false"/>
          <w:caps w:val="false"/>
          <w:smallCaps w:val="false"/>
          <w:sz w:val="20"/>
        </w:rPr>
        <w:t>”) at the office of the Conversion Agent and state in writing therein the principal amount of Notes to be converted and the name or names (with addresses) in which such Holder wishes the certificate or certificates for any Class A Ordinary Shares to be delivered upon settlement of the Conversion Obligation to be registered, (2) surrender such Notes, duly endorsed to the Company or in blank (and accompanied by appropriate endorsement and transfer documents), at the office of the Conversion Agent, (3) if required, furnish appropriate endorsements and transfer documents and (4) if required, pay funds equal to interest payable on the next Interest Payment Date to which such Holder is not entitled as set forth in ‎Section 14.02(h). The Trustee (and if different, the Conversion Agent) shall notify the Company of any conversion pursuant to this ‎Article 14 on the Conversion Date for such conversion. No Holder may surrender Notes for conversion if such Holder has also delivered a Fundamental Change Repurchase Notice or a Specified Repurchase Date Repurchase Notice to the Company in respect of such Notes and has not validly withdrawn such Fundamental Change Repurchase Notice or Specified Repurchase Date Repurchase Notice in accordance with Section 15.03.</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more than one Note shall be surrendered for conversion at one time by the same Holder, the Conversion Obligation with respect to such Notes shall be computed on the basis of the aggregate principal amount of the Notes so surrendered.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Note shall be deemed to have been converted immediately prior to the close of business on the date (the “</w:t>
      </w:r>
      <w:r>
        <w:rPr>
          <w:rFonts w:ascii="Times New Roman;Times;Serif" w:hAnsi="Times New Roman;Times;Serif"/>
          <w:b/>
          <w:i w:val="false"/>
          <w:caps w:val="false"/>
          <w:smallCaps w:val="false"/>
          <w:sz w:val="20"/>
        </w:rPr>
        <w:t>Conversion Date</w:t>
      </w:r>
      <w:r>
        <w:rPr>
          <w:rFonts w:ascii="Times New Roman;Times;Serif" w:hAnsi="Times New Roman;Times;Serif"/>
          <w:b w:val="false"/>
          <w:i w:val="false"/>
          <w:caps w:val="false"/>
          <w:smallCaps w:val="false"/>
          <w:sz w:val="20"/>
        </w:rPr>
        <w:t xml:space="preserve">”) that the Holder has complied with the requirements set forth in subsection ‎(b) above. Except as set forth in ‎Section 14.03(b) and ‎Section 14.08(a), the Company shall pay or deliver, as the case may be, the consideration due in respect of the Conversion Obligation, on the second Business Day immediately following the relevant Conversion Date, if the Company elects Physical Settlement, or on the second Business Day immediately following the last Trading Day of the relevant Observation Period, in the case of any other Settlement Method;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with respect to any Conversion Date occurring during a Redemption Period, the Company will settle any such conversion for which Physical Settlement is applicable on the relevant Redemption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notwithstanding the foregoing, with respect to any Conversion Date occurring after the regular Record Date immediately preceding the Maturity Date, the Company will settle any such conversion for which Physical Settlement is applicable on the Maturity Date. If any Class A Ordinary Shares are due to a converting Holder, the Company shall issue or cause to be issued, and deliver (if applicable) to the Conversion Agent or to such Holder, or such Holder’s nominee or nominees, the full number of Class A Ordinary Shares to which such Holder shall be entitled, in book-entry format through the Depositary, in satisfaction of the Company’s Conversion Obligation.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case any Note shall be surrendered for partial conversion, the Company shall deliver a Company Order, and the Company shall execute and the Trustee shall authenticate and deliver to or upon the written order of the Holder of the Note so surrendered a new Note or Notes in authorized denominations in an aggregate principal amount equal to the unconverted portion of the surrendered Note, without payment of any service charge by the converting Holder but, if required by the Company or Trustee, with payment of a sum sufficient to cover any documentary, stamp, issue, transfer or similar tax due on the delivery of Class A Ordinary Shares required by law or that may be imposed in connection therewith as a result of the name of the Holder of the new Notes issued upon such conversion being different from the name of the Holder of the old Notes surrendered for such conversion.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a Holder submits a Note for conversion, the Company shall pay any documentary, stamp issue, transfer or similar tax due on the delivery of Class A Ordinary Shares upon conversion, unless the tax is due because the Holder requests such Class A Ordinary Shares to be issued in a name other than such Holder’s name, in which case such Holder shall pay that tax. The Conversion Agent may refuse to deliver the certificates representing Class A Ordinary Shares being issued in a name other than such Holder’s name until the Trustee receives a sum sufficient to pay any tax that is due by such Holder in accordance with the immediately preceding sentence.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provided in Section 14.05, no adjustment shall be made for dividends on any Class A Ordinary Shares issued upon the conversion of any Note as provided in this Article 14.</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Upon the conversion of an interest in a Global Note, the Trustee, or the Note Custodian (if other than the Trustee) at the direction of the Trustee, shall make a notation on such Global Note as to the reduction in the principal amount represented thereby. The Company shall notify the Trustee in writing of any conversion of Notes effected through any Conversion Agent other than the Trustee.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Upon conversion, a Holder shall not receive any separate cash payment for accrued and unpaid interest, if any, except as set forth below. The Company’s payment and delivery, as the case may be, of the Settlement Amount with respect to any converted Note shall be deemed to satisfy in full its obligation to pay the principal amount of the Note and accrued and unpaid interest, if any, to, but not including, the relevant Conversion Date. As a result, accrued and unpaid interest, if any, to, but not including, the relevant Conversion Date shall be deemed to be paid in full rather than cancelled, extinguished or forfeited. Upon a conversion of Notes into a combination of cash and Class A Ordinary Shares, accrued and unpaid interest shall be deemed to be paid first out of the cash paid upon such conversion. Notwithstanding the foregoing, if Notes are converted after the close of business on a Regular Record Date, but prior to the open of business on the immediately following Interest Payment Date, Holders of such Notes as of the close of business on such Regular Record Date shall receive the full amount of interest payable on such Notes on the corresponding Interest Payment Date notwithstanding the conversion. However, Notes surrendered for conversion during the period from the close of business on any Regular Record Date to the open of business on the immediately following Interest Payment Date shall be accompanied by funds in U.S. dollars equal to the amount of interest payable on the Notes so converted (regardless of whether the converting Holder was the Holder of record on the corresponding Regular Record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such payment shall be required (1) for conversions following the close of business on the Regular Record Date immediately preceding the Maturity Date; (2) if the Company has specified a Redemption Date that is after a Regular Record Date and on or prior to the second Business Day immediately succeeding the corresponding Interest Payment Date (or, if such Interest Payment Date is not a Business Day, the third Business Day immediately succeeding such Interest Payment Date); (3) if the Company has specified a Fundamental Change Repurchase Date or the Specified Repurchase Date that is after a Regular Record Date and on or prior to the second Business Day immediately succeeding the corresponding Interest Payment Date (or, if such Interest Payment Date is not a Business Day, the third Business Day immediately succeeding such Interest Payment Date); or (4) to the extent of any overdue interest, if any overdue interest exists at the time of conversion with respect to such Note. Therefore, for the avoidance of doubt, all Holders of record on the Regular Record Date immediately preceding the Maturity Date, the Specified Repurchase Date, any Fundamental Change Repurchase Date, or Redemption Date, in each case, as described above, shall receive the full interest payment due on the Maturity Date or other applicable Interest Payment Date in cash, regardless of whether their Notes have been converted following such Regular Record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Person in whose name any Class A Ordinary Shares shall be issuable upon conversion shall become the holder of record of such shares as of the close of business on the relevant Conversion Date (if the Company elects to satisfy the related Conversion Obligation by Physical Settlement) or the last Trading Day of the relevant Observation Period (if the Company elects to satisfy the related Conversion Obligation by Combination Settlement). Upon a conversion of Notes, such Person shall no longer be a Holder of such Notes surrendered for conversion;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the converting Holder shall have the right to receive the Settlement Amount due upon conversion and (b) in the case of a conversion between a Regular Record Date and the corresponding Interest Payment Date, the Holder of record as of the close of business on such Regular Record Date shall have the right to receive the full amount of interest payable on such Interest Payment Date, in accordance with clause (h) above.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Company shall not issue any fractional Class A Ordinary Shares upon conversion of the Notes and shall instead pay cash in lieu of delivering any fractional Class A Ordinary Shares issuable upon conversion based on the Daily VWAP for the relevant Conversion Date (in the case of Physical Settlement) or based on the Daily VWAP for the last Trading Day of the relevant Observation Period (in the case of Combination Settlement). For each Note surrendered for conversion, if the Company has elected (or is deemed to have elected) Combination Settlement, the full number of shares that shall be issued upon conversion thereof shall be computed on the basis of the aggregate Daily Settlement Amounts for the relevant Observation Period and any fractional shares remaining after such computation shall be paid in cash.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14.03 </w:t>
      </w:r>
      <w:r>
        <w:rPr>
          <w:rFonts w:ascii="Times New Roman;Times;Serif" w:hAnsi="Times New Roman;Times;Serif"/>
          <w:b w:val="false"/>
          <w:i/>
          <w:caps w:val="false"/>
          <w:smallCaps w:val="false"/>
          <w:sz w:val="20"/>
        </w:rPr>
        <w:t>Adjustment to Conversion Rate Upon Conversion Upon a Make-Whole Fundamental Change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Effective Date of a Make-Whole Fundamental Change occurs prior to the Maturity Date and a Holder elects to convert its Notes (or any portion thereof) in connection with such Make-Whole Fundamental Change, the Company shall, under the circumstances described below, increase the Conversion Rate for the Notes so surrendered for conversion by a number of additional Class A Ordinary Shares (the “</w:t>
      </w:r>
      <w:r>
        <w:rPr>
          <w:rFonts w:ascii="Times New Roman;Times;Serif" w:hAnsi="Times New Roman;Times;Serif"/>
          <w:b/>
          <w:i w:val="false"/>
          <w:caps w:val="false"/>
          <w:smallCaps w:val="false"/>
          <w:sz w:val="20"/>
        </w:rPr>
        <w:t>Additional Class A Ordinary Shares</w:t>
      </w:r>
      <w:r>
        <w:rPr>
          <w:rFonts w:ascii="Times New Roman;Times;Serif" w:hAnsi="Times New Roman;Times;Serif"/>
          <w:b w:val="false"/>
          <w:i w:val="false"/>
          <w:caps w:val="false"/>
          <w:smallCaps w:val="false"/>
          <w:sz w:val="20"/>
        </w:rPr>
        <w:t xml:space="preserve">”), as described below. A conversion of Notes shall be deemed for these purposes to be “in connection with” such Make-Whole Fundamental Change if the relevant Conversion Date occurs during the period from, and including, the Effective Date of the Make-Whole Fundamental Change up to, and including, the second Business Day immediately prior to the related Fundamental Change Repurchase Date (or, in the case of a Make-Whole Fundamental Change that would have been a Fundamental Change but for the </w:t>
      </w:r>
      <w:r>
        <w:rPr>
          <w:rFonts w:ascii="Times New Roman;Times;Serif" w:hAnsi="Times New Roman;Times;Serif"/>
          <w:b w:val="false"/>
          <w:i/>
          <w:caps w:val="false"/>
          <w:smallCaps w:val="false"/>
          <w:sz w:val="20"/>
        </w:rPr>
        <w:t>proviso</w:t>
      </w:r>
      <w:r>
        <w:rPr>
          <w:rFonts w:ascii="Times New Roman;Times;Serif" w:hAnsi="Times New Roman;Times;Serif"/>
          <w:b w:val="false"/>
          <w:i w:val="false"/>
          <w:caps w:val="false"/>
          <w:smallCaps w:val="false"/>
          <w:sz w:val="20"/>
        </w:rPr>
        <w:t xml:space="preserve"> in clause ‎(b) of the definition thereof or that constitutes an Exempted Fundamental Change, the 35th Business Day immediately following the Effective Date of such Make-Whole Fundamental Change) (such period, the “</w:t>
      </w:r>
      <w:r>
        <w:rPr>
          <w:rFonts w:ascii="Times New Roman;Times;Serif" w:hAnsi="Times New Roman;Times;Serif"/>
          <w:b/>
          <w:i w:val="false"/>
          <w:caps w:val="false"/>
          <w:smallCaps w:val="false"/>
          <w:sz w:val="20"/>
        </w:rPr>
        <w:t>Make-Whole Fundamental Change Period</w:t>
      </w:r>
      <w:r>
        <w:rPr>
          <w:rFonts w:ascii="Times New Roman;Times;Serif" w:hAnsi="Times New Roman;Times;Serif"/>
          <w:b w:val="false"/>
          <w:i w:val="false"/>
          <w:caps w:val="false"/>
          <w:smallCaps w:val="false"/>
          <w:sz w:val="20"/>
        </w:rPr>
        <w:t>”). The Company will provide written notification to Holders, the Trustee and the Conversion Agent (if other than the Trustee) of the Effective Date of any Make-Whole Fundamental Change and publish a notice on its website or through such other public medium as the Company may use at that time announcing such Effective Date no later than five (5) Business Days after such Effective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Upon surrender of Notes for conversion in connection with a Make-Whole Fundamental Change, the Company shall, at its option, satisfy the related Conversion Obligation by Physical Settlement, Cash Settlement or Combination Settlement in accordance with ‎Section 14.02;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the consideration received by holders of Class A Ordinary Shares in exchange for such Class A Ordinary Shares in any Make-Whole Fundamental Change described in clause ‎(b) of the definition of Fundamental Change is composed entirely of cash, for any conversion of Notes following the Effective Date of such Make-Whole Fundamental Change, the Conversion Obligation shall be calculated based solely on the Share Price for the transaction and shall be deemed to be an amount of cash per $1,000 principal amount of converted Notes equal to the Conversion Rate (including any increase to reflect the Additional Class A Ordinary Shares),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such Share Price. In such event, the Conversion Obligation shall be determined and paid to Holders in cash on the fifth Business Day following the Conversion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number of Additional Class A Ordinary Shares, if any, by which the Conversion Rate shall be increased shall be determined by reference to the table in ‎Section 14.03(e), based on the date on which the Make-Whole Fundamental Change occurs or becomes effective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and the price paid (or deemed to be paid) per Class A Ordinary Share in the Make-Whole Fundamental Change (the “</w:t>
      </w:r>
      <w:r>
        <w:rPr>
          <w:rFonts w:ascii="Times New Roman;Times;Serif" w:hAnsi="Times New Roman;Times;Serif"/>
          <w:b/>
          <w:i w:val="false"/>
          <w:caps w:val="false"/>
          <w:smallCaps w:val="false"/>
          <w:sz w:val="20"/>
        </w:rPr>
        <w:t>Share Price</w:t>
      </w:r>
      <w:r>
        <w:rPr>
          <w:rFonts w:ascii="Times New Roman;Times;Serif" w:hAnsi="Times New Roman;Times;Serif"/>
          <w:b w:val="false"/>
          <w:i w:val="false"/>
          <w:caps w:val="false"/>
          <w:smallCaps w:val="false"/>
          <w:sz w:val="20"/>
        </w:rPr>
        <w:t>”). If the holders of Class A Ordinary Shares receive in exchange for their Class A Ordinary Shares only cash in a Make-Whole Fundamental Change described in clause ‎(b) of the definition of Fundamental Change, the Share Price shall be the cash amount paid per share. Otherwise, the Share Price shall be the average of the Last Reported Sale Prices of the Class A Ordinary Shares over the five (5) consecutive Trading Day period ending on, and including, the Trading Day immediately preceding the relevant Effective Date. The Company shall make appropriate adjustments to the Share Price, in its good faith determination, to account for any adjustment to the Conversion Rate that becomes effective, or any event requiring an adjustment to the Conversion Rate where the Ex-Dividend Date, Effective Date or expiration date of the event occurs during such five consecutive Trading Day period. In the event that a conversion in connection with a Redemption Notice would also be deemed to be in connection with a Make-Whole Fundamental Change, a Holder of the Notes to be converted shall be entitled solely to a single increase to the Conversion Rate with respect to the first to occur of the applicable Redemption Reference Date or the Effective Date of the applicable Make-Whole Fundamental Change.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Share Prices set forth in the column headings of the table in ‎Section 14.03(e) shall be adjusted as of any date on which the Conversion Rate is otherwise adjusted. The adjusted Share Prices shall equal the Share Prices immediately prior to such adjustment,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a fraction, the numerator of which is the Conversion Rate immediately prior to the adjustment giving rise to the Share Price adjustment and the denominator of which is the Conversion Rate as so adjusted. The number of Additional Class A Ordinary Shares in ‎Section 14.03(e) shall be adjusted in the same manner and at the same time as the Conversion Rate as set forth in ‎Section 14.05.</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pPr>
      <w:r>
        <w:rPr/>
        <w:t>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following table sets forth the number of Additional Class A Ordinary Shares by which the Conversion Rate shall be increased per $1,000 principal amount of the Notes pursuant to this ‎Section 14.03 for each Share Price and Effective Date set forth below:</w:t>
      </w:r>
    </w:p>
    <w:p>
      <w:pPr>
        <w:pStyle w:val="TextBody"/>
        <w:bidi w:val="0"/>
        <w:spacing w:before="0" w:after="0"/>
        <w:ind w:left="720" w:right="0" w:firstLine="720"/>
        <w:jc w:val="left"/>
        <w:rPr>
          <w:caps w:val="false"/>
          <w:smallCaps w:val="false"/>
        </w:rPr>
      </w:pPr>
      <w:r>
        <w:rPr>
          <w:caps w:val="false"/>
          <w:smallCaps w:val="false"/>
        </w:rPr>
        <w:t> </w:t>
      </w:r>
    </w:p>
    <w:tbl>
      <w:tblPr>
        <w:tblW w:w="11855" w:type="dxa"/>
        <w:jc w:val="left"/>
        <w:tblInd w:w="0" w:type="dxa"/>
        <w:tblLayout w:type="fixed"/>
        <w:tblCellMar>
          <w:top w:w="0" w:type="dxa"/>
          <w:left w:w="0" w:type="dxa"/>
          <w:bottom w:w="0" w:type="dxa"/>
          <w:right w:w="0" w:type="dxa"/>
        </w:tblCellMar>
      </w:tblPr>
      <w:tblGrid>
        <w:gridCol w:w="920"/>
        <w:gridCol w:w="60"/>
        <w:gridCol w:w="60"/>
        <w:gridCol w:w="800"/>
        <w:gridCol w:w="60"/>
        <w:gridCol w:w="60"/>
        <w:gridCol w:w="60"/>
        <w:gridCol w:w="800"/>
        <w:gridCol w:w="60"/>
        <w:gridCol w:w="60"/>
        <w:gridCol w:w="60"/>
        <w:gridCol w:w="800"/>
        <w:gridCol w:w="60"/>
        <w:gridCol w:w="60"/>
        <w:gridCol w:w="60"/>
        <w:gridCol w:w="800"/>
        <w:gridCol w:w="60"/>
        <w:gridCol w:w="60"/>
        <w:gridCol w:w="60"/>
        <w:gridCol w:w="800"/>
        <w:gridCol w:w="60"/>
        <w:gridCol w:w="60"/>
        <w:gridCol w:w="60"/>
        <w:gridCol w:w="680"/>
        <w:gridCol w:w="60"/>
        <w:gridCol w:w="60"/>
        <w:gridCol w:w="60"/>
        <w:gridCol w:w="680"/>
        <w:gridCol w:w="60"/>
        <w:gridCol w:w="60"/>
        <w:gridCol w:w="60"/>
        <w:gridCol w:w="680"/>
        <w:gridCol w:w="60"/>
        <w:gridCol w:w="60"/>
        <w:gridCol w:w="60"/>
        <w:gridCol w:w="680"/>
        <w:gridCol w:w="60"/>
        <w:gridCol w:w="60"/>
        <w:gridCol w:w="60"/>
        <w:gridCol w:w="680"/>
        <w:gridCol w:w="60"/>
        <w:gridCol w:w="60"/>
        <w:gridCol w:w="60"/>
        <w:gridCol w:w="680"/>
        <w:gridCol w:w="60"/>
        <w:gridCol w:w="60"/>
        <w:gridCol w:w="60"/>
        <w:gridCol w:w="680"/>
        <w:gridCol w:w="75"/>
      </w:tblGrid>
      <w:tr>
        <w:trPr/>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00" w:type="dxa"/>
            <w:gridSpan w:val="46"/>
            <w:tcBorders>
              <w:bottom w:val="single" w:sz="12" w:space="0" w:color="000000"/>
            </w:tcBorders>
            <w:tcMar>
              <w:bottom w:w="28" w:type="dxa"/>
            </w:tcMar>
            <w:vAlign w:val="center"/>
          </w:tcPr>
          <w:p>
            <w:pPr>
              <w:pStyle w:val="TableContents"/>
              <w:bidi w:val="0"/>
              <w:spacing w:before="0" w:after="283"/>
              <w:jc w:val="center"/>
              <w:rPr>
                <w:b/>
              </w:rPr>
            </w:pPr>
            <w:r>
              <w:rPr>
                <w:b/>
              </w:rPr>
              <w:t>Class A Ordinary Share Price</w:t>
            </w:r>
          </w:p>
        </w:tc>
        <w:tc>
          <w:tcPr>
            <w:tcW w:w="75" w:type="dxa"/>
            <w:tcBorders/>
            <w:vAlign w:val="center"/>
          </w:tcPr>
          <w:p>
            <w:pPr>
              <w:pStyle w:val="TableContents"/>
              <w:bidi w:val="0"/>
              <w:spacing w:before="0" w:after="283"/>
              <w:jc w:val="left"/>
              <w:rPr/>
            </w:pPr>
            <w:r>
              <w:rPr/>
              <w:t> </w:t>
            </w:r>
          </w:p>
        </w:tc>
      </w:tr>
      <w:tr>
        <w:trPr/>
        <w:tc>
          <w:tcPr>
            <w:tcW w:w="920" w:type="dxa"/>
            <w:tcBorders>
              <w:bottom w:val="single" w:sz="12" w:space="0" w:color="000000"/>
            </w:tcBorders>
            <w:tcMar>
              <w:bottom w:w="28" w:type="dxa"/>
            </w:tcMar>
            <w:vAlign w:val="center"/>
          </w:tcPr>
          <w:p>
            <w:pPr>
              <w:pStyle w:val="TableContents"/>
              <w:bidi w:val="0"/>
              <w:spacing w:before="0" w:after="283"/>
              <w:jc w:val="center"/>
              <w:rPr>
                <w:b/>
              </w:rPr>
            </w:pPr>
            <w:r>
              <w:rPr>
                <w:b/>
              </w:rPr>
              <w:t>Effective Date</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pPr>
            <w:r>
              <w:rPr/>
              <w:t>US $7.94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pPr>
            <w:r>
              <w:rPr/>
              <w:t>US $8.50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pPr>
            <w:r>
              <w:rPr/>
              <w:t>US $9.925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pPr>
            <w:r>
              <w:rPr/>
              <w:t>US $11.00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pPr>
            <w:r>
              <w:rPr/>
              <w:t>US $12.90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pPr>
            <w:r>
              <w:rPr/>
              <w:t>US $15.00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pPr>
            <w:r>
              <w:rPr/>
              <w:t>US $18.00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pPr>
            <w:r>
              <w:rPr/>
              <w:t>US $25.00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pPr>
            <w:r>
              <w:rPr/>
              <w:t>US $30.00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pPr>
            <w:r>
              <w:rPr/>
              <w:t>US $40.00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pPr>
            <w:r>
              <w:rPr/>
              <w:t>US $60.00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pPr>
            <w:r>
              <w:rPr/>
              <w:t>US $80.00</w:t>
            </w:r>
          </w:p>
        </w:tc>
        <w:tc>
          <w:tcPr>
            <w:tcW w:w="75" w:type="dxa"/>
            <w:tcBorders/>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283"/>
              <w:jc w:val="left"/>
              <w:rPr/>
            </w:pPr>
            <w:r>
              <w:rPr/>
              <w:t>February 24,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25.1888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24.6259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18.7446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15.5782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11.6132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8.7073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6.0406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2.8884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1.7787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0.6568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0.0053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0.0000</w:t>
            </w:r>
          </w:p>
        </w:tc>
        <w:tc>
          <w:tcPr>
            <w:tcW w:w="75" w:type="dxa"/>
            <w:tcBorders/>
            <w:shd w:fill="CCEEFF" w:val="clear"/>
            <w:vAlign w:val="center"/>
          </w:tcPr>
          <w:p>
            <w:pPr>
              <w:pStyle w:val="TableContents"/>
              <w:bidi w:val="0"/>
              <w:spacing w:before="0" w:after="283"/>
              <w:jc w:val="left"/>
              <w:rPr/>
            </w:pPr>
            <w:r>
              <w:rPr/>
              <w:t> </w:t>
            </w:r>
          </w:p>
        </w:tc>
      </w:tr>
      <w:tr>
        <w:trPr/>
        <w:tc>
          <w:tcPr>
            <w:tcW w:w="920" w:type="dxa"/>
            <w:tcBorders/>
            <w:shd w:fill="FFFFFF" w:val="clear"/>
            <w:vAlign w:val="center"/>
          </w:tcPr>
          <w:p>
            <w:pPr>
              <w:pStyle w:val="TableContents"/>
              <w:bidi w:val="0"/>
              <w:spacing w:before="0" w:after="283"/>
              <w:jc w:val="left"/>
              <w:rPr/>
            </w:pPr>
            <w:r>
              <w:rPr/>
              <w:t>March 1, 2027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25.1888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24.6259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18.7446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15.4500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11.3209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8.3693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5.7267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2.6928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1.6473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0.6010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0.0053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0.0000</w:t>
            </w:r>
          </w:p>
        </w:tc>
        <w:tc>
          <w:tcPr>
            <w:tcW w:w="75" w:type="dxa"/>
            <w:tcBorders/>
            <w:shd w:fill="FFFFFF" w:val="clear"/>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283"/>
              <w:jc w:val="left"/>
              <w:rPr/>
            </w:pPr>
            <w:r>
              <w:rPr/>
              <w:t>March 1, 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25.1888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24.6259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18.4413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14.8655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10.6155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7.6920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5.1672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2.3796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1.4433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0.5165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0.0048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0.0000</w:t>
            </w:r>
          </w:p>
        </w:tc>
        <w:tc>
          <w:tcPr>
            <w:tcW w:w="75" w:type="dxa"/>
            <w:tcBorders/>
            <w:shd w:fill="CCEEFF" w:val="clear"/>
            <w:vAlign w:val="center"/>
          </w:tcPr>
          <w:p>
            <w:pPr>
              <w:pStyle w:val="TableContents"/>
              <w:bidi w:val="0"/>
              <w:spacing w:before="0" w:after="283"/>
              <w:jc w:val="left"/>
              <w:rPr/>
            </w:pPr>
            <w:r>
              <w:rPr/>
              <w:t> </w:t>
            </w:r>
          </w:p>
        </w:tc>
      </w:tr>
      <w:tr>
        <w:trPr/>
        <w:tc>
          <w:tcPr>
            <w:tcW w:w="920" w:type="dxa"/>
            <w:tcBorders/>
            <w:shd w:fill="FFFFFF" w:val="clear"/>
            <w:vAlign w:val="center"/>
          </w:tcPr>
          <w:p>
            <w:pPr>
              <w:pStyle w:val="TableContents"/>
              <w:bidi w:val="0"/>
              <w:spacing w:before="0" w:after="283"/>
              <w:jc w:val="left"/>
              <w:rPr/>
            </w:pPr>
            <w:r>
              <w:rPr/>
              <w:t>March 1, 2029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25.1888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24.6259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17.3501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13.5927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9.3643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6.6200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4.3600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1.9712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1.1860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0.4125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0.0013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0.0000</w:t>
            </w:r>
          </w:p>
        </w:tc>
        <w:tc>
          <w:tcPr>
            <w:tcW w:w="75" w:type="dxa"/>
            <w:tcBorders/>
            <w:shd w:fill="FFFFFF" w:val="clear"/>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283"/>
              <w:jc w:val="left"/>
              <w:rPr/>
            </w:pPr>
            <w:r>
              <w:rPr/>
              <w:t>March 1, 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25.1888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20.9494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14.3214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11.0727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7.4233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5.1047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3.2711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1.4456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0.8640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0.2883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0.0000</w:t>
            </w:r>
          </w:p>
        </w:tc>
        <w:tc>
          <w:tcPr>
            <w:tcW w:w="75" w:type="dxa"/>
            <w:tcBorders/>
            <w:shd w:fill="CCEEFF" w:val="clear"/>
            <w:vAlign w:val="center"/>
          </w:tcPr>
          <w:p>
            <w:pPr>
              <w:pStyle w:val="TableContents"/>
              <w:bidi w:val="0"/>
              <w:spacing w:before="0" w:after="283"/>
              <w:jc w:val="left"/>
              <w:rPr/>
            </w:pPr>
            <w:r>
              <w:rPr/>
              <w:t> </w:t>
            </w:r>
          </w:p>
        </w:tc>
      </w:tr>
      <w:tr>
        <w:trPr/>
        <w:tc>
          <w:tcPr>
            <w:tcW w:w="920" w:type="dxa"/>
            <w:tcBorders/>
            <w:shd w:fill="FFFFFF" w:val="clear"/>
            <w:vAlign w:val="center"/>
          </w:tcPr>
          <w:p>
            <w:pPr>
              <w:pStyle w:val="TableContents"/>
              <w:bidi w:val="0"/>
              <w:spacing w:before="0" w:after="283"/>
              <w:jc w:val="left"/>
              <w:rPr/>
            </w:pPr>
            <w:r>
              <w:rPr/>
              <w:t>March 1, 2031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25.1888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19.4976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11.6413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8.1536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4.7287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2.9340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1.7672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0.7852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0.4760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0.1503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0.0000</w:t>
            </w:r>
          </w:p>
        </w:tc>
        <w:tc>
          <w:tcPr>
            <w:tcW w:w="75" w:type="dxa"/>
            <w:tcBorders/>
            <w:shd w:fill="FFFFFF" w:val="clear"/>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283"/>
              <w:jc w:val="left"/>
              <w:rPr/>
            </w:pPr>
            <w:r>
              <w:rPr/>
              <w:t>March 1, 2032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25.1888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16.8913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0.0000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exact Share Price and Effective Date may not be set forth in the table above, in which case:</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Share Price is between two Share Prices in the table above or the Effective Date is between two Effective Dates in the table above, the number of Additional Class A Ordinary Shares by which the Conversion Rate shall be increased shall be determined by a straight-line interpolation between the number of Additional Class A Ordinary Shares set forth for the higher and lower Share Prices and the earlier and later Effective Dates, as applicable, based on a 365-day year;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Share Price is greater than $80.00 per share (subject to adjustment in the same manner as the Share Prices set forth in the column headings of the table above pursuant to subsection ‎ (d) above), no Additional Class A Ordinary Shares shall be added to the Conversion Rate;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the Share Price is less than $7.94 per share (subject to adjustment in the same manner as the Share Prices set forth in the column headings of the table above pursuant to subsection ‎ (d) above), no Additional Class A Ordinary Shares shall be added to the Conversion Rate.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 no event shall the Conversion Rate per $1,000 principal amount of Notes exceed 125.9445 Class A Ordinary Shares, subject to adjustment in the same manner as the Conversion Rate pursuant to ‎Section 14.05.</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Trustee nor any of the agents shall have any duty to monitor the accuracy of any of the calculations made by the Company which will be conclusive and binding on the Holders, absent manifest error.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Nothing in this Section 14.03 shall prevent an adjustment to the Conversion Rate pursuant to ‎Section 14.05 in respect of a Make-Whole Fundamental Change.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14.04   </w:t>
      </w:r>
      <w:r>
        <w:rPr>
          <w:rFonts w:ascii="Times New Roman;Times;Serif" w:hAnsi="Times New Roman;Times;Serif"/>
          <w:b w:val="false"/>
          <w:i/>
          <w:caps w:val="false"/>
          <w:smallCaps w:val="false"/>
          <w:sz w:val="20"/>
        </w:rPr>
        <w:t xml:space="preserve">Adjustment to Conversion Rate upon Conversion in Connection with a Redemption. </w:t>
      </w:r>
      <w:r>
        <w:rPr>
          <w:rFonts w:ascii="Times New Roman;Times;Serif" w:hAnsi="Times New Roman;Times;Serif"/>
          <w:b w:val="false"/>
          <w:i w:val="false"/>
          <w:caps w:val="false"/>
          <w:smallCaps w:val="false"/>
          <w:sz w:val="20"/>
        </w:rPr>
        <w:t>If a Holder elects to convert its Called Notes in connection with a Redemption, the Company will, under certain circumstances, increase the Conversion Rate for the Notes so surrendered for conversion by a number of Additional Class A Ordinary Shares as described below. The Company will settle conversions of Notes and, for the avoidance of doubt, pay Additional Amounts, if any, with respect to any such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conversion of Called Notes shall be deemed to be in connection with a Redemption if such conversion occurs during the related Redemption Period. In the event that a conversion of Called Notes in connection with a Redemption would also be deemed to be in connection with a Make-Whole Fundamental Change or any other Redemption, a Holder of the Notes to be converted will be entitled to a single increase to the Conversion Rate with respect to the first to occur of the applicable Redemption Notice and the Effective Date of the applicable Make-Whole Fundamental Change, and the later event will be deemed not to have occurred for purposes of Section 14.03 or this Section 14.04,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if the Company issues a Redemption Notice in connection with an Optional Redemption, the Company will increase the Conversion Rate during the related Redemption Period only with respect to conversions of Called Notes. Accordingly, if the Company elects to redeem fewer than all of the outstanding Notes in connection with an Optional Redemption, Holders will not be entitled to convert the Notes that are neither called for Redemption nor deemed to be called for Redemption on account of the Redemption Notice and will not be entitled to an increased Conversion Rate for conversions of such Notes on account of the Redemption Notice during the related Redemption Period, even if such Notes are otherwise convertible.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Additional Class A Ordinary Shares by which the Conversion Rate will be increased in the event of conversion of Notes called for Redemption in connection with a Redemption will be determined by reference to the table in Section 14.03(e), based on the Redemption Reference Date and the Redemption Reference Price, but determined for purposes of this Section 14.04 as if (x) the Holder had elected to convert its Notes called for Redemption in connection with a Make-Whole Fundamental Change, (y) the applicable Redemption Reference Date were the “Effective Date” and (z) the applicable Redemption Reference Price were the Share Price (and subject, for the avoidance of doubt, to the two paragraphs immediately following such table).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Trustee nor any of the agents shall have any duty to monitor the accuracy of any of the calculations made by the Company which will be conclusive and binding on the Holders, absent manifest error.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14.05   </w:t>
      </w:r>
      <w:r>
        <w:rPr>
          <w:rFonts w:ascii="Times New Roman;Times;Serif" w:hAnsi="Times New Roman;Times;Serif"/>
          <w:b w:val="false"/>
          <w:i/>
          <w:caps w:val="false"/>
          <w:smallCaps w:val="false"/>
          <w:sz w:val="20"/>
        </w:rPr>
        <w:t>Adjustment of Conversion Rate.</w:t>
      </w:r>
      <w:r>
        <w:rPr>
          <w:rFonts w:ascii="Times New Roman;Times;Serif" w:hAnsi="Times New Roman;Times;Serif"/>
          <w:b w:val="false"/>
          <w:i w:val="false"/>
          <w:caps w:val="false"/>
          <w:smallCaps w:val="false"/>
          <w:sz w:val="20"/>
        </w:rPr>
        <w:t xml:space="preserve"> The Conversion Rate shall be adjusted from time to time by the Company if any of the following events occurs, except that the Company shall not make any adjustments to the Conversion Rate if Holders participate (other than in the case of (x) a share split or share combination or (y) a tender or exchange offer), at the same time and upon the same terms as holders of the Class A Ordinary Shares and solely as a result of holding the Notes, in any of the transactions described in this ‎Section 14.05, without having to convert their Notes as if they held a number of Class A Ordinary Shares equal to the Conversion Rate,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the principal amount (expressed in thousands) of Notes held by such Holder. Neither the Trustee nor the Conversion Agent shall have any responsibility to monitor the accuracy of any calculation of any adjustment to the Conversion Rate and the same shall be conclusive and binding on the Holders, absent manifest error. Notice of such adjustment to the Conversion Rate will be given by the Company promptly in writing to the Holders, the Trustee and the Conversion Agent (if other than the Trustee) and shall be conclusive and binding on the Holders, absent manifest error.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left"/>
        <w:rPr/>
      </w:pPr>
      <w:r>
        <w:rPr/>
        <w:t>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Company exclusively issues Class A Ordinary Shares as a dividend or distribution on Class A Ordinary Shares, or if the Company effects a share split or share combination, the Conversion Rate shall be adjusted based on the following formula: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152525" cy="409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0"/>
                    <a:stretch>
                      <a:fillRect/>
                    </a:stretch>
                  </pic:blipFill>
                  <pic:spPr bwMode="auto">
                    <a:xfrm>
                      <a:off x="0" y="0"/>
                      <a:ext cx="1152525" cy="4095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1260" w:right="0" w:hanging="12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0"/>
        <w:gridCol w:w="155"/>
        <w:gridCol w:w="9580"/>
      </w:tblGrid>
      <w:tr>
        <w:trPr/>
        <w:tc>
          <w:tcPr>
            <w:tcW w:w="470" w:type="dxa"/>
            <w:tcBorders/>
            <w:vAlign w:val="center"/>
          </w:tcPr>
          <w:p>
            <w:pPr>
              <w:pStyle w:val="TableContents"/>
              <w:bidi w:val="0"/>
              <w:spacing w:before="0" w:after="283"/>
              <w:jc w:val="left"/>
              <w:rPr/>
            </w:pPr>
            <w:r>
              <w:rPr/>
              <w:t>CR</w:t>
            </w:r>
            <w:r>
              <w:rPr>
                <w:position w:val="-2"/>
                <w:sz w:val="19"/>
              </w:rPr>
              <w:t>0</w:t>
            </w:r>
          </w:p>
        </w:tc>
        <w:tc>
          <w:tcPr>
            <w:tcW w:w="155" w:type="dxa"/>
            <w:tcBorders/>
            <w:vAlign w:val="center"/>
          </w:tcPr>
          <w:p>
            <w:pPr>
              <w:pStyle w:val="TableContents"/>
              <w:bidi w:val="0"/>
              <w:spacing w:before="0" w:after="283"/>
              <w:jc w:val="center"/>
              <w:rPr/>
            </w:pPr>
            <w:r>
              <w:rPr/>
              <w:t>=</w:t>
            </w:r>
          </w:p>
        </w:tc>
        <w:tc>
          <w:tcPr>
            <w:tcW w:w="9580" w:type="dxa"/>
            <w:tcBorders/>
            <w:vAlign w:val="center"/>
          </w:tcPr>
          <w:p>
            <w:pPr>
              <w:pStyle w:val="TableContents"/>
              <w:bidi w:val="0"/>
              <w:spacing w:before="0" w:after="283"/>
              <w:jc w:val="both"/>
              <w:rPr/>
            </w:pPr>
            <w:r>
              <w:rPr/>
              <w:t>the Conversion Rate in effect immediately prior to the open of business on the Ex-Dividend Date of such dividend or distribution, or immediately prior to the open of business on the Effective Date of such share split or share combination, as applicable;</w:t>
            </w:r>
          </w:p>
        </w:tc>
      </w:tr>
    </w:tbl>
    <w:p>
      <w:pPr>
        <w:pStyle w:val="TextBody"/>
        <w:bidi w:val="0"/>
        <w:spacing w:before="0" w:after="0"/>
        <w:ind w:left="1260" w:right="0" w:hanging="12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0"/>
        <w:gridCol w:w="155"/>
        <w:gridCol w:w="9580"/>
      </w:tblGrid>
      <w:tr>
        <w:trPr/>
        <w:tc>
          <w:tcPr>
            <w:tcW w:w="470" w:type="dxa"/>
            <w:tcBorders/>
            <w:vAlign w:val="center"/>
          </w:tcPr>
          <w:p>
            <w:pPr>
              <w:pStyle w:val="TableContents"/>
              <w:bidi w:val="0"/>
              <w:spacing w:before="0" w:after="283"/>
              <w:jc w:val="left"/>
              <w:rPr/>
            </w:pPr>
            <w:r>
              <w:rPr/>
              <w:t>CR</w:t>
            </w:r>
            <w:r>
              <w:rPr>
                <w:position w:val="-2"/>
                <w:sz w:val="19"/>
              </w:rPr>
              <w:t>1</w:t>
            </w:r>
          </w:p>
        </w:tc>
        <w:tc>
          <w:tcPr>
            <w:tcW w:w="155" w:type="dxa"/>
            <w:tcBorders/>
            <w:vAlign w:val="center"/>
          </w:tcPr>
          <w:p>
            <w:pPr>
              <w:pStyle w:val="TableContents"/>
              <w:bidi w:val="0"/>
              <w:spacing w:before="0" w:after="283"/>
              <w:jc w:val="center"/>
              <w:rPr/>
            </w:pPr>
            <w:r>
              <w:rPr/>
              <w:t>=</w:t>
            </w:r>
          </w:p>
        </w:tc>
        <w:tc>
          <w:tcPr>
            <w:tcW w:w="9580" w:type="dxa"/>
            <w:tcBorders/>
            <w:vAlign w:val="center"/>
          </w:tcPr>
          <w:p>
            <w:pPr>
              <w:pStyle w:val="TableContents"/>
              <w:bidi w:val="0"/>
              <w:spacing w:before="0" w:after="283"/>
              <w:jc w:val="both"/>
              <w:rPr/>
            </w:pPr>
            <w:r>
              <w:rPr/>
              <w:t>the Conversion Rate in effect immediately after the open of business on such Ex-Dividend Date or Effective Date, as applicable;</w:t>
            </w:r>
          </w:p>
        </w:tc>
      </w:tr>
    </w:tbl>
    <w:p>
      <w:pPr>
        <w:pStyle w:val="TextBody"/>
        <w:bidi w:val="0"/>
        <w:spacing w:before="0" w:after="0"/>
        <w:ind w:left="1260" w:right="0" w:hanging="12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155"/>
        <w:gridCol w:w="9595"/>
      </w:tblGrid>
      <w:tr>
        <w:trPr/>
        <w:tc>
          <w:tcPr>
            <w:tcW w:w="455" w:type="dxa"/>
            <w:tcBorders/>
            <w:vAlign w:val="center"/>
          </w:tcPr>
          <w:p>
            <w:pPr>
              <w:pStyle w:val="TableContents"/>
              <w:bidi w:val="0"/>
              <w:spacing w:before="0" w:after="283"/>
              <w:jc w:val="left"/>
              <w:rPr/>
            </w:pPr>
            <w:r>
              <w:rPr/>
              <w:t>OS</w:t>
            </w:r>
            <w:r>
              <w:rPr>
                <w:position w:val="-2"/>
                <w:sz w:val="19"/>
              </w:rPr>
              <w:t>0</w:t>
            </w:r>
          </w:p>
        </w:tc>
        <w:tc>
          <w:tcPr>
            <w:tcW w:w="155" w:type="dxa"/>
            <w:tcBorders/>
            <w:vAlign w:val="center"/>
          </w:tcPr>
          <w:p>
            <w:pPr>
              <w:pStyle w:val="TableContents"/>
              <w:bidi w:val="0"/>
              <w:spacing w:before="0" w:after="283"/>
              <w:jc w:val="center"/>
              <w:rPr/>
            </w:pPr>
            <w:r>
              <w:rPr/>
              <w:t>=</w:t>
            </w:r>
          </w:p>
        </w:tc>
        <w:tc>
          <w:tcPr>
            <w:tcW w:w="9595" w:type="dxa"/>
            <w:tcBorders/>
            <w:vAlign w:val="center"/>
          </w:tcPr>
          <w:p>
            <w:pPr>
              <w:pStyle w:val="TableContents"/>
              <w:bidi w:val="0"/>
              <w:spacing w:before="0" w:after="283"/>
              <w:jc w:val="both"/>
              <w:rPr/>
            </w:pPr>
            <w:r>
              <w:rPr/>
              <w:t>the number of Class A Ordinary Shares issued and outstanding immediately prior to the open of business on such Ex-Dividend Date or Effective Date, as applicable (before giving effect to any such dividend, distribution, split or combination); and</w:t>
            </w:r>
          </w:p>
        </w:tc>
      </w:tr>
    </w:tbl>
    <w:p>
      <w:pPr>
        <w:pStyle w:val="TextBody"/>
        <w:bidi w:val="0"/>
        <w:spacing w:before="0" w:after="0"/>
        <w:ind w:left="1260" w:right="0" w:hanging="12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155"/>
        <w:gridCol w:w="9595"/>
      </w:tblGrid>
      <w:tr>
        <w:trPr/>
        <w:tc>
          <w:tcPr>
            <w:tcW w:w="455" w:type="dxa"/>
            <w:tcBorders/>
            <w:vAlign w:val="center"/>
          </w:tcPr>
          <w:p>
            <w:pPr>
              <w:pStyle w:val="TableContents"/>
              <w:bidi w:val="0"/>
              <w:spacing w:before="0" w:after="283"/>
              <w:jc w:val="left"/>
              <w:rPr/>
            </w:pPr>
            <w:r>
              <w:rPr/>
              <w:t>OS</w:t>
            </w:r>
            <w:r>
              <w:rPr>
                <w:position w:val="-2"/>
                <w:sz w:val="19"/>
              </w:rPr>
              <w:t>1</w:t>
            </w:r>
          </w:p>
        </w:tc>
        <w:tc>
          <w:tcPr>
            <w:tcW w:w="155" w:type="dxa"/>
            <w:tcBorders/>
            <w:vAlign w:val="center"/>
          </w:tcPr>
          <w:p>
            <w:pPr>
              <w:pStyle w:val="TableContents"/>
              <w:bidi w:val="0"/>
              <w:spacing w:before="0" w:after="283"/>
              <w:jc w:val="center"/>
              <w:rPr/>
            </w:pPr>
            <w:r>
              <w:rPr/>
              <w:t>=</w:t>
            </w:r>
          </w:p>
        </w:tc>
        <w:tc>
          <w:tcPr>
            <w:tcW w:w="9595" w:type="dxa"/>
            <w:tcBorders/>
            <w:vAlign w:val="center"/>
          </w:tcPr>
          <w:p>
            <w:pPr>
              <w:pStyle w:val="TableContents"/>
              <w:bidi w:val="0"/>
              <w:spacing w:before="0" w:after="283"/>
              <w:jc w:val="both"/>
              <w:rPr/>
            </w:pPr>
            <w:r>
              <w:rPr/>
              <w:t>the number of Class A Ordinary Shares issued and outstanding immediately after giving effect to such dividend, distribution, share split or share combination.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adjustment made under this ‎Section 14.05(a) shall become effective immediately after the open of business on the Ex-Dividend Date for such dividend or distribution, or immediately after the open of business on the Effective Date for such share split or share combination, as applicable. If any dividend or distribution of the type described in this ‎Section 14.05(a) is declared but not so paid or made, the Conversion Rate shall be immediately readjusted, effective as of the date the Board of Directors determines not to pay such dividend or distribution, to the Conversion Rate that would then be in effect if such dividend or distribution had not been declared.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hanging="0"/>
        <w:jc w:val="left"/>
        <w:rPr/>
      </w:pPr>
      <w:r>
        <w:rPr/>
        <w:t>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Company distributes to all or substantially all holders of Class A Ordinary Shares any rights, options or warrants (other than in connection with a shareholder rights plan) entitling them, for a period of not more than forty-five (45) calendar days after the announcement date of such distribution, to subscribe for or purchase Class A Ordinary Shares at a price per share that is less than the average of the Last Reported Sale Prices of the Class A Ordinary Shares, for the ten (10) consecutive Trading Day period ending on, and including, the Trading Day immediately preceding the date of announcement of such distribution, the Conversion Rate shall be increased based on the following formula: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419225" cy="409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1"/>
                    <a:stretch>
                      <a:fillRect/>
                    </a:stretch>
                  </pic:blipFill>
                  <pic:spPr bwMode="auto">
                    <a:xfrm>
                      <a:off x="0" y="0"/>
                      <a:ext cx="1419225" cy="4095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1260" w:right="0" w:hanging="12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0"/>
        <w:gridCol w:w="155"/>
        <w:gridCol w:w="9580"/>
      </w:tblGrid>
      <w:tr>
        <w:trPr/>
        <w:tc>
          <w:tcPr>
            <w:tcW w:w="470" w:type="dxa"/>
            <w:tcBorders/>
            <w:vAlign w:val="center"/>
          </w:tcPr>
          <w:p>
            <w:pPr>
              <w:pStyle w:val="TableContents"/>
              <w:bidi w:val="0"/>
              <w:spacing w:before="0" w:after="283"/>
              <w:jc w:val="left"/>
              <w:rPr/>
            </w:pPr>
            <w:r>
              <w:rPr/>
              <w:t>CR</w:t>
            </w:r>
            <w:r>
              <w:rPr>
                <w:position w:val="-2"/>
                <w:sz w:val="19"/>
              </w:rPr>
              <w:t>0</w:t>
            </w:r>
          </w:p>
        </w:tc>
        <w:tc>
          <w:tcPr>
            <w:tcW w:w="155" w:type="dxa"/>
            <w:tcBorders/>
            <w:vAlign w:val="center"/>
          </w:tcPr>
          <w:p>
            <w:pPr>
              <w:pStyle w:val="TableContents"/>
              <w:bidi w:val="0"/>
              <w:spacing w:before="0" w:after="283"/>
              <w:jc w:val="center"/>
              <w:rPr/>
            </w:pPr>
            <w:r>
              <w:rPr/>
              <w:t>=</w:t>
            </w:r>
          </w:p>
        </w:tc>
        <w:tc>
          <w:tcPr>
            <w:tcW w:w="9580" w:type="dxa"/>
            <w:tcBorders/>
            <w:vAlign w:val="center"/>
          </w:tcPr>
          <w:p>
            <w:pPr>
              <w:pStyle w:val="TableContents"/>
              <w:bidi w:val="0"/>
              <w:spacing w:before="0" w:after="283"/>
              <w:jc w:val="both"/>
              <w:rPr/>
            </w:pPr>
            <w:r>
              <w:rPr/>
              <w:t>the Conversion Rate in effect immediately prior to the open of business on the Ex-Dividend Date for such distribution;</w:t>
            </w:r>
          </w:p>
        </w:tc>
      </w:tr>
    </w:tbl>
    <w:p>
      <w:pPr>
        <w:pStyle w:val="TextBody"/>
        <w:bidi w:val="0"/>
        <w:spacing w:before="0" w:after="0"/>
        <w:ind w:left="1260" w:right="0" w:hanging="1260"/>
        <w:jc w:val="left"/>
        <w:rPr>
          <w:caps w:val="false"/>
          <w:smallCaps w:val="false"/>
        </w:rPr>
      </w:pPr>
      <w:r>
        <w:rPr>
          <w:caps w:val="false"/>
          <w:smallCaps w:val="false"/>
        </w:rPr>
        <w:t> </w:t>
      </w:r>
    </w:p>
    <w:tbl>
      <w:tblPr>
        <w:tblW w:w="9750" w:type="dxa"/>
        <w:jc w:val="left"/>
        <w:tblInd w:w="0" w:type="dxa"/>
        <w:tblLayout w:type="fixed"/>
        <w:tblCellMar>
          <w:top w:w="0" w:type="dxa"/>
          <w:left w:w="0" w:type="dxa"/>
          <w:bottom w:w="0" w:type="dxa"/>
          <w:right w:w="0" w:type="dxa"/>
        </w:tblCellMar>
      </w:tblPr>
      <w:tblGrid>
        <w:gridCol w:w="470"/>
        <w:gridCol w:w="155"/>
        <w:gridCol w:w="9125"/>
      </w:tblGrid>
      <w:tr>
        <w:trPr/>
        <w:tc>
          <w:tcPr>
            <w:tcW w:w="470" w:type="dxa"/>
            <w:tcBorders/>
            <w:vAlign w:val="center"/>
          </w:tcPr>
          <w:p>
            <w:pPr>
              <w:pStyle w:val="TableContents"/>
              <w:bidi w:val="0"/>
              <w:spacing w:before="0" w:after="283"/>
              <w:jc w:val="left"/>
              <w:rPr/>
            </w:pPr>
            <w:r>
              <w:rPr/>
              <w:t>CR</w:t>
            </w:r>
            <w:r>
              <w:rPr>
                <w:position w:val="-2"/>
                <w:sz w:val="19"/>
              </w:rPr>
              <w:t>1</w:t>
            </w:r>
          </w:p>
        </w:tc>
        <w:tc>
          <w:tcPr>
            <w:tcW w:w="155" w:type="dxa"/>
            <w:tcBorders/>
            <w:vAlign w:val="center"/>
          </w:tcPr>
          <w:p>
            <w:pPr>
              <w:pStyle w:val="TableContents"/>
              <w:bidi w:val="0"/>
              <w:spacing w:before="0" w:after="283"/>
              <w:jc w:val="center"/>
              <w:rPr/>
            </w:pPr>
            <w:r>
              <w:rPr/>
              <w:t>=</w:t>
            </w:r>
          </w:p>
        </w:tc>
        <w:tc>
          <w:tcPr>
            <w:tcW w:w="9125" w:type="dxa"/>
            <w:tcBorders/>
            <w:vAlign w:val="center"/>
          </w:tcPr>
          <w:p>
            <w:pPr>
              <w:pStyle w:val="TableContents"/>
              <w:bidi w:val="0"/>
              <w:spacing w:before="0" w:after="283"/>
              <w:jc w:val="both"/>
              <w:rPr/>
            </w:pPr>
            <w:r>
              <w:rPr/>
              <w:t>the Conversion Rate in effect immediately after the open of business on such Ex-Dividend Date;</w:t>
            </w:r>
          </w:p>
        </w:tc>
      </w:tr>
    </w:tbl>
    <w:p>
      <w:pPr>
        <w:pStyle w:val="TextBody"/>
        <w:bidi w:val="0"/>
        <w:spacing w:before="0" w:after="0"/>
        <w:ind w:left="1260" w:right="0" w:hanging="12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155"/>
        <w:gridCol w:w="9595"/>
      </w:tblGrid>
      <w:tr>
        <w:trPr/>
        <w:tc>
          <w:tcPr>
            <w:tcW w:w="455" w:type="dxa"/>
            <w:tcBorders/>
            <w:vAlign w:val="center"/>
          </w:tcPr>
          <w:p>
            <w:pPr>
              <w:pStyle w:val="TableContents"/>
              <w:bidi w:val="0"/>
              <w:spacing w:before="0" w:after="283"/>
              <w:jc w:val="left"/>
              <w:rPr/>
            </w:pPr>
            <w:r>
              <w:rPr/>
              <w:t>OS</w:t>
            </w:r>
            <w:r>
              <w:rPr>
                <w:position w:val="-2"/>
                <w:sz w:val="19"/>
              </w:rPr>
              <w:t>0</w:t>
            </w:r>
          </w:p>
        </w:tc>
        <w:tc>
          <w:tcPr>
            <w:tcW w:w="155" w:type="dxa"/>
            <w:tcBorders/>
            <w:vAlign w:val="center"/>
          </w:tcPr>
          <w:p>
            <w:pPr>
              <w:pStyle w:val="TableContents"/>
              <w:bidi w:val="0"/>
              <w:spacing w:before="0" w:after="283"/>
              <w:jc w:val="center"/>
              <w:rPr/>
            </w:pPr>
            <w:r>
              <w:rPr/>
              <w:t>=</w:t>
            </w:r>
          </w:p>
        </w:tc>
        <w:tc>
          <w:tcPr>
            <w:tcW w:w="9595" w:type="dxa"/>
            <w:tcBorders/>
            <w:vAlign w:val="center"/>
          </w:tcPr>
          <w:p>
            <w:pPr>
              <w:pStyle w:val="TableContents"/>
              <w:bidi w:val="0"/>
              <w:spacing w:before="0" w:after="283"/>
              <w:jc w:val="both"/>
              <w:rPr/>
            </w:pPr>
            <w:r>
              <w:rPr/>
              <w:t>the number of Class A Ordinary Shares issued and outstanding immediately prior to the open of business on such Ex-Dividend Date;</w:t>
            </w:r>
          </w:p>
        </w:tc>
      </w:tr>
    </w:tbl>
    <w:p>
      <w:pPr>
        <w:pStyle w:val="TextBody"/>
        <w:bidi w:val="0"/>
        <w:spacing w:before="0" w:after="283"/>
        <w:jc w:val="left"/>
        <w:rPr/>
      </w:pPr>
      <w:r>
        <w:rPr/>
        <w:t> </w:t>
      </w:r>
    </w:p>
    <w:tbl>
      <w:tblPr>
        <w:tblW w:w="8790" w:type="dxa"/>
        <w:jc w:val="left"/>
        <w:tblInd w:w="0" w:type="dxa"/>
        <w:tblLayout w:type="fixed"/>
        <w:tblCellMar>
          <w:top w:w="0" w:type="dxa"/>
          <w:left w:w="0" w:type="dxa"/>
          <w:bottom w:w="0" w:type="dxa"/>
          <w:right w:w="0" w:type="dxa"/>
        </w:tblCellMar>
      </w:tblPr>
      <w:tblGrid>
        <w:gridCol w:w="170"/>
        <w:gridCol w:w="155"/>
        <w:gridCol w:w="8465"/>
      </w:tblGrid>
      <w:tr>
        <w:trPr/>
        <w:tc>
          <w:tcPr>
            <w:tcW w:w="170" w:type="dxa"/>
            <w:tcBorders/>
            <w:vAlign w:val="center"/>
          </w:tcPr>
          <w:p>
            <w:pPr>
              <w:pStyle w:val="TableContents"/>
              <w:bidi w:val="0"/>
              <w:spacing w:before="0" w:after="283"/>
              <w:jc w:val="left"/>
              <w:rPr>
                <w:sz w:val="20"/>
              </w:rPr>
            </w:pPr>
            <w:r>
              <w:rPr>
                <w:sz w:val="20"/>
              </w:rPr>
              <w:t>X</w:t>
            </w:r>
          </w:p>
        </w:tc>
        <w:tc>
          <w:tcPr>
            <w:tcW w:w="155" w:type="dxa"/>
            <w:tcBorders/>
            <w:vAlign w:val="center"/>
          </w:tcPr>
          <w:p>
            <w:pPr>
              <w:pStyle w:val="TableContents"/>
              <w:bidi w:val="0"/>
              <w:spacing w:before="0" w:after="283"/>
              <w:jc w:val="center"/>
              <w:rPr/>
            </w:pPr>
            <w:r>
              <w:rPr/>
              <w:t>=</w:t>
            </w:r>
          </w:p>
        </w:tc>
        <w:tc>
          <w:tcPr>
            <w:tcW w:w="8465" w:type="dxa"/>
            <w:tcBorders/>
            <w:vAlign w:val="center"/>
          </w:tcPr>
          <w:p>
            <w:pPr>
              <w:pStyle w:val="TableContents"/>
              <w:bidi w:val="0"/>
              <w:spacing w:before="0" w:after="283"/>
              <w:jc w:val="left"/>
              <w:rPr>
                <w:sz w:val="20"/>
              </w:rPr>
            </w:pPr>
            <w:r>
              <w:rPr>
                <w:sz w:val="20"/>
              </w:rPr>
              <w:t>the total number of Class A Ordinary Shares deliverable pursuant to such rights, options or warrants;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55"/>
        <w:gridCol w:w="9880"/>
      </w:tblGrid>
      <w:tr>
        <w:trPr/>
        <w:tc>
          <w:tcPr>
            <w:tcW w:w="170" w:type="dxa"/>
            <w:tcBorders/>
            <w:vAlign w:val="center"/>
          </w:tcPr>
          <w:p>
            <w:pPr>
              <w:pStyle w:val="TableContents"/>
              <w:bidi w:val="0"/>
              <w:spacing w:before="0" w:after="283"/>
              <w:jc w:val="left"/>
              <w:rPr>
                <w:sz w:val="20"/>
              </w:rPr>
            </w:pPr>
            <w:r>
              <w:rPr>
                <w:sz w:val="20"/>
              </w:rPr>
              <w:t>Y</w:t>
            </w:r>
          </w:p>
        </w:tc>
        <w:tc>
          <w:tcPr>
            <w:tcW w:w="155" w:type="dxa"/>
            <w:tcBorders/>
            <w:vAlign w:val="center"/>
          </w:tcPr>
          <w:p>
            <w:pPr>
              <w:pStyle w:val="TableContents"/>
              <w:bidi w:val="0"/>
              <w:spacing w:before="0" w:after="283"/>
              <w:jc w:val="center"/>
              <w:rPr/>
            </w:pPr>
            <w:r>
              <w:rPr/>
              <w:t>=</w:t>
            </w:r>
          </w:p>
        </w:tc>
        <w:tc>
          <w:tcPr>
            <w:tcW w:w="9880" w:type="dxa"/>
            <w:tcBorders/>
            <w:vAlign w:val="center"/>
          </w:tcPr>
          <w:p>
            <w:pPr>
              <w:pStyle w:val="TableContents"/>
              <w:bidi w:val="0"/>
              <w:spacing w:before="0" w:after="283"/>
              <w:jc w:val="both"/>
              <w:rPr>
                <w:sz w:val="20"/>
              </w:rPr>
            </w:pPr>
            <w:r>
              <w:rPr>
                <w:sz w:val="20"/>
              </w:rPr>
              <w:t xml:space="preserve">the number of Class A Ordinary Shares equal to the aggregate price payable to exercise such rights, options or warrants, </w:t>
            </w:r>
            <w:r>
              <w:rPr>
                <w:i/>
                <w:sz w:val="20"/>
              </w:rPr>
              <w:t>divided by</w:t>
            </w:r>
            <w:r>
              <w:rPr>
                <w:sz w:val="20"/>
              </w:rPr>
              <w:t xml:space="preserve"> the average of the Last Reported Sale Prices of the Class A Ordinary Shares over the ten (10) consecutive Trading Day period ending on, and including, the Trading Day immediately preceding the date of announcement of the distribution of such rights, options or warrants.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increase made under this ‎Section 14.05(b) shall be made successively whenever any such rights, options or warrants are distributed and shall become effective immediately after the open of business on the Ex-Dividend Date for such distribution. To the extent that Class A Ordinary Shares are not delivered after the expiration of such rights, options or warrants, the Conversion Rate shall be decreased to the Conversion Rate that would then be in effect had the increase with respect to the distribution of such rights, options or warrants been made on the basis of delivery of only the number of Class A Ordinary Shares actually delivered. To the extent such rights, options or warrants are not so distributed, the Conversion Rate shall be decreased to the Conversion Rate that would then be in effect had the adjustment been made on the basis of only the distribution, if any, actually made.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this Section 14.05(b) and for the purpose of ‎Section 14.01(b)(ii)(A), in determining whether any rights, options or warrants entitle the holders to subscribe for or purchase Class A Ordinary Shares at a price per Class A Ordinary Share that is less than such average of the Last Reported Sale Prices of the Class A Ordinary Shares for the ten (10) consecutive Trading Day period ending on, and including, the Trading Day immediately preceding the date of announcement of such distribution, and in determining the aggregate offering price of such Class A Ordinary Shares, there shall be taken into account any consideration received by the Company for such rights, options or warrants and any amount payable on exercise or conversion thereof, the value of such consideration, if other than cash, to be determined by the Company in good faith.</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left"/>
        <w:rPr/>
      </w:pPr>
      <w:r>
        <w:rPr/>
        <w:t>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Company distributes its Capital Shares, evidences of its indebtedness, other assets or property of the Company or rights, options or warrants to acquire its Capital Shares or other securities, to all or substantially all holders of Class A Ordinary Shares, excluding (i) dividends, distributions or issuances (including share splits) as to which an adjustment was effected (or would have been effected but for the 1% exception) pursuant to ‎Section 14.05(a) or ‎Section 14.05(b), (ii) except as otherwise provided below, rights issued pursuant to any shareholder rights plan of the Company then in effect, (iii) distributions of Reference Property issued in exchange for, or upon conversion of, Class A Ordinary Shares pursuant to ‎Section 14.08, (iv) dividends or distributions paid exclusively in cash as to which an adjustment was effected pursuant to ‎Section 14.05(d) shall apply, and (v) Spin-Offs as to which the provisions set forth below in this ‎Section 14.05(c) shall apply (any of such Capital Shares, evidences of indebtedness, other assets or property or rights, options or warrants to acquire Capital Shares or other securities, the “</w:t>
      </w:r>
      <w:r>
        <w:rPr>
          <w:rFonts w:ascii="Times New Roman;Times;Serif" w:hAnsi="Times New Roman;Times;Serif"/>
          <w:b/>
          <w:i w:val="false"/>
          <w:caps w:val="false"/>
          <w:smallCaps w:val="false"/>
          <w:sz w:val="20"/>
        </w:rPr>
        <w:t>Distributed Property</w:t>
      </w:r>
      <w:r>
        <w:rPr>
          <w:rFonts w:ascii="Times New Roman;Times;Serif" w:hAnsi="Times New Roman;Times;Serif"/>
          <w:b w:val="false"/>
          <w:i w:val="false"/>
          <w:caps w:val="false"/>
          <w:smallCaps w:val="false"/>
          <w:sz w:val="20"/>
        </w:rPr>
        <w:t>”), then the Conversion Rate shall be increased based on the following formula: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581150" cy="409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2"/>
                    <a:stretch>
                      <a:fillRect/>
                    </a:stretch>
                  </pic:blipFill>
                  <pic:spPr bwMode="auto">
                    <a:xfrm>
                      <a:off x="0" y="0"/>
                      <a:ext cx="1581150" cy="4095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1260" w:right="0" w:hanging="12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0"/>
        <w:gridCol w:w="155"/>
        <w:gridCol w:w="9580"/>
      </w:tblGrid>
      <w:tr>
        <w:trPr/>
        <w:tc>
          <w:tcPr>
            <w:tcW w:w="470" w:type="dxa"/>
            <w:tcBorders/>
            <w:vAlign w:val="center"/>
          </w:tcPr>
          <w:p>
            <w:pPr>
              <w:pStyle w:val="TableContents"/>
              <w:bidi w:val="0"/>
              <w:spacing w:before="0" w:after="283"/>
              <w:jc w:val="left"/>
              <w:rPr/>
            </w:pPr>
            <w:r>
              <w:rPr/>
              <w:t>CR</w:t>
            </w:r>
            <w:r>
              <w:rPr>
                <w:position w:val="-2"/>
                <w:sz w:val="19"/>
              </w:rPr>
              <w:t>0</w:t>
            </w:r>
          </w:p>
        </w:tc>
        <w:tc>
          <w:tcPr>
            <w:tcW w:w="155" w:type="dxa"/>
            <w:tcBorders/>
            <w:vAlign w:val="center"/>
          </w:tcPr>
          <w:p>
            <w:pPr>
              <w:pStyle w:val="TableContents"/>
              <w:bidi w:val="0"/>
              <w:spacing w:before="0" w:after="283"/>
              <w:jc w:val="center"/>
              <w:rPr/>
            </w:pPr>
            <w:r>
              <w:rPr/>
              <w:t>=</w:t>
            </w:r>
          </w:p>
        </w:tc>
        <w:tc>
          <w:tcPr>
            <w:tcW w:w="9580" w:type="dxa"/>
            <w:tcBorders/>
            <w:vAlign w:val="center"/>
          </w:tcPr>
          <w:p>
            <w:pPr>
              <w:pStyle w:val="TableContents"/>
              <w:bidi w:val="0"/>
              <w:spacing w:before="0" w:after="283"/>
              <w:jc w:val="both"/>
              <w:rPr/>
            </w:pPr>
            <w:r>
              <w:rPr/>
              <w:t>the Conversion Rate in effect immediately prior to the open of business on the Ex-Dividend Date for such distribution;</w:t>
            </w:r>
          </w:p>
        </w:tc>
      </w:tr>
    </w:tbl>
    <w:p>
      <w:pPr>
        <w:pStyle w:val="TextBody"/>
        <w:bidi w:val="0"/>
        <w:spacing w:before="0" w:after="0"/>
        <w:ind w:left="1260" w:right="0" w:hanging="1260"/>
        <w:jc w:val="left"/>
        <w:rPr>
          <w:caps w:val="false"/>
          <w:smallCaps w:val="false"/>
        </w:rPr>
      </w:pPr>
      <w:r>
        <w:rPr>
          <w:caps w:val="false"/>
          <w:smallCaps w:val="false"/>
        </w:rPr>
        <w:t> </w:t>
      </w:r>
    </w:p>
    <w:tbl>
      <w:tblPr>
        <w:tblW w:w="9750" w:type="dxa"/>
        <w:jc w:val="left"/>
        <w:tblInd w:w="0" w:type="dxa"/>
        <w:tblLayout w:type="fixed"/>
        <w:tblCellMar>
          <w:top w:w="0" w:type="dxa"/>
          <w:left w:w="0" w:type="dxa"/>
          <w:bottom w:w="0" w:type="dxa"/>
          <w:right w:w="0" w:type="dxa"/>
        </w:tblCellMar>
      </w:tblPr>
      <w:tblGrid>
        <w:gridCol w:w="470"/>
        <w:gridCol w:w="155"/>
        <w:gridCol w:w="9125"/>
      </w:tblGrid>
      <w:tr>
        <w:trPr/>
        <w:tc>
          <w:tcPr>
            <w:tcW w:w="470" w:type="dxa"/>
            <w:tcBorders/>
            <w:vAlign w:val="center"/>
          </w:tcPr>
          <w:p>
            <w:pPr>
              <w:pStyle w:val="TableContents"/>
              <w:bidi w:val="0"/>
              <w:spacing w:before="0" w:after="283"/>
              <w:jc w:val="left"/>
              <w:rPr/>
            </w:pPr>
            <w:r>
              <w:rPr/>
              <w:t>CR</w:t>
            </w:r>
            <w:r>
              <w:rPr>
                <w:position w:val="-2"/>
                <w:sz w:val="19"/>
              </w:rPr>
              <w:t>1</w:t>
            </w:r>
          </w:p>
        </w:tc>
        <w:tc>
          <w:tcPr>
            <w:tcW w:w="155" w:type="dxa"/>
            <w:tcBorders/>
            <w:vAlign w:val="center"/>
          </w:tcPr>
          <w:p>
            <w:pPr>
              <w:pStyle w:val="TableContents"/>
              <w:bidi w:val="0"/>
              <w:spacing w:before="0" w:after="283"/>
              <w:jc w:val="center"/>
              <w:rPr/>
            </w:pPr>
            <w:r>
              <w:rPr/>
              <w:t>=</w:t>
            </w:r>
          </w:p>
        </w:tc>
        <w:tc>
          <w:tcPr>
            <w:tcW w:w="9125" w:type="dxa"/>
            <w:tcBorders/>
            <w:vAlign w:val="center"/>
          </w:tcPr>
          <w:p>
            <w:pPr>
              <w:pStyle w:val="TableContents"/>
              <w:bidi w:val="0"/>
              <w:spacing w:before="0" w:after="283"/>
              <w:jc w:val="both"/>
              <w:rPr/>
            </w:pPr>
            <w:r>
              <w:rPr/>
              <w:t>the Conversion Rate in effect immediately after the open of business on such Ex-Dividend Date;</w:t>
            </w:r>
          </w:p>
        </w:tc>
      </w:tr>
    </w:tbl>
    <w:p>
      <w:pPr>
        <w:pStyle w:val="TextBody"/>
        <w:bidi w:val="0"/>
        <w:spacing w:before="0" w:after="0"/>
        <w:ind w:left="1260" w:right="0" w:hanging="12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0"/>
        <w:gridCol w:w="155"/>
        <w:gridCol w:w="9640"/>
      </w:tblGrid>
      <w:tr>
        <w:trPr/>
        <w:tc>
          <w:tcPr>
            <w:tcW w:w="410" w:type="dxa"/>
            <w:tcBorders/>
            <w:vAlign w:val="center"/>
          </w:tcPr>
          <w:p>
            <w:pPr>
              <w:pStyle w:val="TableContents"/>
              <w:bidi w:val="0"/>
              <w:spacing w:before="0" w:after="283"/>
              <w:jc w:val="left"/>
              <w:rPr/>
            </w:pPr>
            <w:r>
              <w:rPr/>
              <w:t>SP</w:t>
            </w:r>
            <w:r>
              <w:rPr>
                <w:position w:val="-2"/>
                <w:sz w:val="19"/>
              </w:rPr>
              <w:t>0</w:t>
            </w:r>
          </w:p>
        </w:tc>
        <w:tc>
          <w:tcPr>
            <w:tcW w:w="155" w:type="dxa"/>
            <w:tcBorders/>
            <w:vAlign w:val="center"/>
          </w:tcPr>
          <w:p>
            <w:pPr>
              <w:pStyle w:val="TableContents"/>
              <w:bidi w:val="0"/>
              <w:spacing w:before="0" w:after="283"/>
              <w:jc w:val="center"/>
              <w:rPr/>
            </w:pPr>
            <w:r>
              <w:rPr/>
              <w:t>=</w:t>
            </w:r>
          </w:p>
        </w:tc>
        <w:tc>
          <w:tcPr>
            <w:tcW w:w="9640" w:type="dxa"/>
            <w:tcBorders/>
            <w:vAlign w:val="center"/>
          </w:tcPr>
          <w:p>
            <w:pPr>
              <w:pStyle w:val="TableContents"/>
              <w:bidi w:val="0"/>
              <w:spacing w:before="0" w:after="283"/>
              <w:jc w:val="both"/>
              <w:rPr/>
            </w:pPr>
            <w:r>
              <w:rPr/>
              <w:t>the average of the Last Reported Sale Prices of the Class A Ordinary Shares over the 10 consecutive Trading Day period ending on, and including, the Trading Day immediately preceding the Ex-Dividend Date for such distribution; and</w:t>
            </w:r>
          </w:p>
        </w:tc>
      </w:tr>
    </w:tbl>
    <w:p>
      <w:pPr>
        <w:pStyle w:val="TextBody"/>
        <w:bidi w:val="0"/>
        <w:spacing w:before="0" w:after="0"/>
        <w:ind w:left="1260" w:right="0" w:hanging="12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155"/>
        <w:gridCol w:w="9595"/>
      </w:tblGrid>
      <w:tr>
        <w:trPr/>
        <w:tc>
          <w:tcPr>
            <w:tcW w:w="455" w:type="dxa"/>
            <w:tcBorders/>
            <w:vAlign w:val="center"/>
          </w:tcPr>
          <w:p>
            <w:pPr>
              <w:pStyle w:val="TableContents"/>
              <w:bidi w:val="0"/>
              <w:spacing w:before="0" w:after="283"/>
              <w:jc w:val="left"/>
              <w:rPr>
                <w:sz w:val="20"/>
              </w:rPr>
            </w:pPr>
            <w:r>
              <w:rPr>
                <w:sz w:val="20"/>
              </w:rPr>
              <w:t>FMV</w:t>
            </w:r>
          </w:p>
        </w:tc>
        <w:tc>
          <w:tcPr>
            <w:tcW w:w="155" w:type="dxa"/>
            <w:tcBorders/>
            <w:vAlign w:val="center"/>
          </w:tcPr>
          <w:p>
            <w:pPr>
              <w:pStyle w:val="TableContents"/>
              <w:bidi w:val="0"/>
              <w:spacing w:before="0" w:after="283"/>
              <w:jc w:val="center"/>
              <w:rPr/>
            </w:pPr>
            <w:r>
              <w:rPr/>
              <w:t>=</w:t>
            </w:r>
          </w:p>
        </w:tc>
        <w:tc>
          <w:tcPr>
            <w:tcW w:w="9595" w:type="dxa"/>
            <w:tcBorders/>
            <w:vAlign w:val="center"/>
          </w:tcPr>
          <w:p>
            <w:pPr>
              <w:pStyle w:val="TableContents"/>
              <w:bidi w:val="0"/>
              <w:spacing w:before="0" w:after="283"/>
              <w:jc w:val="both"/>
              <w:rPr>
                <w:sz w:val="20"/>
              </w:rPr>
            </w:pPr>
            <w:r>
              <w:rPr>
                <w:sz w:val="20"/>
              </w:rPr>
              <w:t>the fair market value (as determined by the Company in good faith) of the Distributed Property distributed with respect to each outstanding Class A Ordinary Share on the Ex-Dividend Date for such distribution.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increase made under the portion of this ‎Section 14.05(c) above shall become effective immediately after the open of business on the Ex-Dividend Date for such distribution. To the extent such distribution is not so paid or made, the Conversion Rate shall be decreased to the Conversion Rate that would then be in effect had the adjustment been made on the basis of only the distribution, if any, actually made or paid. Notwithstanding the foregoing, if “FMV” (as defined above) is equal to or greater than “SP</w:t>
      </w:r>
      <w:r>
        <w:rPr>
          <w:rFonts w:ascii="Times New Roman;Times;Serif" w:hAnsi="Times New Roman;Times;Serif"/>
          <w:b w:val="false"/>
          <w:i w:val="false"/>
          <w:caps w:val="false"/>
          <w:smallCaps w:val="false"/>
          <w:position w:val="-2"/>
          <w:sz w:val="16"/>
          <w:sz w:val="20"/>
        </w:rPr>
        <w:t>0</w:t>
      </w:r>
      <w:r>
        <w:rPr>
          <w:rFonts w:ascii="Times New Roman;Times;Serif" w:hAnsi="Times New Roman;Times;Serif"/>
          <w:b w:val="false"/>
          <w:i w:val="false"/>
          <w:caps w:val="false"/>
          <w:smallCaps w:val="false"/>
          <w:sz w:val="20"/>
        </w:rPr>
        <w:t>” (as defined above), in lieu of the foregoing increase, each Holder of a Note shall receive, in respect of each $1,000 principal amount thereof, at the same time and upon the same terms as holders of the Class A Ordinary Shares receive the Distributed Property without having to convert its Notes, the amount and kind of Distributed Property such Holder would have received if such Holder owned a number of Class A Ordinary Shares equal to the Conversion Rate in effect on the Ex-Dividend Date for the distribution.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an adjustment pursuant to this ‎Section 14.05(c) where there has been a payment of a dividend or other distribution on the Class A Ordinary Shares or Capital Shares of any class or series, or similar equity interest, of or relating to a Subsidiary or other business unit of the Company, that are, or, when issued, will be, listed or admitted for trading on a U.S. national securities exchange (a “</w:t>
      </w:r>
      <w:r>
        <w:rPr>
          <w:rFonts w:ascii="Times New Roman;Times;Serif" w:hAnsi="Times New Roman;Times;Serif"/>
          <w:b/>
          <w:i w:val="false"/>
          <w:caps w:val="false"/>
          <w:smallCaps w:val="false"/>
          <w:sz w:val="20"/>
        </w:rPr>
        <w:t>Spin-Off</w:t>
      </w:r>
      <w:r>
        <w:rPr>
          <w:rFonts w:ascii="Times New Roman;Times;Serif" w:hAnsi="Times New Roman;Times;Serif"/>
          <w:b w:val="false"/>
          <w:i w:val="false"/>
          <w:caps w:val="false"/>
          <w:smallCaps w:val="false"/>
          <w:sz w:val="20"/>
        </w:rPr>
        <w:t>”), the Conversion Rate shall be increased based on the following formula: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685925" cy="4095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3"/>
                    <a:stretch>
                      <a:fillRect/>
                    </a:stretch>
                  </pic:blipFill>
                  <pic:spPr bwMode="auto">
                    <a:xfrm>
                      <a:off x="0" y="0"/>
                      <a:ext cx="1685925" cy="4095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1260" w:right="0" w:hanging="1260"/>
        <w:jc w:val="left"/>
        <w:rPr>
          <w:caps w:val="false"/>
          <w:smallCaps w:val="false"/>
        </w:rPr>
      </w:pPr>
      <w:r>
        <w:rPr>
          <w:caps w:val="false"/>
          <w:smallCaps w:val="false"/>
        </w:rPr>
        <w:t> </w:t>
      </w:r>
    </w:p>
    <w:tbl>
      <w:tblPr>
        <w:tblW w:w="8460" w:type="dxa"/>
        <w:jc w:val="left"/>
        <w:tblInd w:w="0" w:type="dxa"/>
        <w:tblLayout w:type="fixed"/>
        <w:tblCellMar>
          <w:top w:w="0" w:type="dxa"/>
          <w:left w:w="0" w:type="dxa"/>
          <w:bottom w:w="0" w:type="dxa"/>
          <w:right w:w="0" w:type="dxa"/>
        </w:tblCellMar>
      </w:tblPr>
      <w:tblGrid>
        <w:gridCol w:w="470"/>
        <w:gridCol w:w="155"/>
        <w:gridCol w:w="7835"/>
      </w:tblGrid>
      <w:tr>
        <w:trPr/>
        <w:tc>
          <w:tcPr>
            <w:tcW w:w="470" w:type="dxa"/>
            <w:tcBorders/>
            <w:vAlign w:val="center"/>
          </w:tcPr>
          <w:p>
            <w:pPr>
              <w:pStyle w:val="TableContents"/>
              <w:bidi w:val="0"/>
              <w:spacing w:before="0" w:after="283"/>
              <w:jc w:val="left"/>
              <w:rPr/>
            </w:pPr>
            <w:r>
              <w:rPr/>
              <w:t>CR</w:t>
            </w:r>
            <w:r>
              <w:rPr>
                <w:position w:val="-2"/>
                <w:sz w:val="19"/>
              </w:rPr>
              <w:t>0</w:t>
            </w:r>
          </w:p>
        </w:tc>
        <w:tc>
          <w:tcPr>
            <w:tcW w:w="155" w:type="dxa"/>
            <w:tcBorders/>
            <w:vAlign w:val="center"/>
          </w:tcPr>
          <w:p>
            <w:pPr>
              <w:pStyle w:val="TableContents"/>
              <w:bidi w:val="0"/>
              <w:spacing w:before="0" w:after="283"/>
              <w:jc w:val="center"/>
              <w:rPr/>
            </w:pPr>
            <w:r>
              <w:rPr/>
              <w:t>=</w:t>
            </w:r>
          </w:p>
        </w:tc>
        <w:tc>
          <w:tcPr>
            <w:tcW w:w="7835" w:type="dxa"/>
            <w:tcBorders/>
            <w:vAlign w:val="center"/>
          </w:tcPr>
          <w:p>
            <w:pPr>
              <w:pStyle w:val="TableContents"/>
              <w:bidi w:val="0"/>
              <w:spacing w:before="0" w:after="283"/>
              <w:jc w:val="both"/>
              <w:rPr/>
            </w:pPr>
            <w:r>
              <w:rPr/>
              <w:t>the Conversion Rate in effect immediately prior to the end of the Valuation Period;</w:t>
            </w:r>
          </w:p>
        </w:tc>
      </w:tr>
    </w:tbl>
    <w:p>
      <w:pPr>
        <w:pStyle w:val="TextBody"/>
        <w:bidi w:val="0"/>
        <w:spacing w:before="0" w:after="0"/>
        <w:ind w:left="1260" w:right="0" w:hanging="1260"/>
        <w:jc w:val="left"/>
        <w:rPr>
          <w:caps w:val="false"/>
          <w:smallCaps w:val="false"/>
        </w:rPr>
      </w:pPr>
      <w:r>
        <w:rPr>
          <w:caps w:val="false"/>
          <w:smallCaps w:val="false"/>
        </w:rPr>
        <w:t> </w:t>
      </w:r>
    </w:p>
    <w:tbl>
      <w:tblPr>
        <w:tblW w:w="8190" w:type="dxa"/>
        <w:jc w:val="left"/>
        <w:tblInd w:w="0" w:type="dxa"/>
        <w:tblLayout w:type="fixed"/>
        <w:tblCellMar>
          <w:top w:w="0" w:type="dxa"/>
          <w:left w:w="0" w:type="dxa"/>
          <w:bottom w:w="0" w:type="dxa"/>
          <w:right w:w="0" w:type="dxa"/>
        </w:tblCellMar>
      </w:tblPr>
      <w:tblGrid>
        <w:gridCol w:w="470"/>
        <w:gridCol w:w="155"/>
        <w:gridCol w:w="7565"/>
      </w:tblGrid>
      <w:tr>
        <w:trPr/>
        <w:tc>
          <w:tcPr>
            <w:tcW w:w="470" w:type="dxa"/>
            <w:tcBorders/>
            <w:vAlign w:val="center"/>
          </w:tcPr>
          <w:p>
            <w:pPr>
              <w:pStyle w:val="TableContents"/>
              <w:bidi w:val="0"/>
              <w:spacing w:before="0" w:after="283"/>
              <w:jc w:val="left"/>
              <w:rPr/>
            </w:pPr>
            <w:r>
              <w:rPr/>
              <w:t>CR</w:t>
            </w:r>
            <w:r>
              <w:rPr>
                <w:position w:val="-2"/>
                <w:sz w:val="19"/>
              </w:rPr>
              <w:t>1</w:t>
            </w:r>
          </w:p>
        </w:tc>
        <w:tc>
          <w:tcPr>
            <w:tcW w:w="155" w:type="dxa"/>
            <w:tcBorders/>
            <w:vAlign w:val="center"/>
          </w:tcPr>
          <w:p>
            <w:pPr>
              <w:pStyle w:val="TableContents"/>
              <w:bidi w:val="0"/>
              <w:spacing w:before="0" w:after="283"/>
              <w:jc w:val="center"/>
              <w:rPr/>
            </w:pPr>
            <w:r>
              <w:rPr/>
              <w:t>=</w:t>
            </w:r>
          </w:p>
        </w:tc>
        <w:tc>
          <w:tcPr>
            <w:tcW w:w="7565" w:type="dxa"/>
            <w:tcBorders/>
            <w:vAlign w:val="center"/>
          </w:tcPr>
          <w:p>
            <w:pPr>
              <w:pStyle w:val="TableContents"/>
              <w:bidi w:val="0"/>
              <w:spacing w:before="0" w:after="283"/>
              <w:jc w:val="both"/>
              <w:rPr/>
            </w:pPr>
            <w:r>
              <w:rPr/>
              <w:t>the Conversion Rate in effect immediately after the end of the Valuation Period;</w:t>
            </w:r>
          </w:p>
        </w:tc>
      </w:tr>
    </w:tbl>
    <w:p>
      <w:pPr>
        <w:pStyle w:val="TextBody"/>
        <w:bidi w:val="0"/>
        <w:spacing w:before="0" w:after="0"/>
        <w:ind w:left="1260" w:right="0" w:hanging="12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5"/>
        <w:gridCol w:w="155"/>
        <w:gridCol w:w="9385"/>
      </w:tblGrid>
      <w:tr>
        <w:trPr/>
        <w:tc>
          <w:tcPr>
            <w:tcW w:w="665" w:type="dxa"/>
            <w:tcBorders/>
            <w:vAlign w:val="center"/>
          </w:tcPr>
          <w:p>
            <w:pPr>
              <w:pStyle w:val="TableContents"/>
              <w:bidi w:val="0"/>
              <w:spacing w:before="0" w:after="283"/>
              <w:jc w:val="left"/>
              <w:rPr/>
            </w:pPr>
            <w:r>
              <w:rPr/>
              <w:t>FMV</w:t>
            </w:r>
            <w:r>
              <w:rPr>
                <w:position w:val="-2"/>
                <w:sz w:val="19"/>
              </w:rPr>
              <w:t>0</w:t>
            </w:r>
          </w:p>
        </w:tc>
        <w:tc>
          <w:tcPr>
            <w:tcW w:w="155" w:type="dxa"/>
            <w:tcBorders/>
            <w:vAlign w:val="center"/>
          </w:tcPr>
          <w:p>
            <w:pPr>
              <w:pStyle w:val="TableContents"/>
              <w:bidi w:val="0"/>
              <w:spacing w:before="0" w:after="283"/>
              <w:jc w:val="center"/>
              <w:rPr/>
            </w:pPr>
            <w:r>
              <w:rPr/>
              <w:t>=</w:t>
            </w:r>
          </w:p>
        </w:tc>
        <w:tc>
          <w:tcPr>
            <w:tcW w:w="9385" w:type="dxa"/>
            <w:tcBorders/>
            <w:vAlign w:val="center"/>
          </w:tcPr>
          <w:p>
            <w:pPr>
              <w:pStyle w:val="TableContents"/>
              <w:bidi w:val="0"/>
              <w:spacing w:before="0" w:after="283"/>
              <w:jc w:val="both"/>
              <w:rPr/>
            </w:pPr>
            <w:r>
              <w:rPr/>
              <w:t>the average of the Last Reported Sale Prices of the Capital Shares or similar equity interest distributed to holders of the Class A Ordinary Shares applicable to one Class A Ordinary Share (determined by reference to the definition of Last Reported Sale Price as set forth in ‎Section 1.01 as if references therein to Class A Ordinary Shares were to such Capital Shares or similar equity interest) over the first ten (10) consecutive Trading Day period after, and including, the Ex-Dividend Date of the Spin-Off (the “</w:t>
            </w:r>
            <w:r>
              <w:rPr>
                <w:b/>
              </w:rPr>
              <w:t>Valuation Period</w:t>
            </w:r>
            <w:r>
              <w:rPr/>
              <w:t>”); and</w:t>
            </w:r>
          </w:p>
        </w:tc>
      </w:tr>
    </w:tbl>
    <w:p>
      <w:pPr>
        <w:pStyle w:val="TextBody"/>
        <w:bidi w:val="0"/>
        <w:spacing w:before="0" w:after="0"/>
        <w:ind w:left="1260" w:right="0" w:hanging="12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5"/>
        <w:gridCol w:w="155"/>
        <w:gridCol w:w="9565"/>
      </w:tblGrid>
      <w:tr>
        <w:trPr/>
        <w:tc>
          <w:tcPr>
            <w:tcW w:w="485" w:type="dxa"/>
            <w:tcBorders/>
            <w:vAlign w:val="center"/>
          </w:tcPr>
          <w:p>
            <w:pPr>
              <w:pStyle w:val="TableContents"/>
              <w:bidi w:val="0"/>
              <w:spacing w:before="0" w:after="283"/>
              <w:jc w:val="left"/>
              <w:rPr/>
            </w:pPr>
            <w:r>
              <w:rPr/>
              <w:t>MP</w:t>
            </w:r>
            <w:r>
              <w:rPr>
                <w:position w:val="-2"/>
                <w:sz w:val="19"/>
              </w:rPr>
              <w:t>0</w:t>
            </w:r>
          </w:p>
        </w:tc>
        <w:tc>
          <w:tcPr>
            <w:tcW w:w="155" w:type="dxa"/>
            <w:tcBorders/>
            <w:vAlign w:val="center"/>
          </w:tcPr>
          <w:p>
            <w:pPr>
              <w:pStyle w:val="TableContents"/>
              <w:bidi w:val="0"/>
              <w:spacing w:before="0" w:after="283"/>
              <w:jc w:val="center"/>
              <w:rPr/>
            </w:pPr>
            <w:r>
              <w:rPr/>
              <w:t>=</w:t>
            </w:r>
          </w:p>
        </w:tc>
        <w:tc>
          <w:tcPr>
            <w:tcW w:w="9565" w:type="dxa"/>
            <w:tcBorders/>
            <w:vAlign w:val="center"/>
          </w:tcPr>
          <w:p>
            <w:pPr>
              <w:pStyle w:val="TableContents"/>
              <w:bidi w:val="0"/>
              <w:spacing w:before="0" w:after="283"/>
              <w:jc w:val="both"/>
              <w:rPr/>
            </w:pPr>
            <w:r>
              <w:rPr/>
              <w:t>the average of the Last Reported Sale Prices of the Class A Ordinary Shares over the Valuation Period.</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increase to the Conversion Rate under the preceding paragraph shall occur at the close of business on the last Trading Day of the Valuation Period;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(x) in respect of any conversion of Notes for which Physical Settlement is applicable, if the relevant Conversion Date occurs during the Valuation Period, the reference to “10” in the preceding paragraph shall be deemed to be replaced with such lesser number of Trading Days as have elapsed from, and including, the Ex-Dividend Date of such Spin-Off to, and including, such Conversion Date in determining the Conversion Rate and (y) in respect of any conversion of the Notes for which Cash Settlement or Combination Settlement is applicable, for any Trading Day that falls within the relevant Observation Period for such conversion and within the Valuation Period, the references to “10” in the preceding paragraph shall be deemed replaced with such lesser number of Trading Days as have elapsed from, and including, the Ex-Dividend Date for such Spin-Off to, and including, such Trading Day in determining the Conversion Rate as of such Trading Day. If the dividend or other distribution constituting a Spin-Off is declared but not so paid or made, the Conversion Rate shall be decreased, effective as of the date the Board of Directors determines not to make or pay such dividend or other distribution, to the Conversion Rate that would be in effect if such dividend or distribution had not been declared or announced.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14.05(c) (and subject in all respects to Section 14.12), rights, options or warrants distributed by the Company to all holders of Class A Ordinary Shares entitling them to subscribe for or purchase the Company’s Capital Shares, including Class A Ordinary Shares (either initially or under certain circumstances), which rights, options or warrants, until the occurrence of a specified event or events (“</w:t>
      </w:r>
      <w:r>
        <w:rPr>
          <w:rFonts w:ascii="Times New Roman;Times;Serif" w:hAnsi="Times New Roman;Times;Serif"/>
          <w:b/>
          <w:i w:val="false"/>
          <w:caps w:val="false"/>
          <w:smallCaps w:val="false"/>
          <w:sz w:val="20"/>
        </w:rPr>
        <w:t>Trigger Event</w:t>
      </w:r>
      <w:r>
        <w:rPr>
          <w:rFonts w:ascii="Times New Roman;Times;Serif" w:hAnsi="Times New Roman;Times;Serif"/>
          <w:b w:val="false"/>
          <w:i w:val="false"/>
          <w:caps w:val="false"/>
          <w:smallCaps w:val="false"/>
          <w:sz w:val="20"/>
        </w:rPr>
        <w:t>”): (i) are deemed to be transferred with such Class A Ordinary Shares; (ii) are not exercisable; and (iii) are also issued in respect of future issuances of Class A Ordinary Shares, shall be deemed not to have been distributed for purposes of this Section 14.05(c) (and no adjustment to the Conversion Rate under this Section 14.05(c) will be required) until the occurrence of the earliest Trigger Event, whereupon such rights, options or warrants shall be deemed to have been distributed and an appropriate adjustment (if any is required) to the Conversion Rate shall be made under this Section 14.05(c).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Ex-Dividend Date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under this Section 14.05(c) was made, (1) in the case of any such rights, options or warrants that shall all have been redeemed or purchased without exercise by any holders thereof, upon such final redemption or purchase (x) the Conversion Rate shall be readjusted as if such rights, options or warrants had not been issued and (y) the Conversion Rate shall then again be readjusted to give effect to such distribution, deemed distribution or Trigger Event, as the case may be, as though it were a cash distribution, equal to the per share redemption or purchase price received by a holder or holders of Class A Ordinary Shares with respect to such rights, options or warrants (assuming such holder had retained such rights, options or warrants), made to all holders of Class A Ordinary Shares of the date of such redemption or purchase, and (2) in the case of such rights, options or warrants that shall have expired or been terminated without exercise by any holders thereof, the Conversion Rate shall be readjusted as if such rights, options and warrants had not been issued.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Section 14.05(a), Section 14.05(b) and this Section 14.05(c), if any dividend or distribution to which this Section 14.05(c) is applicable also includes one or both 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dividend or distribution of Class A Ordinary Shares to which Section 14.05(a) is applicable (the “</w:t>
      </w:r>
      <w:r>
        <w:rPr>
          <w:rFonts w:ascii="Times New Roman;Times;Serif" w:hAnsi="Times New Roman;Times;Serif"/>
          <w:b/>
          <w:i w:val="false"/>
          <w:caps w:val="false"/>
          <w:smallCaps w:val="false"/>
          <w:sz w:val="20"/>
        </w:rPr>
        <w:t>Clause A Distribution</w:t>
      </w:r>
      <w:r>
        <w:rPr>
          <w:rFonts w:ascii="Times New Roman;Times;Serif" w:hAnsi="Times New Roman;Times;Serif"/>
          <w:b w:val="false"/>
          <w:i w:val="false"/>
          <w:caps w:val="false"/>
          <w:smallCaps w:val="false"/>
          <w:sz w:val="20"/>
        </w:rPr>
        <w:t>”); 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dividend or distribution of rights, options or warrants to which Section 14.05(b) is applicable (the “</w:t>
      </w:r>
      <w:r>
        <w:rPr>
          <w:rFonts w:ascii="Times New Roman;Times;Serif" w:hAnsi="Times New Roman;Times;Serif"/>
          <w:b/>
          <w:i w:val="false"/>
          <w:caps w:val="false"/>
          <w:smallCaps w:val="false"/>
          <w:sz w:val="20"/>
        </w:rPr>
        <w:t>Clause B Distribution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in either case, (1) such dividend or distribution, other than the Clause A Distribution and the Clause B Distribution, shall be deemed to be a dividend or distribution to which this Section 14.05(c) is applicable (the “</w:t>
      </w:r>
      <w:r>
        <w:rPr>
          <w:rFonts w:ascii="Times New Roman;Times;Serif" w:hAnsi="Times New Roman;Times;Serif"/>
          <w:b/>
          <w:i w:val="false"/>
          <w:caps w:val="false"/>
          <w:smallCaps w:val="false"/>
          <w:sz w:val="20"/>
        </w:rPr>
        <w:t>Clause C Distribution</w:t>
      </w:r>
      <w:r>
        <w:rPr>
          <w:rFonts w:ascii="Times New Roman;Times;Serif" w:hAnsi="Times New Roman;Times;Serif"/>
          <w:b w:val="false"/>
          <w:i w:val="false"/>
          <w:caps w:val="false"/>
          <w:smallCaps w:val="false"/>
          <w:sz w:val="20"/>
        </w:rPr>
        <w:t>”) and any Conversion Rate adjustment required by this Section 14.05(c) with respect to such Clause C Distribution shall then be made, and (2) the Clause A Distribution and Clause B Distribution shall be deemed to immediately follow the Clause C Distribution and any Conversion Rate adjustment required by Section 14.05(a) and Section 14.05(b) with respect thereto shall then be made, except that, if determined by the Company (I) the “Ex-Dividend Date” of the Clause A Distribution and the Clause B Distribution shall be deemed to be the Ex-Dividend Date of the Clause C Distribution and (II) any Class A Ordinary Shares included in the Clause A Distribution or Clause B Distribution shall be deemed not to be “outstanding immediately prior to the open of business on such Ex-Dividend Date or Effective Date” within the meaning of Section 14.05(a) or “outstanding immediately prior to the open of business on such Ex-Dividend Date” within the meaning of Section 14.05(b).</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left"/>
        <w:rPr/>
      </w:pPr>
      <w:r>
        <w:rPr/>
        <w:t>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the Company makes any cash dividend or distribution to all or substantially all holders of the shares of the Class A Ordinary Shares, the Conversion Rate shall be adjusted based on the following formula: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362075" cy="4095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4"/>
                    <a:stretch>
                      <a:fillRect/>
                    </a:stretch>
                  </pic:blipFill>
                  <pic:spPr bwMode="auto">
                    <a:xfrm>
                      <a:off x="0" y="0"/>
                      <a:ext cx="1362075" cy="4095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1260" w:right="0" w:hanging="12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0"/>
        <w:gridCol w:w="155"/>
        <w:gridCol w:w="9580"/>
      </w:tblGrid>
      <w:tr>
        <w:trPr/>
        <w:tc>
          <w:tcPr>
            <w:tcW w:w="470" w:type="dxa"/>
            <w:tcBorders/>
            <w:vAlign w:val="center"/>
          </w:tcPr>
          <w:p>
            <w:pPr>
              <w:pStyle w:val="TableContents"/>
              <w:bidi w:val="0"/>
              <w:spacing w:before="0" w:after="283"/>
              <w:jc w:val="left"/>
              <w:rPr/>
            </w:pPr>
            <w:r>
              <w:rPr/>
              <w:t>CR</w:t>
            </w:r>
            <w:r>
              <w:rPr>
                <w:position w:val="-2"/>
                <w:sz w:val="19"/>
              </w:rPr>
              <w:t>0</w:t>
            </w:r>
          </w:p>
        </w:tc>
        <w:tc>
          <w:tcPr>
            <w:tcW w:w="155" w:type="dxa"/>
            <w:tcBorders/>
            <w:vAlign w:val="center"/>
          </w:tcPr>
          <w:p>
            <w:pPr>
              <w:pStyle w:val="TableContents"/>
              <w:bidi w:val="0"/>
              <w:spacing w:before="0" w:after="283"/>
              <w:jc w:val="center"/>
              <w:rPr/>
            </w:pPr>
            <w:r>
              <w:rPr/>
              <w:t>=</w:t>
            </w:r>
          </w:p>
        </w:tc>
        <w:tc>
          <w:tcPr>
            <w:tcW w:w="9580" w:type="dxa"/>
            <w:tcBorders/>
            <w:vAlign w:val="center"/>
          </w:tcPr>
          <w:p>
            <w:pPr>
              <w:pStyle w:val="TableContents"/>
              <w:bidi w:val="0"/>
              <w:spacing w:before="0" w:after="283"/>
              <w:jc w:val="both"/>
              <w:rPr/>
            </w:pPr>
            <w:r>
              <w:rPr/>
              <w:t>the Conversion Rate in effect immediately prior to the open of business on the Ex-Dividend Date for such dividend or distribution;</w:t>
            </w:r>
          </w:p>
        </w:tc>
      </w:tr>
    </w:tbl>
    <w:p>
      <w:pPr>
        <w:pStyle w:val="TextBody"/>
        <w:bidi w:val="0"/>
        <w:spacing w:before="0" w:after="0"/>
        <w:ind w:left="1260" w:right="0" w:hanging="12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0"/>
        <w:gridCol w:w="155"/>
        <w:gridCol w:w="9580"/>
      </w:tblGrid>
      <w:tr>
        <w:trPr/>
        <w:tc>
          <w:tcPr>
            <w:tcW w:w="470" w:type="dxa"/>
            <w:tcBorders/>
            <w:vAlign w:val="center"/>
          </w:tcPr>
          <w:p>
            <w:pPr>
              <w:pStyle w:val="TableContents"/>
              <w:bidi w:val="0"/>
              <w:spacing w:before="0" w:after="283"/>
              <w:jc w:val="left"/>
              <w:rPr/>
            </w:pPr>
            <w:r>
              <w:rPr/>
              <w:t>CR</w:t>
            </w:r>
            <w:r>
              <w:rPr>
                <w:position w:val="-2"/>
                <w:sz w:val="19"/>
              </w:rPr>
              <w:t>1</w:t>
            </w:r>
          </w:p>
        </w:tc>
        <w:tc>
          <w:tcPr>
            <w:tcW w:w="155" w:type="dxa"/>
            <w:tcBorders/>
            <w:vAlign w:val="center"/>
          </w:tcPr>
          <w:p>
            <w:pPr>
              <w:pStyle w:val="TableContents"/>
              <w:bidi w:val="0"/>
              <w:spacing w:before="0" w:after="283"/>
              <w:jc w:val="center"/>
              <w:rPr/>
            </w:pPr>
            <w:r>
              <w:rPr/>
              <w:t>=</w:t>
            </w:r>
          </w:p>
        </w:tc>
        <w:tc>
          <w:tcPr>
            <w:tcW w:w="9580" w:type="dxa"/>
            <w:tcBorders/>
            <w:vAlign w:val="center"/>
          </w:tcPr>
          <w:p>
            <w:pPr>
              <w:pStyle w:val="TableContents"/>
              <w:bidi w:val="0"/>
              <w:spacing w:before="0" w:after="283"/>
              <w:jc w:val="both"/>
              <w:rPr/>
            </w:pPr>
            <w:r>
              <w:rPr/>
              <w:t>the Conversion Rate in effect immediately after the open of business on such Ex-Dividend Date for such dividend or distribution;</w:t>
            </w:r>
          </w:p>
        </w:tc>
      </w:tr>
    </w:tbl>
    <w:p>
      <w:pPr>
        <w:pStyle w:val="TextBody"/>
        <w:bidi w:val="0"/>
        <w:spacing w:before="0" w:after="0"/>
        <w:ind w:left="1260" w:right="0" w:hanging="12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0"/>
        <w:gridCol w:w="155"/>
        <w:gridCol w:w="9640"/>
      </w:tblGrid>
      <w:tr>
        <w:trPr/>
        <w:tc>
          <w:tcPr>
            <w:tcW w:w="410" w:type="dxa"/>
            <w:tcBorders/>
            <w:vAlign w:val="center"/>
          </w:tcPr>
          <w:p>
            <w:pPr>
              <w:pStyle w:val="TableContents"/>
              <w:bidi w:val="0"/>
              <w:spacing w:before="0" w:after="283"/>
              <w:jc w:val="left"/>
              <w:rPr/>
            </w:pPr>
            <w:r>
              <w:rPr/>
              <w:t>SP</w:t>
            </w:r>
            <w:r>
              <w:rPr>
                <w:position w:val="-2"/>
                <w:sz w:val="19"/>
              </w:rPr>
              <w:t>0</w:t>
            </w:r>
          </w:p>
        </w:tc>
        <w:tc>
          <w:tcPr>
            <w:tcW w:w="155" w:type="dxa"/>
            <w:tcBorders/>
            <w:vAlign w:val="center"/>
          </w:tcPr>
          <w:p>
            <w:pPr>
              <w:pStyle w:val="TableContents"/>
              <w:bidi w:val="0"/>
              <w:spacing w:before="0" w:after="283"/>
              <w:jc w:val="center"/>
              <w:rPr/>
            </w:pPr>
            <w:r>
              <w:rPr/>
              <w:t>=</w:t>
            </w:r>
          </w:p>
        </w:tc>
        <w:tc>
          <w:tcPr>
            <w:tcW w:w="9640" w:type="dxa"/>
            <w:tcBorders/>
            <w:vAlign w:val="center"/>
          </w:tcPr>
          <w:p>
            <w:pPr>
              <w:pStyle w:val="TableContents"/>
              <w:bidi w:val="0"/>
              <w:spacing w:before="0" w:after="283"/>
              <w:jc w:val="both"/>
              <w:rPr/>
            </w:pPr>
            <w:r>
              <w:rPr/>
              <w:t>the Last Reported Sale Price of the Class A Ordinary Shares on the Trading Day immediately preceding the Ex-Dividend Date for such dividend or distribution; and</w:t>
            </w:r>
          </w:p>
        </w:tc>
      </w:tr>
    </w:tbl>
    <w:p>
      <w:pPr>
        <w:pStyle w:val="TextBody"/>
        <w:bidi w:val="0"/>
        <w:spacing w:before="0" w:after="0"/>
        <w:ind w:left="1260" w:right="0" w:hanging="12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55"/>
        <w:gridCol w:w="9880"/>
      </w:tblGrid>
      <w:tr>
        <w:trPr/>
        <w:tc>
          <w:tcPr>
            <w:tcW w:w="170" w:type="dxa"/>
            <w:tcBorders/>
            <w:vAlign w:val="center"/>
          </w:tcPr>
          <w:p>
            <w:pPr>
              <w:pStyle w:val="TableContents"/>
              <w:bidi w:val="0"/>
              <w:spacing w:before="0" w:after="283"/>
              <w:jc w:val="left"/>
              <w:rPr>
                <w:sz w:val="20"/>
              </w:rPr>
            </w:pPr>
            <w:r>
              <w:rPr>
                <w:sz w:val="20"/>
              </w:rPr>
              <w:t>C</w:t>
            </w:r>
          </w:p>
        </w:tc>
        <w:tc>
          <w:tcPr>
            <w:tcW w:w="155" w:type="dxa"/>
            <w:tcBorders/>
            <w:vAlign w:val="center"/>
          </w:tcPr>
          <w:p>
            <w:pPr>
              <w:pStyle w:val="TableContents"/>
              <w:bidi w:val="0"/>
              <w:spacing w:before="0" w:after="283"/>
              <w:jc w:val="center"/>
              <w:rPr/>
            </w:pPr>
            <w:r>
              <w:rPr/>
              <w:t>=</w:t>
            </w:r>
          </w:p>
        </w:tc>
        <w:tc>
          <w:tcPr>
            <w:tcW w:w="9880" w:type="dxa"/>
            <w:tcBorders/>
            <w:vAlign w:val="center"/>
          </w:tcPr>
          <w:p>
            <w:pPr>
              <w:pStyle w:val="TableContents"/>
              <w:bidi w:val="0"/>
              <w:spacing w:before="0" w:after="283"/>
              <w:jc w:val="left"/>
              <w:rPr>
                <w:sz w:val="20"/>
              </w:rPr>
            </w:pPr>
            <w:r>
              <w:rPr>
                <w:sz w:val="20"/>
              </w:rPr>
              <w:t>the amount in cash per Class A Ordinary Share the Company distributes to all or substantially all holders of the Class A Ordinary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increase made pursuant to this ‎Section 14.05(d) shall become effective immediately after the open of business on the Ex-Dividend Date for such dividend or distribution. To the extent such dividend or distribution is not so paid, the Conversion Rate shall be decreased, effective as of the date the Board of Directors determines not to make or pay such dividend or distribution, to be the Conversion Rate that would then be in effect had the adjustment been made on the basis of only the dividend or distribution, if any, actually made or paid. Notwithstanding the foregoing, if “C” (as defined above) is equal to or greater than “SP</w:t>
      </w:r>
      <w:r>
        <w:rPr>
          <w:rFonts w:ascii="Times New Roman;Times;Serif" w:hAnsi="Times New Roman;Times;Serif"/>
          <w:b w:val="false"/>
          <w:i w:val="false"/>
          <w:caps w:val="false"/>
          <w:smallCaps w:val="false"/>
          <w:position w:val="-2"/>
          <w:sz w:val="16"/>
          <w:sz w:val="20"/>
        </w:rPr>
        <w:t>0</w:t>
      </w:r>
      <w:r>
        <w:rPr>
          <w:rFonts w:ascii="Times New Roman;Times;Serif" w:hAnsi="Times New Roman;Times;Serif"/>
          <w:b w:val="false"/>
          <w:i w:val="false"/>
          <w:caps w:val="false"/>
          <w:smallCaps w:val="false"/>
          <w:sz w:val="20"/>
        </w:rPr>
        <w:t>” (as defined above), in lieu of the foregoing increase, each Holder of a Note shall receive, for each $1,000 principal amount of Notes, at the same time and upon the same terms as holders of Class A Ordinary Shares without having to convert its Notes, the amount of cash that such Holder would have received if such Holder owned a number of Class A Ordinary Shares equal to the Conversion Rate on the Ex-Dividend Date for such cash dividend or distribution.</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left"/>
        <w:rPr/>
      </w:pPr>
      <w:r>
        <w:rPr/>
        <w:t>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the Company or any of its Subsidiaries make a payment in respect of a tender or exchange offer for Class A Ordinary Shares that is subject to the then-applicable tender offer rules under the Exchange Act (other than any odd-lot tender offer), to the extent that the cash and value of any other consideration included in the payment per Class A Ordinary Share exceeds the average of the Last Reported Sale Prices of the Class A Ordinary Shares over the ten (10) consecutive Trading Day period commencing on, and including, the Trading Day next succeeding the date such tender or exchange offer expires, the Conversion Rate shall be increased based on the following formula: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914525" cy="4095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5"/>
                    <a:stretch>
                      <a:fillRect/>
                    </a:stretch>
                  </pic:blipFill>
                  <pic:spPr bwMode="auto">
                    <a:xfrm>
                      <a:off x="0" y="0"/>
                      <a:ext cx="1914525" cy="4095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1260" w:right="0" w:hanging="12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0"/>
        <w:gridCol w:w="155"/>
        <w:gridCol w:w="9580"/>
      </w:tblGrid>
      <w:tr>
        <w:trPr/>
        <w:tc>
          <w:tcPr>
            <w:tcW w:w="470" w:type="dxa"/>
            <w:tcBorders/>
            <w:vAlign w:val="center"/>
          </w:tcPr>
          <w:p>
            <w:pPr>
              <w:pStyle w:val="TableContents"/>
              <w:bidi w:val="0"/>
              <w:spacing w:before="0" w:after="283"/>
              <w:jc w:val="left"/>
              <w:rPr/>
            </w:pPr>
            <w:r>
              <w:rPr/>
              <w:t>CR</w:t>
            </w:r>
            <w:r>
              <w:rPr>
                <w:position w:val="-2"/>
                <w:sz w:val="19"/>
              </w:rPr>
              <w:t>0</w:t>
            </w:r>
          </w:p>
        </w:tc>
        <w:tc>
          <w:tcPr>
            <w:tcW w:w="155" w:type="dxa"/>
            <w:tcBorders/>
            <w:vAlign w:val="center"/>
          </w:tcPr>
          <w:p>
            <w:pPr>
              <w:pStyle w:val="TableContents"/>
              <w:bidi w:val="0"/>
              <w:spacing w:before="0" w:after="283"/>
              <w:jc w:val="center"/>
              <w:rPr/>
            </w:pPr>
            <w:r>
              <w:rPr/>
              <w:t>=</w:t>
            </w:r>
          </w:p>
        </w:tc>
        <w:tc>
          <w:tcPr>
            <w:tcW w:w="9580" w:type="dxa"/>
            <w:tcBorders/>
            <w:vAlign w:val="center"/>
          </w:tcPr>
          <w:p>
            <w:pPr>
              <w:pStyle w:val="TableContents"/>
              <w:bidi w:val="0"/>
              <w:spacing w:before="0" w:after="283"/>
              <w:jc w:val="both"/>
              <w:rPr/>
            </w:pPr>
            <w:r>
              <w:rPr/>
              <w:t>the Conversion Rate in effect immediately prior to the close of business on the 10th Trading Day immediately following, and including, the Trading Day next succeeding the date such tender or exchange offer expires (the “</w:t>
            </w:r>
            <w:r>
              <w:rPr>
                <w:b/>
              </w:rPr>
              <w:t>Expiration Date</w:t>
            </w:r>
            <w:r>
              <w:rPr/>
              <w:t>”);</w:t>
            </w:r>
          </w:p>
        </w:tc>
      </w:tr>
    </w:tbl>
    <w:p>
      <w:pPr>
        <w:pStyle w:val="TextBody"/>
        <w:bidi w:val="0"/>
        <w:spacing w:before="0" w:after="0"/>
        <w:ind w:left="1260" w:right="0" w:hanging="12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0"/>
        <w:gridCol w:w="155"/>
        <w:gridCol w:w="9580"/>
      </w:tblGrid>
      <w:tr>
        <w:trPr/>
        <w:tc>
          <w:tcPr>
            <w:tcW w:w="470" w:type="dxa"/>
            <w:tcBorders/>
            <w:vAlign w:val="center"/>
          </w:tcPr>
          <w:p>
            <w:pPr>
              <w:pStyle w:val="TableContents"/>
              <w:bidi w:val="0"/>
              <w:spacing w:before="0" w:after="283"/>
              <w:jc w:val="left"/>
              <w:rPr/>
            </w:pPr>
            <w:r>
              <w:rPr/>
              <w:t>CR</w:t>
            </w:r>
            <w:r>
              <w:rPr>
                <w:position w:val="-2"/>
                <w:sz w:val="19"/>
              </w:rPr>
              <w:t>1</w:t>
            </w:r>
          </w:p>
        </w:tc>
        <w:tc>
          <w:tcPr>
            <w:tcW w:w="155" w:type="dxa"/>
            <w:tcBorders/>
            <w:vAlign w:val="center"/>
          </w:tcPr>
          <w:p>
            <w:pPr>
              <w:pStyle w:val="TableContents"/>
              <w:bidi w:val="0"/>
              <w:spacing w:before="0" w:after="283"/>
              <w:jc w:val="center"/>
              <w:rPr/>
            </w:pPr>
            <w:r>
              <w:rPr/>
              <w:t>=</w:t>
            </w:r>
          </w:p>
        </w:tc>
        <w:tc>
          <w:tcPr>
            <w:tcW w:w="9580" w:type="dxa"/>
            <w:tcBorders/>
            <w:vAlign w:val="center"/>
          </w:tcPr>
          <w:p>
            <w:pPr>
              <w:pStyle w:val="TableContents"/>
              <w:bidi w:val="0"/>
              <w:spacing w:before="0" w:after="283"/>
              <w:jc w:val="both"/>
              <w:rPr/>
            </w:pPr>
            <w:r>
              <w:rPr/>
              <w:t>the Conversion Rate in effect immediately after the close of business on the 10th Trading Day immediately following, and including, the Trading Day next succeeding the Expiration Date;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05"/>
        <w:gridCol w:w="155"/>
        <w:gridCol w:w="9745"/>
      </w:tblGrid>
      <w:tr>
        <w:trPr/>
        <w:tc>
          <w:tcPr>
            <w:tcW w:w="305" w:type="dxa"/>
            <w:tcBorders/>
            <w:vAlign w:val="center"/>
          </w:tcPr>
          <w:p>
            <w:pPr>
              <w:pStyle w:val="TableContents"/>
              <w:bidi w:val="0"/>
              <w:spacing w:before="0" w:after="283"/>
              <w:jc w:val="left"/>
              <w:rPr>
                <w:sz w:val="20"/>
              </w:rPr>
            </w:pPr>
            <w:r>
              <w:rPr>
                <w:sz w:val="20"/>
              </w:rPr>
              <w:t>AC</w:t>
            </w:r>
          </w:p>
        </w:tc>
        <w:tc>
          <w:tcPr>
            <w:tcW w:w="155" w:type="dxa"/>
            <w:tcBorders/>
            <w:vAlign w:val="center"/>
          </w:tcPr>
          <w:p>
            <w:pPr>
              <w:pStyle w:val="TableContents"/>
              <w:bidi w:val="0"/>
              <w:spacing w:before="0" w:after="283"/>
              <w:jc w:val="center"/>
              <w:rPr/>
            </w:pPr>
            <w:r>
              <w:rPr/>
              <w:t>=</w:t>
            </w:r>
          </w:p>
        </w:tc>
        <w:tc>
          <w:tcPr>
            <w:tcW w:w="9745" w:type="dxa"/>
            <w:tcBorders/>
            <w:vAlign w:val="center"/>
          </w:tcPr>
          <w:p>
            <w:pPr>
              <w:pStyle w:val="TableContents"/>
              <w:bidi w:val="0"/>
              <w:spacing w:before="0" w:after="283"/>
              <w:jc w:val="both"/>
              <w:rPr>
                <w:sz w:val="20"/>
              </w:rPr>
            </w:pPr>
            <w:r>
              <w:rPr>
                <w:sz w:val="20"/>
              </w:rPr>
              <w:t>the aggregate value of all cash and any other consideration (as reasonably determined by the Company in good faith) paid or payable for Class A Ordinary Shares purchased in such tender or exchange offer;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55"/>
        <w:gridCol w:w="155"/>
        <w:gridCol w:w="9595"/>
      </w:tblGrid>
      <w:tr>
        <w:trPr/>
        <w:tc>
          <w:tcPr>
            <w:tcW w:w="455" w:type="dxa"/>
            <w:tcBorders/>
            <w:vAlign w:val="center"/>
          </w:tcPr>
          <w:p>
            <w:pPr>
              <w:pStyle w:val="TableContents"/>
              <w:bidi w:val="0"/>
              <w:spacing w:before="0" w:after="283"/>
              <w:jc w:val="left"/>
              <w:rPr/>
            </w:pPr>
            <w:r>
              <w:rPr/>
              <w:t>OS</w:t>
            </w:r>
            <w:r>
              <w:rPr>
                <w:position w:val="-2"/>
                <w:sz w:val="19"/>
              </w:rPr>
              <w:t>0</w:t>
            </w:r>
          </w:p>
        </w:tc>
        <w:tc>
          <w:tcPr>
            <w:tcW w:w="155" w:type="dxa"/>
            <w:tcBorders/>
            <w:vAlign w:val="center"/>
          </w:tcPr>
          <w:p>
            <w:pPr>
              <w:pStyle w:val="TableContents"/>
              <w:bidi w:val="0"/>
              <w:spacing w:before="0" w:after="283"/>
              <w:jc w:val="center"/>
              <w:rPr/>
            </w:pPr>
            <w:r>
              <w:rPr/>
              <w:t>=</w:t>
            </w:r>
          </w:p>
        </w:tc>
        <w:tc>
          <w:tcPr>
            <w:tcW w:w="9595" w:type="dxa"/>
            <w:tcBorders/>
            <w:vAlign w:val="center"/>
          </w:tcPr>
          <w:p>
            <w:pPr>
              <w:pStyle w:val="TableContents"/>
              <w:bidi w:val="0"/>
              <w:spacing w:before="0" w:after="283"/>
              <w:jc w:val="both"/>
              <w:rPr/>
            </w:pPr>
            <w:r>
              <w:rPr/>
              <w:t>the number of Class A Ordinary Shares issued and outstanding immediately prior to the Expiration Date (prior to giving effect to the purchase of all Class A Ordinary Shares accepted for purchase or exchange in such tender or exchange offer);</w:t>
            </w:r>
          </w:p>
        </w:tc>
      </w:tr>
    </w:tbl>
    <w:p>
      <w:pPr>
        <w:pStyle w:val="TextBody"/>
        <w:bidi w:val="0"/>
        <w:spacing w:before="0" w:after="0"/>
        <w:ind w:left="1260" w:right="0" w:hanging="12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155"/>
        <w:gridCol w:w="9595"/>
      </w:tblGrid>
      <w:tr>
        <w:trPr/>
        <w:tc>
          <w:tcPr>
            <w:tcW w:w="455" w:type="dxa"/>
            <w:tcBorders/>
            <w:vAlign w:val="center"/>
          </w:tcPr>
          <w:p>
            <w:pPr>
              <w:pStyle w:val="TableContents"/>
              <w:bidi w:val="0"/>
              <w:spacing w:before="0" w:after="283"/>
              <w:jc w:val="left"/>
              <w:rPr/>
            </w:pPr>
            <w:r>
              <w:rPr/>
              <w:t>OS</w:t>
            </w:r>
            <w:r>
              <w:rPr>
                <w:position w:val="-2"/>
                <w:sz w:val="19"/>
              </w:rPr>
              <w:t>1</w:t>
            </w:r>
          </w:p>
        </w:tc>
        <w:tc>
          <w:tcPr>
            <w:tcW w:w="155" w:type="dxa"/>
            <w:tcBorders/>
            <w:vAlign w:val="center"/>
          </w:tcPr>
          <w:p>
            <w:pPr>
              <w:pStyle w:val="TableContents"/>
              <w:bidi w:val="0"/>
              <w:spacing w:before="0" w:after="283"/>
              <w:jc w:val="center"/>
              <w:rPr/>
            </w:pPr>
            <w:r>
              <w:rPr/>
              <w:t>=</w:t>
            </w:r>
          </w:p>
        </w:tc>
        <w:tc>
          <w:tcPr>
            <w:tcW w:w="9595" w:type="dxa"/>
            <w:tcBorders/>
            <w:vAlign w:val="center"/>
          </w:tcPr>
          <w:p>
            <w:pPr>
              <w:pStyle w:val="TableContents"/>
              <w:bidi w:val="0"/>
              <w:spacing w:before="0" w:after="283"/>
              <w:jc w:val="both"/>
              <w:rPr/>
            </w:pPr>
            <w:r>
              <w:rPr/>
              <w:t>the number of Class A Ordinary Shares issued and outstanding immediately after the Expiration Date (after giving effect to the purchase of all Class A Ordinary Shares accepted for purchase or exchange in such tender or exchange offer); and</w:t>
            </w:r>
          </w:p>
        </w:tc>
      </w:tr>
    </w:tbl>
    <w:p>
      <w:pPr>
        <w:pStyle w:val="TextBody"/>
        <w:bidi w:val="0"/>
        <w:spacing w:before="0" w:after="0"/>
        <w:ind w:left="1260" w:right="0" w:hanging="12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0"/>
        <w:gridCol w:w="155"/>
        <w:gridCol w:w="9640"/>
      </w:tblGrid>
      <w:tr>
        <w:trPr/>
        <w:tc>
          <w:tcPr>
            <w:tcW w:w="410" w:type="dxa"/>
            <w:tcBorders/>
            <w:vAlign w:val="center"/>
          </w:tcPr>
          <w:p>
            <w:pPr>
              <w:pStyle w:val="TableContents"/>
              <w:bidi w:val="0"/>
              <w:spacing w:before="0" w:after="283"/>
              <w:jc w:val="left"/>
              <w:rPr/>
            </w:pPr>
            <w:r>
              <w:rPr/>
              <w:t>SP</w:t>
            </w:r>
            <w:r>
              <w:rPr>
                <w:position w:val="-2"/>
                <w:sz w:val="19"/>
              </w:rPr>
              <w:t>1</w:t>
            </w:r>
          </w:p>
        </w:tc>
        <w:tc>
          <w:tcPr>
            <w:tcW w:w="155" w:type="dxa"/>
            <w:tcBorders/>
            <w:vAlign w:val="center"/>
          </w:tcPr>
          <w:p>
            <w:pPr>
              <w:pStyle w:val="TableContents"/>
              <w:bidi w:val="0"/>
              <w:spacing w:before="0" w:after="283"/>
              <w:jc w:val="center"/>
              <w:rPr/>
            </w:pPr>
            <w:r>
              <w:rPr/>
              <w:t>=</w:t>
            </w:r>
          </w:p>
        </w:tc>
        <w:tc>
          <w:tcPr>
            <w:tcW w:w="9640" w:type="dxa"/>
            <w:tcBorders/>
            <w:vAlign w:val="center"/>
          </w:tcPr>
          <w:p>
            <w:pPr>
              <w:pStyle w:val="TableContents"/>
              <w:bidi w:val="0"/>
              <w:spacing w:before="0" w:after="283"/>
              <w:jc w:val="both"/>
              <w:rPr/>
            </w:pPr>
            <w:r>
              <w:rPr/>
              <w:t>the average of the Last Reported Sale Prices of the Class A Ordinary Shares over the ten (10) consecutive Trading Day period commencing on, and including, the Trading Day next succeeding the Expiration Date.</w:t>
            </w:r>
          </w:p>
        </w:tc>
      </w:tr>
    </w:tbl>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increase to the Conversion Rate under this ‎Section 14.05(e) shall occur at the close of business on the 10th Trading Day immediately following, and including, the Trading Day next succeeding the Expiration Date;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(x) in respect of any conversion of Notes for which Physical Settlement is applicable, if the relevant Conversion Date occurs during the 10 Trading Days immediately following, and including, the Trading Day next succeeding the Expiration Date, references to “10” or “10th” in the preceding paragraph shall be deemed replaced with such lesser number of Trading Days as have elapsed from, and including, the Trading Day next succeeding such Expiration Date to, and including, such Conversion Date in determining the Conversion Rate and (y) in respect of any conversion of Notes for which Cash Settlement or Combination Settlement is applicable, for any Trading Day that falls within the relevant Observation Period for such conversion and within the 10 Trading Days immediately following, and including, the Trading Day next succeeding any Expiration Date, references to “10” or “10th” in the preceding paragraph shall be deemed replaced with such lesser number of Trading Days as have elapsed from, and including, the Trading Day next succeeding such Expiration Date of such tender or exchange offer to, and including, such Trading Day in determining the Conversion Rate as of such Trading Day.</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left"/>
        <w:rPr/>
      </w:pPr>
      <w:r>
        <w:rPr/>
        <w:t>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such tender or exchange offer is announced but not consummated (including as a result of the Company being precluded from consummating such tender or exchange offer under applicable law) or any purchases or exchanges of Class A Ordinary Shares in such tender or exchange offer are rescinded, the applicable Conversion Rate will be readjusted to the Conversion Rate that would then be in effect had the adjustment been made on the basis of only the purchases or exchanges of the Class A Ordinary Shares, if any, actually made, and not rescinded, in such tender or exchange offer.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this ‎Section 14.05 or any other provision of this Indenture or the Notes, if a Conversion Rate adjustment becomes effective on any Ex-Dividend Date, and a Holder that has converted its Notes on or after such Ex-Dividend Date and on or prior to the related Record Date would be treated as the record holder of Class A Ordinary Shares as of the related Conversion Date as described under ‎Section 14.02(h) based on an adjusted Conversion Rate for such Ex-Dividend Date, then, notwithstanding the Conversion Rate adjustment provisions in this ‎Section 14.05, the Conversion Rate adjustment relating to such Ex-Dividend Date shall not be made for such converting Holder. Instead, such Holder shall be treated as if such Holder were the record owner of Class A Ordinary Shares on an unadjusted basis and participate in the related dividend, distribution or other event giving rise to such adjustment.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the Company will not be required to adjust the Conversion Rate unless such adjustment would require an increase or decrease of at least one percent (1%);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any such minor adjustments that are not required to be made will be carried forward and taken into account in any subsequent adjustment,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any such adjustment of less than one percent (1%) that has not been made shall be made upon the occurrence of (i) the Effective Date for any Fundamental Change or Make-Whole Fundamental Change and (ii) in the case of any Note to which Physical Settlement applies, the relevant Conversion Date, and, in the case of any Note to which Cash Settlement or Combination Settlement applies, each Trading Day of the applicable Observation Period. In addition, the Company shall not account for such deferrals when determining what number of Class A Ordinary Shares a Holder would have held on a given day had it converted its Notes (collectively, the “</w:t>
      </w:r>
      <w:r>
        <w:rPr>
          <w:rFonts w:ascii="Times New Roman;Times;Serif" w:hAnsi="Times New Roman;Times;Serif"/>
          <w:b/>
          <w:i w:val="false"/>
          <w:caps w:val="false"/>
          <w:smallCaps w:val="false"/>
          <w:sz w:val="20"/>
        </w:rPr>
        <w:t>1% exception</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as stated herein, the Company shall not adjust the Conversion Rate for the issuance of Class A Ordinary Shares or any securities convertible into or exchangeable for Class A Ordinary Shares or the right to purchase Class A Ordinary Shares or such convertible or exchangeable securities.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left"/>
        <w:rPr/>
      </w:pPr>
      <w:r>
        <w:rPr/>
        <w:t>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 addition to those adjustments required by clauses ‎(a), ‎(b), ‎(c), ‎(d) and ‎(e) of this ‎Section 14.05, and to the extent permitted by applicable law and subject to the applicable rules of the Nasdaq Capital Market and any other securities exchange on which any securities of the Company are then listed, the Company may increase the Conversion Rate by any amount for a period of at least twenty (20) Business Days if the Company determines that such increase would be in the Company’s best interest, and the Company may (but is not required to) increase the Conversion Rate to avoid or diminish any income tax to holders of Class A Ordinary Shares or rights to purchase Class A Ordinary Shares in connection with a dividend or distribution of Class A Ordinary Shares (or rights to acquire Class A Ordinary Shares) or similar event.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Notwithstanding anything to the contrary in this ‎Article 14, the Conversion Rate shall not be adjusted: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upon the issuance of Class A Ordinary Shares at a price below the Conversion Price or otherwise, other than any such issuance described in ‎Section 14.05(a), ‎Section 14.05(b), ‎Section 14.05(c) or Section 14.05(e);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upon the issuance of any Class A Ordinary Shares pursuant to any present or future plan providing for the reinvestment of dividends or interest payable on the Company’s securities and the investment of additional optional amounts in Class A Ordinary Shares under any plan;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upon the issuance of any Class A Ordinary Shares or options or rights to purchase those shares pursuant to any present or future employee, director or consultant benefit plan or program (including pursuant to any evergreen plan) of or assumed by the Company or any of the Company’s Subsidiaries;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upon the repurchase of any Class A Ordinary Shares pursuant to an open-market share repurchase program or other buyback transaction that is not a tender offer or exchange offer of the nature described in ‎Section 14.05(e);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for a third-party tender offer by any party other than a tender offer by one or more of the Company’s Subsidiaries as described in ‎Section 14.05(e);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upon the issuance of any Class A Ordinary Shares pursuant any option, warrant, right or exercisable, exchangeable or convertible security not described in clause ‎ (iii) of this subsection and outstanding as of the date the Notes were first issued (other than any rights under a shareholder rights plan);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solely for a change in the par value (or lack of par value) of the Class A Ordinary Shares; or</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for accrued and unpaid interest, if any.</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hanging="0"/>
        <w:jc w:val="left"/>
        <w:rPr/>
      </w:pPr>
      <w:r>
        <w:rPr/>
        <w:t>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All calculations and other determinations under this ‎Article 14 shall be made by the Company and all calculations of the Conversion Rate shall be made to the nearest one-ten thousandth (1/10,000th) of a share.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Whenever the Conversion Rate is adjusted as herein provided, the Company shall promptly file with the Trustee (and the Conversion Agent if not the Trustee) an Officer’s Certificate setting forth the Conversion Rate after such adjustment and setting forth a brief statement of the facts requiring such adjustment. Unless and until a Responsible Officer shall have received such Officer’s Certificate, the Trustee shall not be deemed to have knowledge of any adjustment of the Conversion Rate and may assume without inquiry that the last Conversion Rate of which it has knowledge is still in effect. Promptly after delivery of such certificate, the Company shall prepare a notice of such adjustment of the Conversion Rate setting forth the adjusted Conversion Rate and the date on which each adjustment becomes effective and shall deliver such notice of such adjustment of the Conversion Rate to each Holder. Failure to deliver such notice shall not affect the legality or validity of any such adjustment and for the avoidance of doubt, neither the Trustee nor the Conversion Agent shall have any liability or responsibility for the Conversion Rate, the calculation thereof or application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For purposes of this ‎Section 14.05, the number of Class A Ordinary Shares at any time outstanding shall not include Class A Ordinary Shares held in the treasury of the Company so long as the Company does not pay any dividend or make any distribution on the Class A Ordinary Shares held in the treasury of the Company, but shall include Class A Ordinary Shares issuable in respect of scrip certificates issued in lieu of fractions of Class A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14.06   </w:t>
      </w:r>
      <w:r>
        <w:rPr>
          <w:rFonts w:ascii="Times New Roman;Times;Serif" w:hAnsi="Times New Roman;Times;Serif"/>
          <w:b w:val="false"/>
          <w:i/>
          <w:caps w:val="false"/>
          <w:smallCaps w:val="false"/>
          <w:sz w:val="20"/>
        </w:rPr>
        <w:t xml:space="preserve">Adjustments of Prices. </w:t>
      </w:r>
      <w:r>
        <w:rPr>
          <w:rFonts w:ascii="Times New Roman;Times;Serif" w:hAnsi="Times New Roman;Times;Serif"/>
          <w:b w:val="false"/>
          <w:i w:val="false"/>
          <w:caps w:val="false"/>
          <w:smallCaps w:val="false"/>
          <w:sz w:val="20"/>
        </w:rPr>
        <w:t>Whenever any provision of this Indenture requires the Company to calculate the Last Reported Sale Prices, the Daily VWAPs, the Daily Conversion Values or the Daily Settlement Amounts, the Share Price for purposes of a Make-Whole Fundamental Change or the Redemption Reference Price for purposes of a Redemption over a span of multiple days, the Company shall make appropriate adjustments in good faith and in a commercially reasonable manner to each to account for any adjustment to the Conversion Rate that becomes effective, or any event requiring an adjustment to the Conversion Rate where the Ex-Dividend Date, Effective Date or Expiration Date, as the case may be, of the event occurs, at any time during the period when such Last Reported Sale Prices, the Daily VWAPs, the Daily Conversion Values or the Daily Settlement Amounts or Share Prices are to be calculated.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14.07   </w:t>
      </w:r>
      <w:r>
        <w:rPr>
          <w:rFonts w:ascii="Times New Roman;Times;Serif" w:hAnsi="Times New Roman;Times;Serif"/>
          <w:b w:val="false"/>
          <w:i/>
          <w:caps w:val="false"/>
          <w:smallCaps w:val="false"/>
          <w:sz w:val="20"/>
        </w:rPr>
        <w:t>Shares To Be Fully Paid.</w:t>
      </w:r>
      <w:r>
        <w:rPr>
          <w:rFonts w:ascii="Times New Roman;Times;Serif" w:hAnsi="Times New Roman;Times;Serif"/>
          <w:b w:val="false"/>
          <w:i w:val="false"/>
          <w:caps w:val="false"/>
          <w:smallCaps w:val="false"/>
          <w:sz w:val="20"/>
        </w:rPr>
        <w:t xml:space="preserve"> The Company shall provide, free from preemptive rights, out of its authorized but unissued shares or shares held in treasury, sufficient Class A Ordinary Shares to provide for conversion of the Notes from time to time as such Notes are presented for conversion (assuming delivery of the maximum number of Additional Class A Ordinary Shares pursuant to ‎ Section 14.03 and that at the time of computation of such number of shares, all such Notes would be converted by a single Holder and that Physical Settlement were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14.08   </w:t>
      </w:r>
      <w:r>
        <w:rPr>
          <w:rFonts w:ascii="Times New Roman;Times;Serif" w:hAnsi="Times New Roman;Times;Serif"/>
          <w:b w:val="false"/>
          <w:i/>
          <w:caps w:val="false"/>
          <w:smallCaps w:val="false"/>
          <w:sz w:val="20"/>
        </w:rPr>
        <w:t>Effect of Recapitalizations, Reclassifications and Changes of the Class A Ordinary Shares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case of:</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recapitalization, reclassification or change of the Class A Ordinary Shares (other than a change in par value, or from par value to no par value, or changes resulting from a subdivision or combination),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consolidation, merger, combination or similar transaction involving the Company,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sale, lease or other transfer to a third party of the consolidated assets of the Company and the Company’s Subsidiaries substantially as an entirety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statutory share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as a result of which the Class A Ordinary Shares would be converted into, or exchanged for, stock, other securities, other property or assets (including cash or any combination thereof) (any such event, a “</w:t>
      </w:r>
      <w:r>
        <w:rPr>
          <w:rFonts w:ascii="Times New Roman;Times;Serif" w:hAnsi="Times New Roman;Times;Serif"/>
          <w:b/>
          <w:i w:val="false"/>
          <w:caps w:val="false"/>
          <w:smallCaps w:val="false"/>
          <w:sz w:val="20"/>
        </w:rPr>
        <w:t>Share Exchange Event</w:t>
      </w:r>
      <w:r>
        <w:rPr>
          <w:rFonts w:ascii="Times New Roman;Times;Serif" w:hAnsi="Times New Roman;Times;Serif"/>
          <w:b w:val="false"/>
          <w:i w:val="false"/>
          <w:caps w:val="false"/>
          <w:smallCaps w:val="false"/>
          <w:sz w:val="20"/>
        </w:rPr>
        <w:t>”), then, the Company, or the successor or acquiring company, as the case may be, will execute with the Trustee a supplemental indenture providing that, at and after the effective time of such Share Exchange Event, the right to convert each $1,000 principal amount of Notes shall be changed into a right to convert such principal amount of Notes into the kind and amount of shares of stock, other securities or other property or assets (including cash or any combination thereof) that a holder of a number of Class A Ordinary Shares equal to the Conversion Rate immediately prior to such Share Exchange Event would have owned or been entitled to receive (the “</w:t>
      </w:r>
      <w:r>
        <w:rPr>
          <w:rFonts w:ascii="Times New Roman;Times;Serif" w:hAnsi="Times New Roman;Times;Serif"/>
          <w:b/>
          <w:i w:val="false"/>
          <w:caps w:val="false"/>
          <w:smallCaps w:val="false"/>
          <w:sz w:val="20"/>
        </w:rPr>
        <w:t>Reference Property</w:t>
      </w:r>
      <w:r>
        <w:rPr>
          <w:rFonts w:ascii="Times New Roman;Times;Serif" w:hAnsi="Times New Roman;Times;Serif"/>
          <w:b w:val="false"/>
          <w:i w:val="false"/>
          <w:caps w:val="false"/>
          <w:smallCaps w:val="false"/>
          <w:sz w:val="20"/>
        </w:rPr>
        <w:t>,” with each “</w:t>
      </w:r>
      <w:r>
        <w:rPr>
          <w:rFonts w:ascii="Times New Roman;Times;Serif" w:hAnsi="Times New Roman;Times;Serif"/>
          <w:b/>
          <w:i w:val="false"/>
          <w:caps w:val="false"/>
          <w:smallCaps w:val="false"/>
          <w:sz w:val="20"/>
        </w:rPr>
        <w:t>unit of Reference Property</w:t>
      </w:r>
      <w:r>
        <w:rPr>
          <w:rFonts w:ascii="Times New Roman;Times;Serif" w:hAnsi="Times New Roman;Times;Serif"/>
          <w:b w:val="false"/>
          <w:i w:val="false"/>
          <w:caps w:val="false"/>
          <w:smallCaps w:val="false"/>
          <w:sz w:val="20"/>
        </w:rPr>
        <w:t xml:space="preserve">” meaning the kind and amount of Reference Property that a holder of one Class A Ordinary Share would have been entitled to receive) upon such Share Exchange Event;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at and after the effective time of the Share Exchange Event (A) the Company, or the successor or acquiring company, as the case may be, shall continue to have the right to determine the form of consideration to be paid or delivered, as the case may be, upon conversion of Notes in accordance with ‎Section 14.02 and (B) (I) any amount payable in cash upon conversion of the Notes in accordance with ‎Section 14.02 shall continue to be payable in cash, (II) any Class A Ordinary Shares that the Company would have been required to deliver upon conversion of the Notes in accordance with ‎Section 14.02 shall instead be deliverable in the amount and type of Reference Property that a holder of that number of Class A Ordinary Shares would have received in such Share Exchange Event and (III) the Daily VWAP shall be calculated based on the value of a unit of Reference Property that a holder of one Class A Ordinary Share would have received in such Share Exchange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Exchange Event causes the Class A Ordinary Shares to be converted into, or exchanged for, the right to receive more than a single type of consideration (determined based in part upon any form of shareholder election), then (i) the Reference Property into which the Notes will be convertible shall be deemed to be the weighted average of the types and amounts of consideration actually received by the holders of Class A Ordinary Shares. If the holders of Class A Ordinary Shares receive only cash in such Share Exchange Event, then for all conversions that occur after the effective date of such Share Exchange Event (x) the consideration due upon conversion of each $1,000 principal amount of Notes shall be solely cash in an amount equal to the Conversion Rate in effect on the Conversion Date, multiplied by the price paid per Class A Ordinary Share in such Share Exchange Event and (y) the Company shall pay cash to converting Holders on the fifth Business Day immediately following the Conversion Date. The Company shall notify Holders, the Trustee and the Conversion Agent (if other than the Trustee) in writing of such weighted average as soon as practicable after such determination is made.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Reference Property in respect of any such Share Exchange Event includes, in whole or in part, shares of Common Equity or depositary receipts (or other interests) in respect thereof, the supplemental indenture providing that the Notes will be convertible into Reference Property will also provide for anti-dilution and other adjustments that shall be as nearly equivalent as practicable to the adjustments provided for in this ‎Article 14 (it being understood that no such adjustments shall be required with respect to any portion of the Reference Property that does not consist of shares of Common Equity (however evidenced) or depositary receipts (or other interests) in respect thereof). If the Reference Property in respect of any Share Exchange Event includes shares of stock, securities or other property or assets (other than cash and/or cash equivalents) of a company other than the Company or the successor or acquiring company, as the case may be, in such Share Exchange Event, then such other company, if an Affiliate of the Company or the successor or acquiring company, shall also execute such supplemental indenture, and such supplemental indenture shall contain such additional provisions to protect the interests of the Holders, including the right of Holders to require the Company to repurchase their Notes upon a Fundamental Change pursuant to Section 15.02 and on the Specified Repurchase Date pursuant to ‎Section 15.01, as the Company in good faith reasonably considers necessary by reason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Promptly following execution by the Company of a supplemental indenture pursuant to subsection ‎(a) of this ‎Section 14.08, the Company shall file with the Trustee an Officer’s Certificate briefly stating the reasons therefor, the kind or amount of cash, securities or property or asset that will comprise a unit of Reference Property after any such Share Exchange Event, any adjustment to be made with respect thereto and that all conditions precedent have been complied with, and shall promptly deliver notice thereof to all Holders. The Company shall cause notice of the execution of such supplemental indenture to be delivered to each Holder, within twenty days after execution thereof. Failure to deliver such notice shall not affect the legality or validity of such supplemental indenture.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not become a party to any Share Exchange Event unless its terms are consistent with this ‎Section 14.08. None of the foregoing provisions shall affect the right of a Holder to convert its Notes into cash, Class A Ordinary Shares or a combination of cash and Class A Ordinary Shares, as applicable, as set forth in ‎Section 14.01 and ‎Section 14.02 prior to the effective date of such Share Exchange Event.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above provisions of this ‎Section 14.08 shall similarly apply to successive Share Exchange Events.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14.09   </w:t>
      </w:r>
      <w:r>
        <w:rPr>
          <w:rFonts w:ascii="Times New Roman;Times;Serif" w:hAnsi="Times New Roman;Times;Serif"/>
          <w:b w:val="false"/>
          <w:i/>
          <w:caps w:val="false"/>
          <w:smallCaps w:val="false"/>
          <w:sz w:val="20"/>
        </w:rPr>
        <w:t>Certain Covenants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covenants that all Class A Ordinary Shares issued upon conversion of Notes will be fully paid and non-assessable by the Company and free from all taxes, liens and charges with respect to the issue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covenants that, if any Class A Ordinary Shares to be provided for the purpose of conversion of Notes hereunder require registration with or approval of any governmental authority under any federal or state law before such Class A Ordinary Shares may be validly issued upon conversion, the Company will, to the extent then permitted by the rules and interpretations of the Commission, secure such registration or approval, as the case may be.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further covenants that if at any time the Class A Ordinary Shares shall be listed on any national securities exchange or automated quotation system the Company will list and keep listed, so long as the Class A Ordinary Shares shall be so listed on such exchange or automated quotation system, any Class A Ordinary Shares issuable upon conversion of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14.10   </w:t>
      </w:r>
      <w:r>
        <w:rPr>
          <w:rFonts w:ascii="Times New Roman;Times;Serif" w:hAnsi="Times New Roman;Times;Serif"/>
          <w:b w:val="false"/>
          <w:i/>
          <w:caps w:val="false"/>
          <w:smallCaps w:val="false"/>
          <w:sz w:val="20"/>
        </w:rPr>
        <w:t>Responsibility of Trustee.</w:t>
      </w:r>
      <w:r>
        <w:rPr>
          <w:rFonts w:ascii="Times New Roman;Times;Serif" w:hAnsi="Times New Roman;Times;Serif"/>
          <w:b w:val="false"/>
          <w:i w:val="false"/>
          <w:caps w:val="false"/>
          <w:smallCaps w:val="false"/>
          <w:sz w:val="20"/>
        </w:rPr>
        <w:t xml:space="preserve"> The Trustee and any other Conversion Agent shall not at any time be under any duty or responsibility to any Holder to determine the Conversion Rate (or any adjustment thereto) or whether any facts exist that may require any adjustment (including any increase) of the Conversion Rate, or with respect to the nature or extent or calculation of any such adjustment when made, or with respect to the method employed, or herein or in any supplemental indenture provided to be employed, in making the same. The Trustee and any other Conversion Agent shall not be accountable with respect to the validity or value (or the kind or amount) of any Class A Ordinary Shares, or of any securities, property or cash that may at any time be issued or delivered upon the conversion of any Note; and the Trustee and any other Conversion Agent make no representations with respect thereto. Neither the Trustee nor any Conversion Agent shall be responsible for any failure of the Company to issue, transfer or deliver any Class A Ordinary Shares or stock certificates or other securities or property or cash upon the surrender of any Note for the purpose of conversion or to comply with any of the duties, responsibilities or covenants of the Company contained in this Article 14. Neither the Trustee nor any other Conversion Agent shall have any duty or responsibility whatsoever to determine compliance with the conversion procedures, or to make or confirm any calculations with respect to the settlement provisions, of Section 14.02. Without limiting the generality of the foregoing, neither the Trustee nor any Conversion Agent shall be under any responsibility to determine the correctness of any provisions contained in any supplemental indenture entered into pursuant to ‎Section 14.08 relating either to the kind or amount of shares of stock or securities or property (including cash) receivable by Holders upon the conversion of their Notes after any event referred to in such ‎Section 14.08 or to any adjustment to be made with respect thereto, but, subject to the provisions of Section 7.01, may accept (without any independent investigation) as conclusive evidence of the correctness of any such provisions, and shall be protected in relying upon, the Officer’s Certificate (which the Company shall be obligated to file with the Trustee prior to the execution of any such supplemental indenture) with respect thereto. Neither the Trustee nor the Conversion Agent shall be responsible for determining whether any event contemplated by ‎ Section 14.01(b) has occurred that makes the Notes eligible for conversion or no longer eligible therefor until the Company has delivered to the Trustee and the Conversion Agent the notices referred to in ‎ Section 14.01(b) with respect to the commencement or termination of such conversion rights, on which notices the Trustee and the Conversion Agent may conclusively rely, and the Company agrees to deliver such notices to the Trustee and the Conversion Agent immediately after the occurrence of any such event or at such other times as shall be provided for in ‎ Section 14.01(b).</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14.11   </w:t>
      </w:r>
      <w:r>
        <w:rPr>
          <w:rFonts w:ascii="Times New Roman;Times;Serif" w:hAnsi="Times New Roman;Times;Serif"/>
          <w:b w:val="false"/>
          <w:i/>
          <w:caps w:val="false"/>
          <w:smallCaps w:val="false"/>
          <w:sz w:val="20"/>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14.12   </w:t>
      </w:r>
      <w:r>
        <w:rPr>
          <w:rFonts w:ascii="Times New Roman;Times;Serif" w:hAnsi="Times New Roman;Times;Serif"/>
          <w:b w:val="false"/>
          <w:i/>
          <w:caps w:val="false"/>
          <w:smallCaps w:val="false"/>
          <w:sz w:val="20"/>
        </w:rPr>
        <w:t>Shareholder Rights Plans.</w:t>
      </w:r>
      <w:r>
        <w:rPr>
          <w:rFonts w:ascii="Times New Roman;Times;Serif" w:hAnsi="Times New Roman;Times;Serif"/>
          <w:b w:val="false"/>
          <w:i w:val="false"/>
          <w:caps w:val="false"/>
          <w:smallCaps w:val="false"/>
          <w:sz w:val="20"/>
        </w:rPr>
        <w:t xml:space="preserve"> If the Company has a shareholder rights plan in effect upon conversion of the Notes, each Class A Ordinary Shares, if any, issued upon such conversion shall be entitled to receive the appropriate number of rights, if any, and the certificates representing the Class A Ordinary Shares issued upon such conversion shall bear such legends, if any, in each case as may be provided by the terms of any such shareholder rights plan, as the same may be amended from time to time. However, if, prior to any conversion of Notes, the rights have separated from the Class A Ordinary Shares in accordance with the provisions of the applicable shareholder rights plan, the Conversion Rate shall be adjusted at the time of separation as if the Company distributed to all holders of the Distributed Property as provided in ‎Section 14.05(c), subject to readjustment in the event of the expiration, termination or redemption of such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14.13   </w:t>
      </w:r>
      <w:r>
        <w:rPr>
          <w:rFonts w:ascii="Times New Roman;Times;Serif" w:hAnsi="Times New Roman;Times;Serif"/>
          <w:b w:val="false"/>
          <w:i/>
          <w:caps w:val="false"/>
          <w:smallCaps w:val="false"/>
          <w:sz w:val="20"/>
        </w:rPr>
        <w:t>Exchange in Lieu of Conversion</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When a Holder surrenders its Notes for conversion, the Company may, at its election (an “</w:t>
      </w:r>
      <w:r>
        <w:rPr>
          <w:rFonts w:ascii="Times New Roman;Times;Serif" w:hAnsi="Times New Roman;Times;Serif"/>
          <w:b/>
          <w:i w:val="false"/>
          <w:caps w:val="false"/>
          <w:smallCaps w:val="false"/>
          <w:sz w:val="20"/>
        </w:rPr>
        <w:t>Exchange Election</w:t>
      </w:r>
      <w:r>
        <w:rPr>
          <w:rFonts w:ascii="Times New Roman;Times;Serif" w:hAnsi="Times New Roman;Times;Serif"/>
          <w:b w:val="false"/>
          <w:i w:val="false"/>
          <w:caps w:val="false"/>
          <w:smallCaps w:val="false"/>
          <w:sz w:val="20"/>
        </w:rPr>
        <w:t>”), direct the Conversion Agent to deliver, on or prior to the Trading Day immediately following the Conversion Date, such Notes to one or more financial institutions designated by the Company (each, a “</w:t>
      </w:r>
      <w:r>
        <w:rPr>
          <w:rFonts w:ascii="Times New Roman;Times;Serif" w:hAnsi="Times New Roman;Times;Serif"/>
          <w:b/>
          <w:i w:val="false"/>
          <w:caps w:val="false"/>
          <w:smallCaps w:val="false"/>
          <w:sz w:val="20"/>
        </w:rPr>
        <w:t>Designated Financial Institution</w:t>
      </w:r>
      <w:r>
        <w:rPr>
          <w:rFonts w:ascii="Times New Roman;Times;Serif" w:hAnsi="Times New Roman;Times;Serif"/>
          <w:b w:val="false"/>
          <w:i w:val="false"/>
          <w:caps w:val="false"/>
          <w:smallCaps w:val="false"/>
          <w:sz w:val="20"/>
        </w:rPr>
        <w:t>”) for exchange in lieu of conversion. In order to accept any Notes surrendered for conversion, the Designated Financial Institution(s) must agree to timely pay and/or deliver, as the case may be, in exchange for such Notes, cash, Class A Ordinary Shares or a combination of cash and Class A Ordinary Shares, at the Company’s election, that would otherwise be due upon conversion as described under ‎Section 14.02, or such other amount agreed to by the Holder and the Designated Financial Institution(s) (the “</w:t>
      </w:r>
      <w:r>
        <w:rPr>
          <w:rFonts w:ascii="Times New Roman;Times;Serif" w:hAnsi="Times New Roman;Times;Serif"/>
          <w:b/>
          <w:i w:val="false"/>
          <w:caps w:val="false"/>
          <w:smallCaps w:val="false"/>
          <w:sz w:val="20"/>
        </w:rPr>
        <w:t>Conversion Consideration</w:t>
      </w:r>
      <w:r>
        <w:rPr>
          <w:rFonts w:ascii="Times New Roman;Times;Serif" w:hAnsi="Times New Roman;Times;Serif"/>
          <w:b w:val="false"/>
          <w:i w:val="false"/>
          <w:caps w:val="false"/>
          <w:smallCaps w:val="false"/>
          <w:sz w:val="20"/>
        </w:rPr>
        <w:t>”). If the Company makes an Exchange Election, it shall, by the close of business on the Business Day following the relevant Conversion Date, notify in writing the Trustee, the Conversion Agent (if other than the Trustee) and the Holder surrendering its Notes for conversion that the Company has made such Exchange Election and notify the Designated Financial Institution(s) of the relevant deadline for payment or delivery, as the case may be, of the Conversion Consideration and the type of Conversion Consideration to be paid and/or delivered, as the case may be.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Notes delivered to the Designated Financial Institution(s) shall remain outstanding, subject to the Applicable Procedures. If the Designated Financial Institution(s) agree(s) to accept any Notes for exchange but does not timely pay and/or deliver, as the case may be, the related Conversion Consideration, or if such Designated Financial Institution(s) does not accept the Notes for exchange, the Company shall pay and/or deliver, as the case may be, the relevant Conversion Consideration, as, and at the time, required pursuant to this Indenture as if the Company had not made an Exchange Election.</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ind w:left="0" w:right="0" w:hanging="0"/>
        <w:jc w:val="left"/>
        <w:rPr/>
      </w:pPr>
      <w:r>
        <w:rPr/>
        <w:t>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Company’s designation of any Designated Financial Institution(s) to which the Notes may be submitted for exchange in lieu of conversion does not require such Designated Financial Institution(s) to accept any Notes.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15</w:t>
      </w:r>
      <w:r>
        <w:rPr>
          <w:rFonts w:ascii="Times New Roman;Times;Serif" w:hAnsi="Times New Roman;Times;Serif"/>
          <w:b w:val="false"/>
          <w:i w:val="false"/>
          <w:smallCaps/>
          <w:sz w:val="20"/>
        </w:rPr>
        <w:br/>
        <w:t>Repurchase of Notes at Option of 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15.01   </w:t>
      </w:r>
      <w:r>
        <w:rPr>
          <w:rFonts w:ascii="Times New Roman;Times;Serif" w:hAnsi="Times New Roman;Times;Serif"/>
          <w:b w:val="false"/>
          <w:i/>
          <w:caps w:val="false"/>
          <w:smallCaps w:val="false"/>
          <w:sz w:val="20"/>
        </w:rPr>
        <w:t>Repurchase at Option of Holders on March 6, 2030</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March 6, 2030 (the “</w:t>
      </w:r>
      <w:r>
        <w:rPr>
          <w:rFonts w:ascii="Times New Roman;Times;Serif" w:hAnsi="Times New Roman;Times;Serif"/>
          <w:b/>
          <w:i w:val="false"/>
          <w:caps w:val="false"/>
          <w:smallCaps w:val="false"/>
          <w:sz w:val="20"/>
        </w:rPr>
        <w:t>Specified Repurchase Date</w:t>
      </w:r>
      <w:r>
        <w:rPr>
          <w:rFonts w:ascii="Times New Roman;Times;Serif" w:hAnsi="Times New Roman;Times;Serif"/>
          <w:b w:val="false"/>
          <w:i w:val="false"/>
          <w:caps w:val="false"/>
          <w:smallCaps w:val="false"/>
          <w:sz w:val="20"/>
        </w:rPr>
        <w:t>”), each Holder shall have the right, at such Holder’s option, to require the Company to repurchase for cash all of such Holder’s Notes (the “</w:t>
      </w:r>
      <w:r>
        <w:rPr>
          <w:rFonts w:ascii="Times New Roman;Times;Serif" w:hAnsi="Times New Roman;Times;Serif"/>
          <w:b/>
          <w:i w:val="false"/>
          <w:caps w:val="false"/>
          <w:smallCaps w:val="false"/>
          <w:sz w:val="20"/>
        </w:rPr>
        <w:t>Specified Repurchase</w:t>
      </w:r>
      <w:r>
        <w:rPr>
          <w:rFonts w:ascii="Times New Roman;Times;Serif" w:hAnsi="Times New Roman;Times;Serif"/>
          <w:b w:val="false"/>
          <w:i w:val="false"/>
          <w:caps w:val="false"/>
          <w:smallCaps w:val="false"/>
          <w:sz w:val="20"/>
        </w:rPr>
        <w:t>”), or any portion of the principal amount thereof that is equal to $1,000 or an integral multiple of $1,000, at a repurchase price equal to 100% of the principal amount thereof, plus accrued and unpaid interest thereon, if any, to but excluding, the Specified Repurchase Date (the “</w:t>
      </w:r>
      <w:r>
        <w:rPr>
          <w:rFonts w:ascii="Times New Roman;Times;Serif" w:hAnsi="Times New Roman;Times;Serif"/>
          <w:b/>
          <w:i w:val="false"/>
          <w:caps w:val="false"/>
          <w:smallCaps w:val="false"/>
          <w:sz w:val="20"/>
        </w:rPr>
        <w:t>Specified Repurchase Date Repurchase Price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Repurchases of Notes under this Section 15.01 shall be made, at the option of the Holder thereof, upon: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delivery to the Paying Agent by a Holder of a duly completed notice (the “</w:t>
      </w:r>
      <w:r>
        <w:rPr>
          <w:rFonts w:ascii="Times New Roman;Times;Serif" w:hAnsi="Times New Roman;Times;Serif"/>
          <w:b/>
          <w:i w:val="false"/>
          <w:caps w:val="false"/>
          <w:smallCaps w:val="false"/>
          <w:sz w:val="20"/>
        </w:rPr>
        <w:t>Specified Repurchase Date Repurchase Notice</w:t>
      </w:r>
      <w:r>
        <w:rPr>
          <w:rFonts w:ascii="Times New Roman;Times;Serif" w:hAnsi="Times New Roman;Times;Serif"/>
          <w:b w:val="false"/>
          <w:i w:val="false"/>
          <w:caps w:val="false"/>
          <w:smallCaps w:val="false"/>
          <w:sz w:val="20"/>
        </w:rPr>
        <w:t xml:space="preserve">”) in the form set forth in Attachment 3 to the Form of Note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if the Notes are Physical Notes, or in compliance with the Depositary’s Applicable Procedures for surrendering interests in Global Notes, if the Notes are Global Notes, in each case on or before the close of business on the second Business Day immediately preceding the Specified Repurchase Date;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delivery of the Notes, if the Notes are Physical Notes, to the Paying Agent at any time after delivery of the Specified Repurchase Date Repurchase Notice (together with all necessary endorsements for transfer) at the Corporate Trust Office of the Paying Agent, or book-entry transfer of the Notes, if the Notes are Global Notes, in compliance with the Applicable Procedures of the Depositary, in each case such delivery being a condition to receipt by the Holder of the Specified Repurchase Date Repurchase Price therefor.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Specified Repurchase Date Repurchase Notice in respect of any Notes to be repurchased that are Physical Notes shall state: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certificate numbers of the Notes to be delivered for repurchase;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portion of the principal amount of Notes to be repurchased, which must be $1,000 or an integral multiple thereof;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that the Notes are to be repurchased by the Company pursuant to the applicable provisions of the Notes and this Indenture;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Notes are Global Notes, Holders must surrender their Notes in accordance with the Applicable Procedures.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to the contrary, any Holder delivering to the Paying Agent the Specified Repurchase Date Repurchase Notice contemplated by this Section 15.01 shall have the right to withdraw, in whole or in part, such Specified Repurchase Date Repurchase Notice at any time prior to the close of business on the second Business Day immediately preceding the Specified Repurchase Date Repurchase Date by delivery of a written notice of withdrawal to the Paying Agent in accordance with Section 15.03.</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Paying Agent (if other than the Company) shall promptly notify the Company of the receipt by it of any Specified Repurchase Date Repurchase Notice or written notice of withdrawal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Specified Repurchase Date Repurchase Notice with respect to any Notes may be surrendered by a Holder thereof if such Holder has also surrendered a Specified Repurchase Date Repurchase Notice and has not validly withdrawn such Specified Repurchase Date Repurchase Notice in accordance with Section 15.03.</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On or before the 20th Business Day prior to the Specified Repurchase Date, the Company shall provide to all Holders, the Trustee, the Conversion Agent (if other than the Trustee) and the Paying Agent (if other than the Trustee) the notice of the Specified Repurchase Date and of the repurchase right at the option of the Holders arising as a result thereof (the “</w:t>
      </w:r>
      <w:r>
        <w:rPr>
          <w:rFonts w:ascii="Times New Roman;Times;Serif" w:hAnsi="Times New Roman;Times;Serif"/>
          <w:b/>
          <w:i w:val="false"/>
          <w:caps w:val="false"/>
          <w:smallCaps w:val="false"/>
          <w:sz w:val="20"/>
        </w:rPr>
        <w:t>Specified Repurchase Date Company Notice</w:t>
      </w:r>
      <w:r>
        <w:rPr>
          <w:rFonts w:ascii="Times New Roman;Times;Serif" w:hAnsi="Times New Roman;Times;Serif"/>
          <w:b w:val="false"/>
          <w:i w:val="false"/>
          <w:caps w:val="false"/>
          <w:smallCaps w:val="false"/>
          <w:sz w:val="20"/>
        </w:rPr>
        <w:t>”). In the case of Physical Notes, such notice shall be by first class mail or, in the case of Global Notes, such notice shall be delivered in accordance with the Applicable Procedures. Each Specified Repurchase Date Company Notice shall specify: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last date on which a Holder may exercise the repurchase right pursuant to this ‎Section 15.01;</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Specified Repurchase Date Repurchase Price;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Specified Repurchase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name and address of the Trustee, the Conversion Agent and the Paying Agent;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procedures that Holders must follow to require the Company to repurchase their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providing such notice, the Company will publish a notice containing this information on its website or through such other public medium as the Company may use at that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failure of the Company to give the foregoing notice and no defect therein shall limit the Holders’ repurchase rights or affect the validity of the proceedings for the repurchase of the Notes pursuant to this Section 15.01.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Company’s request given at least five (5) Business Days before such notice is to be sent (or such shorter period as shall be acceptable to the Trustee), the Trustee shall give such notice in the Company’s name and at the Company’s expense;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all cases, the text of such Specified Repurchase Date Company Notice shall be prepared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no Notes may be repurchased by the Company on the Specified Repurchase Date if the principal amount of the Notes has been accelerated, and such acceleration has not been rescinded, on or prior to such date (except in the case of an acceleration resulting from a Default by the Company in the payment of the Specified Repurchase Date Repurchase Price with respect to such Notes). The Paying Agent will promptly return to the respective Holders thereof any Physical Notes held by it during the acceleration of the Notes (except in the case of an acceleration resulting from a Default by the Company in the payment of the Specified Repurchase Date Repurchase Price with respect to such Notes), or any instructions for book-entry transfer of the Notes in compliance with the Applicable Procedures of the Depositary shall be deemed to have been cancelled, and, upon such return or cancellation, as the case may be, the Specified Repurchase Date Company Notice with respect thereto shall be deemed to have been withdrawn.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15.02   </w:t>
      </w:r>
      <w:r>
        <w:rPr>
          <w:rFonts w:ascii="Times New Roman;Times;Serif" w:hAnsi="Times New Roman;Times;Serif"/>
          <w:b w:val="false"/>
          <w:i/>
          <w:caps w:val="false"/>
          <w:smallCaps w:val="false"/>
          <w:sz w:val="20"/>
        </w:rPr>
        <w:t>Repurchase at Option of Holders Upon a Fundamental Change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 Fundamental Change (other than an Exempted Fundamental Change) occurs at any time, each Holder shall have the right, at such Holder’s option, to require the Company to repurchase for cash all of such Holder’s Notes, or any portion of the principal amount thereof that is equal to $1,000 or an integral multiple of $1,000, on the Business Day notified in writing (the “</w:t>
      </w:r>
      <w:r>
        <w:rPr>
          <w:rFonts w:ascii="Times New Roman;Times;Serif" w:hAnsi="Times New Roman;Times;Serif"/>
          <w:b/>
          <w:i w:val="false"/>
          <w:caps w:val="false"/>
          <w:smallCaps w:val="false"/>
          <w:sz w:val="20"/>
        </w:rPr>
        <w:t>Fundamental Change Repurchase Date</w:t>
      </w:r>
      <w:r>
        <w:rPr>
          <w:rFonts w:ascii="Times New Roman;Times;Serif" w:hAnsi="Times New Roman;Times;Serif"/>
          <w:b w:val="false"/>
          <w:i w:val="false"/>
          <w:caps w:val="false"/>
          <w:smallCaps w:val="false"/>
          <w:sz w:val="20"/>
        </w:rPr>
        <w:t xml:space="preserve">”) by the Company that is not less than twenty (20) Business Days or more than thirty-five (35) Business Days following the date of the Fundamental Change Company Notice at a repurchase price equal to 100% of the principal amount thereof,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accrued and unpaid interest thereon, if any, to, but excluding, the Fundamental Change Repurchase Date (the “</w:t>
      </w:r>
      <w:r>
        <w:rPr>
          <w:rFonts w:ascii="Times New Roman;Times;Serif" w:hAnsi="Times New Roman;Times;Serif"/>
          <w:b/>
          <w:i w:val="false"/>
          <w:caps w:val="false"/>
          <w:smallCaps w:val="false"/>
          <w:sz w:val="20"/>
        </w:rPr>
        <w:t>Fundamental Change Repurchase Price</w:t>
      </w:r>
      <w:r>
        <w:rPr>
          <w:rFonts w:ascii="Times New Roman;Times;Serif" w:hAnsi="Times New Roman;Times;Serif"/>
          <w:b w:val="false"/>
          <w:i w:val="false"/>
          <w:caps w:val="false"/>
          <w:smallCaps w:val="false"/>
          <w:sz w:val="20"/>
        </w:rPr>
        <w:t>”), unless the Fundamental Change Repurchase Date falls after a Regular Record Date but on or prior to the Interest Payment Date to which such Regular Record Date relates, in which case the Company shall instead pay the full amount of accrued and unpaid interest to Holders of record as of the close of business on such Regular Record Date on, or at the Company’s election, before such Interest Payment Date, and the Fundamental Change Repurchase Price shall be equal to 100% of the principal amount of Notes to be repurchased pursuant to this ‎Section 15.02. The Fundamental Change Repurchase Date will be subject to postponement to comply with applicable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Repurchases of Notes under this Section 15.02 shall be made, at the option of the Holder thereof, upon:</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w:t>
      </w:r>
    </w:p>
    <w:p>
      <w:pPr>
        <w:pStyle w:val="TextBody"/>
        <w:bidi w:val="0"/>
        <w:spacing w:before="0" w:after="0"/>
        <w:ind w:left="0" w:right="0" w:hanging="0"/>
        <w:jc w:val="left"/>
        <w:rPr/>
      </w:pPr>
      <w:r>
        <w:rPr/>
        <w:t> </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delivery to the Paying Agent by a Holder of a duly completed notice (the “</w:t>
      </w:r>
      <w:r>
        <w:rPr>
          <w:rFonts w:ascii="Times New Roman;Times;Serif" w:hAnsi="Times New Roman;Times;Serif"/>
          <w:b/>
          <w:i w:val="false"/>
          <w:caps w:val="false"/>
          <w:smallCaps w:val="false"/>
          <w:sz w:val="20"/>
        </w:rPr>
        <w:t>Fundamental Change Repurchase Notice</w:t>
      </w:r>
      <w:r>
        <w:rPr>
          <w:rFonts w:ascii="Times New Roman;Times;Serif" w:hAnsi="Times New Roman;Times;Serif"/>
          <w:b w:val="false"/>
          <w:i w:val="false"/>
          <w:caps w:val="false"/>
          <w:smallCaps w:val="false"/>
          <w:sz w:val="20"/>
        </w:rPr>
        <w:t xml:space="preserve">”) in the form set forth in Attachment 2 to the Form of Note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if the Notes are Physical Notes, or in compliance with the Depositary’s Applicable Procedures for surrendering interests in Global Notes, if the Notes are Global Notes, in each case on or before the close of business on the second Business Day immediately preceding the Fundamental Change Repurchase Date;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delivery of the Notes, if the Notes are Physical Notes, to the Paying Agent at any time after delivery of the Fundamental Change Repurchase Notice (together with all necessary endorsements for transfer) at the Corporate Trust Office of the Paying Agent, or book-entry transfer of the Notes, if the Notes are Global Notes, in compliance with the Applicable Procedures of the Depositary, in each case such delivery being a condition to receipt by the Holder of the Fundamental Change Repurchase Price therefor.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Fundamental Change Repurchase Notice in respect of any Notes to be repurchased that are Physical Notes shall state: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certificate numbers of the Notes to be delivered for repurchase;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portion of the principal amount of Notes to be repurchased, which must be $1,000 or an integral multiple thereof;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that the Notes are to be repurchased by the Company pursuant to the applicable provisions of the Notes and this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Notes are Global Notes, Holders must surrender their Notes in accordance with the Applicable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to the contrary, any Holder delivering to the Paying Agent the Fundamental Change Repurchase Notice contemplated by this Section 15.02 shall have the right to withdraw, in whole or in part, such Fundamental Change Repurchase Notice at any time prior to the close of business on the second Business Day immediately preceding the Fundamental Change Repurchase Date by delivery of a written notice of withdrawal to the Paying Agent in accordance with Section 15.03.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Paying Agent (if other than the Company) shall promptly notify the Company of the receipt by it of any Fundamental Change Repurchase Notice or written notice of withdrawal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Fundamental Change Repurchase Notice with respect to any Notes may be surrendered by a Holder thereof if such Holder has also surrendered a Fundamental Change Repurchase Notice and has not validly withdrawn such Fundamental Change Repurchase Notice in accordance with Section 15.03.</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w:t>
      </w:r>
    </w:p>
    <w:p>
      <w:pPr>
        <w:pStyle w:val="TextBody"/>
        <w:bidi w:val="0"/>
        <w:spacing w:before="0" w:after="0"/>
        <w:ind w:left="0" w:right="0" w:hanging="0"/>
        <w:jc w:val="left"/>
        <w:rPr/>
      </w:pPr>
      <w:r>
        <w:rPr/>
        <w:t> </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On or before the 20th Business Day after the occurrence of the effective date of a Fundamental Change, the Company shall provide to all Holders, the Trustee, the Conversion Agent (if other than the Trustee) and the Paying Agent (if other than the Trustee) a written notice (the “</w:t>
      </w:r>
      <w:r>
        <w:rPr>
          <w:rFonts w:ascii="Times New Roman;Times;Serif" w:hAnsi="Times New Roman;Times;Serif"/>
          <w:b/>
          <w:i w:val="false"/>
          <w:caps w:val="false"/>
          <w:smallCaps w:val="false"/>
          <w:sz w:val="20"/>
        </w:rPr>
        <w:t>Fundamental Change Company Notice</w:t>
      </w:r>
      <w:r>
        <w:rPr>
          <w:rFonts w:ascii="Times New Roman;Times;Serif" w:hAnsi="Times New Roman;Times;Serif"/>
          <w:b w:val="false"/>
          <w:i w:val="false"/>
          <w:caps w:val="false"/>
          <w:smallCaps w:val="false"/>
          <w:sz w:val="20"/>
        </w:rPr>
        <w:t>”) of the occurrence of the effective date of the Fundamental Change and of the resulting repurchase right at the option of the Holders arising as a result thereof. In the case of Physical Notes, such notice shall be by first class mail or, in the case of Global Notes, such notice shall be delivered in accordance with the Applicable Procedures. Each Fundamental Change Company Notice shall specify:</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events causing the Fundamental Change;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effective date of the Fundamental Change;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last date on which a Holder may exercise the repurchase right pursuant to this ‎Section 15.02;</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Fundamental Change Repurchase Price;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Fundamental Change Repurchase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name and address of the Trustee, the Paying Agent and the Conversion Agent;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if applicable, the Conversion Rate and any adjustments to the Conversion Rate as a result of the Fundamental Change (or related Make-Whole Fundamental Change);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that the Notes with respect to which a Fundamental Change Repurchase Notice has been delivered by a Holder may be converted only if the Holder withdraws the Fundamental Change Repurchase Notice in accordance with the terms of this Indenture;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procedures that Holders must follow to require the Company to repurchase their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providing such notice, the Company will publish a notice containing this information on its website or through such other public medium as the Company may use at that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failure of the Company to give the foregoing notices and no defect therein shall limit the Holders’ repurchase rights or affect the validity of the proceedings for the repurchase of the Notes pursuant to this Section 15.02. Notwithstanding the foregoing, the Company will not be required to repurchase, or to make an offer to repurchase, the Notes upon the occurrence of a Fundamental Change if a third party makes such an offer in the same manner, at the same time, for the same or greater price and otherwise is in compliance with the requirements for an offer made by the Company as set forth above, and such third party purchases all Notes properly surrendered and not validly withdrawn under its offer in the same manner, at the same time, and for the same or greater price and otherwise is in compliance with the requirements for an offer made by the Company as set forth above.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90</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Company’s request given at least five (5) Business Days before such notice is to be sent (or such shorter period as shall be acceptable to the Trustee), the Trustee shall give such notice in the Company’s name and at the Company’s expense;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all cases, the text of such Fundamental Change Company Notice shall be prepared by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anything to the contrary in this Section 15.02, the Company will not be required to send a Fundamental Change Company Notice, or offer to repurchase or repurchase any Notes in connection with a Fundamental Change occurring pursuant to clause (b)(i) or (ii) of the definition of Fundamental Change (or, for the avoidance of doubt, pursuant to clause (a) of the definition that also constitutes a Fundamental Change occurring pursuant to clause (b)(i) or (ii) of the definition thereof), if:</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Fundamental Change constitutes a Share Exchange Event for which the resulting Reference Property consists entirely of cash in U.S. dollars;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immediately after such Fundamental Change, the Notes become convertible into consideration that consists solely of U.S. dollars in an amount per $1,000 principal amount of Notes that equals or exceeds the Fundamental Change Repurchase Price per $1,000 principal amount of Notes (calculated assuming that the same includes the maximum amount of accrued but unpaid interest payable as part of the Fundamental Change Repurchase Price for such Fundamental Change);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timely sends the notice relating to the Make-Whole Fundamental Change required pursuant to Section 14.01(b)(iii)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Fundamental Change with respect to which, in accordance with the provisions described in this Section 15.02(d), the Company does not offer to repurchase any Notes is referred to herein as an “</w:t>
      </w:r>
      <w:r>
        <w:rPr>
          <w:rFonts w:ascii="Times New Roman;Times;Serif" w:hAnsi="Times New Roman;Times;Serif"/>
          <w:b/>
          <w:i w:val="false"/>
          <w:caps w:val="false"/>
          <w:smallCaps w:val="false"/>
          <w:sz w:val="20"/>
        </w:rPr>
        <w:t>Exempted Fundamental Change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the foregoing, no Notes may be repurchased by the Company on any date at the option of the Holders upon a Fundamental Change if the principal amount of the Notes has been accelerated, and such acceleration has not been rescinded, on or prior to such date (except in the case of an acceleration resulting from a Default by the Company in the payment of the Fundamental Change Repurchase Price with respect to such Notes). The Paying Agent will promptly return to the respective Holders thereof any Physical Notes held by it during the acceleration of the Notes (except in the case of an acceleration resulting from a Default by the Company in the payment of the Fundamental Change Repurchase Price with respect to such Notes), or any instructions for book-entry transfer of the Notes in compliance with the Applicable Procedures of the Depositary shall be deemed to have been cancelled, and, upon such return or cancellation, as the case may be, the Fundamental Change Repurchase Notice with respect thereto shall be deemed to have been withdrawn.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91</w:t>
      </w:r>
    </w:p>
    <w:p>
      <w:pPr>
        <w:pStyle w:val="TextBody"/>
        <w:bidi w:val="0"/>
        <w:spacing w:before="0" w:after="0"/>
        <w:ind w:left="0" w:right="0" w:hanging="0"/>
        <w:jc w:val="left"/>
        <w:rPr/>
      </w:pPr>
      <w:r>
        <w:rPr/>
        <w:t> </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15.03 </w:t>
      </w:r>
      <w:r>
        <w:rPr>
          <w:rFonts w:ascii="Times New Roman;Times;Serif" w:hAnsi="Times New Roman;Times;Serif"/>
          <w:b w:val="false"/>
          <w:i/>
          <w:caps w:val="false"/>
          <w:smallCaps w:val="false"/>
          <w:sz w:val="20"/>
        </w:rPr>
        <w:t>Withdrawal of Fundamental Change Repurchase Notice or Specified Repurchase Date Repurchase Notice.</w:t>
      </w:r>
      <w:r>
        <w:rPr>
          <w:rFonts w:ascii="Times New Roman;Times;Serif" w:hAnsi="Times New Roman;Times;Serif"/>
          <w:b w:val="false"/>
          <w:i w:val="false"/>
          <w:caps w:val="false"/>
          <w:smallCaps w:val="false"/>
          <w:sz w:val="20"/>
        </w:rPr>
        <w:t xml:space="preserve"> A Fundamental Change Repurchase Notice or Specified Repurchase Date Repurchase Notice may be withdrawn (in whole or in part) in respect of Physical Notes by means of a written notice of withdrawal delivered to the Corporate Trust Office of the Paying Agent in accordance with this Section 15.03 at any time prior to the close of business on the second Business Day immediately preceding the Fundamental Change Repurchase Date or the Specified Repurchase Date, as applicable, specifying:</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principal amount of the Notes with respect to which such notice of withdrawal is being submitted, which must be $1,000 or an integral multiple thereof;</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certificate numbers of the Notes in respect of which such notice of withdrawal is being submitted;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principal amount, if any, of such Note that remains subject to the original Fundamental Change Repurchase Notice or Specified Repurchase Date Repurchase Notice, which portion must be in principal amounts of $1,000 or an integral multiple of $1,000;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Notes are Global Notes, Holders must withdraw the relevant Fundamental Change Repurchase Notice or Specified Repurchase Date Repurchase Notice, as applicable, in accordance with the Applicable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15.04   </w:t>
      </w:r>
      <w:r>
        <w:rPr>
          <w:rFonts w:ascii="Times New Roman;Times;Serif" w:hAnsi="Times New Roman;Times;Serif"/>
          <w:b w:val="false"/>
          <w:i/>
          <w:caps w:val="false"/>
          <w:smallCaps w:val="false"/>
          <w:sz w:val="20"/>
        </w:rPr>
        <w:t>Deposit of Fundamental Change Repurchase Price.</w:t>
      </w:r>
      <w:r>
        <w:rPr>
          <w:rFonts w:ascii="Times New Roman;Times;Serif" w:hAnsi="Times New Roman;Times;Serif"/>
          <w:b w:val="false"/>
          <w:i w:val="false"/>
          <w:caps w:val="false"/>
          <w:smallCaps w:val="false"/>
          <w:sz w:val="20"/>
        </w:rPr>
        <w:t xml:space="preserve"> The Company will deposit with the Trustee (or other Paying Agent appointed by the Company, or if the Company is acting as its own Paying Agent, set aside, segregate and hold in trust as provided in Section 4.04) on or prior to 11:00 a.m., New York City time, on the Fundamental Change Repurchase Date or Specified Repurchase Date Repurchase Price, as applicable, an amount of money sufficient to repurchase all of the Notes to be repurchased at the appropriate Fundamental Change Repurchase Price or Specified Repurchase Date Repurchase Price, as applicable. Subject to receipt of funds and/or Notes by the Trustee (or other Paying Agent appointed by the Company), payment for Notes surrendered for repurchase (and not validly withdrawn prior to the close of business on the Business Day immediately preceding the Fundamental Change Repurchase Date or the Specified Repurchase Date, as applicable) will be made on the later of (i) the Fundamental Change Repurchase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the Holder has satisfied the conditions in Section 15.02) or the Specified Repurchase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the Holder has satisfied the conditions in Section 15.01), as applicable, and (ii) the time of book-entry transfer or the delivery of such Note to the Trustee (or other Paying Agent appointed by the Company) by the Holder thereof in the manner required by Section 15.01 or Section 15.02, as applicable, or by mailing checks for the amount payable to the Holders of such Notes entitled thereto as they shall appear in the Note Register;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payments to the Depositary shall be made by wire transfer of immediately available funds to the account of the Depositary or its nominee. The Trustee shall, promptly after such payment and upon written demand by the Company, return to the Company any funds in excess of the Fundamental Change Repurchase Price or Specified Repurchase Date Repurchase Price.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by 11:00 a.m. New York City time, on the Fundamental Change Repurchase Date or Specified Repurchase Date, as applicable, the Trustee (or other Paying Agent appointed by the Company) holds money sufficient to make payment on all the Notes or portions thereof that are to be repurchased on such Fundamental Change Repurchase Date or Specified Repurchase Date, as applicable, then, with respect to the Notes that have been properly surrendered for repurchase to the Paying Agent and not validly withdrawn, (i) such Notes will cease to be outstanding, (ii) interest will cease to accrue on such Notes (whether or not book-entry transfer of the Notes has been made or the Notes have been delivered to the Trustee), and (iii) all other rights of the Holders of such Notes will terminate (other than the right to receive the Fundamental Change Repurchase Price or the Specified Repurchase Date Repurchase Price, as applicable, and, if the Fundamental Change Repurchase Date or the Specified Repurchase Date, as applicable, falls after a Regular Record Date but on or prior to the Business Day immediately following the corresponding Interest Payment Date to which such Regular Record Date relates, accrued and unpaid interest payable to the Holders as of such Regular Record Date).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92</w:t>
      </w:r>
    </w:p>
    <w:p>
      <w:pPr>
        <w:pStyle w:val="TextBody"/>
        <w:bidi w:val="0"/>
        <w:spacing w:before="0" w:after="0"/>
        <w:ind w:left="0" w:right="0" w:hanging="0"/>
        <w:jc w:val="left"/>
        <w:rPr/>
      </w:pPr>
      <w:r>
        <w:rPr/>
        <w:t>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surrender of a Note that is to be repurchased in part pursuant to Section 15.01 or Section 15.02, as applicable, the Company shall execute and the Trustee shall authenticate and deliver to the Holder a new Note in an authorized denomination equal in principal amount to the unrepurchased portion of the Note surrendered.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15.05   </w:t>
      </w:r>
      <w:r>
        <w:rPr>
          <w:rFonts w:ascii="Times New Roman;Times;Serif" w:hAnsi="Times New Roman;Times;Serif"/>
          <w:b w:val="false"/>
          <w:i/>
          <w:caps w:val="false"/>
          <w:smallCaps w:val="false"/>
          <w:sz w:val="20"/>
        </w:rPr>
        <w:t>Covenant to Comply with Applicable Laws Upon Repurchase of Notes</w:t>
      </w:r>
      <w:r>
        <w:rPr>
          <w:rFonts w:ascii="Times New Roman;Times;Serif" w:hAnsi="Times New Roman;Times;Serif"/>
          <w:b w:val="false"/>
          <w:i w:val="false"/>
          <w:caps w:val="false"/>
          <w:smallCaps w:val="false"/>
          <w:sz w:val="20"/>
        </w:rPr>
        <w:t>. In connection with any repurchase offer pursuant to a Specified Repurchase pursuant to Section 15.01 or upon a Fundamental Change pursuant to Section 15.02, the Company will, if required: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comply with the tender offer rules under the Exchange Act that may then be applicable;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file a Schedule TO or any other required schedule under the Exchange Act;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otherwise comply in all material respects with all federal and state securities laws in connection with any offer by the Company to repurchase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so as to permit the rights and obligations under this ‎Article 15 to be exercised in the time and in the manner specified in this ‎Article 15.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to the extent that provisions of any federal or state securities laws or other applicable laws or regulations adopted after the date on which the Notes are first issued conflict with the provisions of this Indenture relating to the Company’s obligations to repurchase the Notes upon a Fundamental Change or the Specified Repurchase, the Company shall comply with the applicable securities laws and regulations and will not be deemed to have breached its obligations under such provisions of this Indenture by virtue of such conflict.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93</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16</w:t>
      </w:r>
      <w:r>
        <w:rPr>
          <w:rFonts w:ascii="Times New Roman;Times;Serif" w:hAnsi="Times New Roman;Times;Serif"/>
          <w:b w:val="false"/>
          <w:i w:val="false"/>
          <w:smallCaps/>
          <w:sz w:val="20"/>
        </w:rPr>
        <w:br/>
        <w:t>Optional Redemption, Cleanup Redemption and Tax Redemption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16.01   </w:t>
      </w:r>
      <w:r>
        <w:rPr>
          <w:rFonts w:ascii="Times New Roman;Times;Serif" w:hAnsi="Times New Roman;Times;Serif"/>
          <w:b w:val="false"/>
          <w:i/>
          <w:caps w:val="false"/>
          <w:smallCaps w:val="false"/>
          <w:sz w:val="20"/>
        </w:rPr>
        <w:t>Optional Redemption</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sinking fund is provided for the Notes. Except in the case of a Cleanup Redemption or a Tax Redemption, the Notes shall not be redeemable by the Company prior to March 6, 2030. On a redemption date on or after March 6, 2030 and prior to the 41st scheduled Trading Day immediately preceding the Maturity Date, the Company may redeem for cash all or any portion of the Notes (subject to the Partial Redemption Limitation), at the Redemption Price, if (i) the Liquidity Conditions are satisfied in accordance with the definition thereof and (ii) the Last Reported Sale Price of the Class A Ordinary Shares has been at least 130% of the Conversion Price then in effect for at least twenty (20) Trading Days (whether or not consecutive) during any thirty (30) consecutive Trading Day period (including the last Trading Day of such period) ending on, and including, the Trading Day immediately preceding the date on which the Company provides the Optional Redemption Notice in accordance with this ‎Section 16.01 (an “</w:t>
      </w:r>
      <w:r>
        <w:rPr>
          <w:rFonts w:ascii="Times New Roman;Times;Serif" w:hAnsi="Times New Roman;Times;Serif"/>
          <w:b/>
          <w:i w:val="false"/>
          <w:caps w:val="false"/>
          <w:smallCaps w:val="false"/>
          <w:sz w:val="20"/>
        </w:rPr>
        <w:t>Optional Redemption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Company may not redeem less than all of the outstanding Notes for Optional Redemption unless at least $75,000,000 aggregate principal amount of Notes are outstanding and not called for Redemption as of the time the Company sends the related Optional Redemption Notice and after giving effect to the delivery of such Optional Redemption Notice (such limitation, a “</w:t>
      </w:r>
      <w:r>
        <w:rPr>
          <w:rFonts w:ascii="Times New Roman;Times;Serif" w:hAnsi="Times New Roman;Times;Serif"/>
          <w:b/>
          <w:i w:val="false"/>
          <w:caps w:val="false"/>
          <w:smallCaps w:val="false"/>
          <w:sz w:val="20"/>
        </w:rPr>
        <w:t>Partial Redemption Limitation</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the Company exercises its Optional Redemption right to redeem all or, as the case may be, any part of the Notes pursuant to ‎Section 16.01, it shall fix a date for Optional Redemption (each, an “</w:t>
      </w:r>
      <w:r>
        <w:rPr>
          <w:rFonts w:ascii="Times New Roman;Times;Serif" w:hAnsi="Times New Roman;Times;Serif"/>
          <w:b/>
          <w:i w:val="false"/>
          <w:caps w:val="false"/>
          <w:smallCaps w:val="false"/>
          <w:sz w:val="20"/>
        </w:rPr>
        <w:t>Optional Redemption Date</w:t>
      </w:r>
      <w:r>
        <w:rPr>
          <w:rFonts w:ascii="Times New Roman;Times;Serif" w:hAnsi="Times New Roman;Times;Serif"/>
          <w:b w:val="false"/>
          <w:i w:val="false"/>
          <w:caps w:val="false"/>
          <w:smallCaps w:val="false"/>
          <w:sz w:val="20"/>
        </w:rPr>
        <w:t>”) and it or, at its written request received by the Trustee not less than five (5) Business Days prior to the date such Optional Redemption Notice is to be sent (or such shorter period of time as may be acceptable to the Trustee), the Trustee, in the name of and at the expense of the Company, shall deliver or cause to be delivered a notice of such Optional Redemption (an “</w:t>
      </w:r>
      <w:r>
        <w:rPr>
          <w:rFonts w:ascii="Times New Roman;Times;Serif" w:hAnsi="Times New Roman;Times;Serif"/>
          <w:b/>
          <w:i w:val="false"/>
          <w:caps w:val="false"/>
          <w:smallCaps w:val="false"/>
          <w:sz w:val="20"/>
        </w:rPr>
        <w:t>Optional Redemption Notice</w:t>
      </w:r>
      <w:r>
        <w:rPr>
          <w:rFonts w:ascii="Times New Roman;Times;Serif" w:hAnsi="Times New Roman;Times;Serif"/>
          <w:b w:val="false"/>
          <w:i w:val="false"/>
          <w:caps w:val="false"/>
          <w:smallCaps w:val="false"/>
          <w:sz w:val="20"/>
        </w:rPr>
        <w:t>”) not less than forty-five (45) nor more than sixty (60) Scheduled Trading Days prior to the Optional Redemption Date to each Holder of Notes so to be redeemed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if the Company elects Physical Settlement for conversions of Called Notes during the related Redemption Period, the Company may not provide less than ten (10) Business Days’ nor more than thirty (30) Business Days’ notice before the applicable Optional Redemption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Company shall give such notice, it shall also give written notice of the Optional Redemption Date to the Trustee, the Conversion Agent (if other than the Trustee) and the Paying Agent (if other than the Trustee). The Optional Redemption Date must be a Business Day, and the Company may not specify an Optional Redemption Date that falls on or after the 41st Scheduled Trading Day immediately preceding the Maturity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Optional Redemption Notice, if delivered in the manner herein provided, shall be conclusively presumed to have been duly given, whether or not the Holder receives such notice. In any case, failure to give such Optional Redemption Notice by mail or any defect in the Optional Redemption Notice to the Holder of any Note designated for Optional Redemption as a whole or in part shall not affect the validity of the proceedings for the Optional Redemption of any other Note.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94</w:t>
      </w:r>
    </w:p>
    <w:p>
      <w:pPr>
        <w:pStyle w:val="TextBody"/>
        <w:bidi w:val="0"/>
        <w:spacing w:before="0" w:after="0"/>
        <w:ind w:left="0" w:right="0" w:hanging="0"/>
        <w:jc w:val="left"/>
        <w:rPr/>
      </w:pPr>
      <w:r>
        <w:rPr/>
        <w:t>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Optional Redemption Notice shall specify: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Optional Redemption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Redemption Price;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that on the Optional Redemption Date, the Redemption Price will become due and payable upon each Note to be redeemed, and that interest thereon, if any, shall cease to accrue on and after the Optional Redemption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name and address of the Paying Agent and Conversion Agent;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place or places where such Notes are to be surrendered for payment of the Redemption Price;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procedures a converting Holder must follow to convert its Notes and the Settlement Method and Specified Dollar Amount, if applicable;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Conversion Rate and, if applicable, the number of Additional Class A Ordinary Shares added to the Conversion Rate in accordance with ‎ Section 14.04;</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CUSIP, ISIN or other similar numbers, if any, assigned to such Notes;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in case any Note is to be redeemed in part only, the portion of the principal amount thereof to be redeemed and on and after the Optional Redemption Date, upon surrender of such Note, a new Note in principal amount equal to the unredeemed portion thereof shall be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Optional Redemption Notice shall be irrevocable.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providing the Optional Redemption Notice, the Company shall publish a notice containing the information included in the Optional Redemption Notice on the Company’s website or through such other public medium as the Company may use. The Trustee shall have no obligation to make any determination in connection with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fewer than all of the outstanding Notes are to be redeemed and the Notes to be redeemed are Global Notes, the Notes to be redeemed shall be selected by the Depositary in accordance with the Applicable Procedures. If fewer than all of the outstanding Notes are to be redeemed and the Notes to be redeemed are not Global Notes, the Trustee will select the Notes to be redeemed (in principal amounts of $1,000 or multiples there) by lot, on a pro rata basis (subject to rounding to the nearest $1,000 principal amount) or by other method the Trustee considers to be fair and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Notes may be redeemed by Optional Redemption if the principal amount of the Notes has been accelerated, and such acceleration has not been rescinded, on or prior to the Redemption Date (except in the case of an acceleration resulting from a default by the Company in the payment of the Redemption Price).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95</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16.02   </w:t>
      </w:r>
      <w:r>
        <w:rPr>
          <w:rFonts w:ascii="Times New Roman;Times;Serif" w:hAnsi="Times New Roman;Times;Serif"/>
          <w:b w:val="false"/>
          <w:i/>
          <w:caps w:val="false"/>
          <w:smallCaps w:val="false"/>
          <w:sz w:val="20"/>
        </w:rPr>
        <w:t>Cleanup Redemption</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a Redemption Date prior to the 41st scheduled Trading Day immediately preceding the Maturity Date, the Company may redeem for cash all but not part of the Notes at the Redemption Price, if less than $50,000,000 aggregate principal amount of Notes remains outstanding at such time (such redemption, a “</w:t>
      </w:r>
      <w:r>
        <w:rPr>
          <w:rFonts w:ascii="Times New Roman;Times;Serif" w:hAnsi="Times New Roman;Times;Serif"/>
          <w:b/>
          <w:i w:val="false"/>
          <w:caps w:val="false"/>
          <w:smallCaps w:val="false"/>
          <w:sz w:val="20"/>
        </w:rPr>
        <w:t>Cleanup Redemption</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the Company exercises its Cleanup Redemption right to redeem all of the Notes pursuant to Section 16.02(a), it shall fix a date for Cleanup Redemption (each, a “</w:t>
      </w:r>
      <w:r>
        <w:rPr>
          <w:rFonts w:ascii="Times New Roman;Times;Serif" w:hAnsi="Times New Roman;Times;Serif"/>
          <w:b/>
          <w:i w:val="false"/>
          <w:caps w:val="false"/>
          <w:smallCaps w:val="false"/>
          <w:sz w:val="20"/>
        </w:rPr>
        <w:t>Cleanup Redemption Date</w:t>
      </w:r>
      <w:r>
        <w:rPr>
          <w:rFonts w:ascii="Times New Roman;Times;Serif" w:hAnsi="Times New Roman;Times;Serif"/>
          <w:b w:val="false"/>
          <w:i w:val="false"/>
          <w:caps w:val="false"/>
          <w:smallCaps w:val="false"/>
          <w:sz w:val="20"/>
        </w:rPr>
        <w:t>”) and it or, at its written request received by the Trustee not less than five (5) Business Days prior to the date such Cleanup Redemption Notice is to be sent (or such shorter period of time as may be acceptable to the Trustee), the Trustee, in the name of and at the expense of the Company, shall deliver or cause to be delivered a notice of such Cleanup Redemption (a “</w:t>
      </w:r>
      <w:r>
        <w:rPr>
          <w:rFonts w:ascii="Times New Roman;Times;Serif" w:hAnsi="Times New Roman;Times;Serif"/>
          <w:b/>
          <w:i w:val="false"/>
          <w:caps w:val="false"/>
          <w:smallCaps w:val="false"/>
          <w:sz w:val="20"/>
        </w:rPr>
        <w:t>Cleanup Redemption Notice</w:t>
      </w:r>
      <w:r>
        <w:rPr>
          <w:rFonts w:ascii="Times New Roman;Times;Serif" w:hAnsi="Times New Roman;Times;Serif"/>
          <w:b w:val="false"/>
          <w:i w:val="false"/>
          <w:caps w:val="false"/>
          <w:smallCaps w:val="false"/>
          <w:sz w:val="20"/>
        </w:rPr>
        <w:t>”) not less than 45 nor more than 60 Scheduled Trading Day prior to the Cleanup Redemption Date to each Holder of Notes so to be redeemed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Company elects Physical Settlement for conversions of Notes called for Cleanup Redemption that occur during the related Redemption Period, the Company may not provide less than ten (10) Business Days’ nor more than thirty (30) Business Days’ notice before the applicable Cleanup Redemption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Company shall give such notice, it shall also give written notice of the Cleanup Redemption Date to the Trustee, the Conversion Agent (if other than the Trustee) an the Paying Agent (if other than the Trustee). The Cleanup Redemption Date must be a Business Day, and the Company may not specify a Cleanup Redemption Date that falls on or after the 41st Scheduled Trading Day immediately preceding the Maturity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Cleanup Redemption Notice, if delivered in the manner herein provided, shall be conclusively presumed to have been duly given, whether or not the Holder receives such notice. In any case, failure to give such Cleanup Redemption Notice by mail or any defect in the Cleanup Redemption Notice to the Holder of any Note designated for Cleanup Redemption as a whole or in part shall not affect the validity of the proceedings for the Cleanup Redemption of any other Note.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Cleanup Redemption Notice shall specify: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Cleanup Redemption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Redemption Price;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that on the Cleanup Redemption Date, the Redemption Price will become due and payable upon each Note to be redeemed, and that interest thereon, if any, shall cease to accrue on and after the Cleanup Redemption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place or places where such Notes are to be surrendered for payment of the Redemption Price;</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96</w:t>
      </w:r>
    </w:p>
    <w:p>
      <w:pPr>
        <w:pStyle w:val="TextBody"/>
        <w:bidi w:val="0"/>
        <w:spacing w:before="0" w:after="0"/>
        <w:ind w:left="0" w:right="0" w:hanging="0"/>
        <w:jc w:val="left"/>
        <w:rPr/>
      </w:pPr>
      <w:r>
        <w:rPr/>
        <w:t> </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procedures a converting Holder must follow to convert its Notes and the Settlement Method and Specified Dollar Amount, if applicable;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Conversion Rate and, if applicable, the number of Additional Class A Ordinary Shares added to the Conversion Rate in accordance with ‎Section 14.04;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CUSIP, ISIN or other similar numbers, if any, assigned to such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Cleanup Redemption Notice shall be irrevocable.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providing the Cleanup Redemption Notice, the Company shall publish a notice containing the information included in the Cleanup Redemption Notice on the Company’s website or through such other public medium as the Company may use.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Notes may be redeemed by Cleanup Redemption if the principal amount of the Notes has been accelerated, and such acceleration has not been rescinded, on or prior to the Redemption Date (except in the case of an acceleration resulting from a default by the Company in the payment of the Redemption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16.03   </w:t>
      </w:r>
      <w:r>
        <w:rPr>
          <w:rFonts w:ascii="Times New Roman;Times;Serif" w:hAnsi="Times New Roman;Times;Serif"/>
          <w:b w:val="false"/>
          <w:i/>
          <w:caps w:val="false"/>
          <w:smallCaps w:val="false"/>
          <w:sz w:val="20"/>
        </w:rPr>
        <w:t>Tax Redemption</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Company has, or on the next Interest Payment Date would, become obligated to pay to any Holder Additional Amounts as a result of:</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change or amendment on or after the date of the Offering Memorandum (or, in the case of a jurisdiction that becomes a Relevant Taxing Jurisdiction after the date of the Offering Memorandum, on or after such later date) in the laws or any rules or regulations of a Relevant Taxing Jurisdiction; 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change on or after the date of the Offering Memorandum (or, in the case of a jurisdiction that becomes a Relevant Taxing Jurisdiction after the date of the Offering Memorandum, on or after such later date) in an interpretation, administration or application of such laws, rules or regulations by any legislative body, court, governmental agency, taxing authority or regulatory or administrative authority of such Relevant Taxing Jurisdiction (including the enactment of any legislation and the announcement or publication of any judicial decision or regulatory or administrative interpretation or determination);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 “</w:t>
      </w:r>
      <w:r>
        <w:rPr>
          <w:rFonts w:ascii="Times New Roman;Times;Serif" w:hAnsi="Times New Roman;Times;Serif"/>
          <w:b/>
          <w:i w:val="false"/>
          <w:caps w:val="false"/>
          <w:smallCaps w:val="false"/>
          <w:sz w:val="20"/>
        </w:rPr>
        <w:t>Change in Tax Law</w:t>
      </w:r>
      <w:r>
        <w:rPr>
          <w:rFonts w:ascii="Times New Roman;Times;Serif" w:hAnsi="Times New Roman;Times;Serif"/>
          <w:b w:val="false"/>
          <w:i w:val="false"/>
          <w:caps w:val="false"/>
          <w:smallCaps w:val="false"/>
          <w:sz w:val="20"/>
        </w:rPr>
        <w:t xml:space="preserve">”), the Company may, at its option, redeem all but not part of the Notes (except in respect of certain Holders that elect otherwise as described below) on a Tax Redemption Date before the 41st Scheduled Trading Day immediately preceding the Maturity Date;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the Company may only redeem the Notes if: (i) the Company cannot avoid such obligations by taking commercially reasonable measures available to the Company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changing the jurisdiction of incorporation of the Company shall be deemed not to be a commercially reasonable measure); and (ii) the Company delivers to the Trustee an opinion of outside legal counsel of recognized standing in the Relevant Taxing Jurisdiction and an Officer’s Certificate attesting to such Change in Tax Law and obligation to pay Additional Amounts (such redemption, a “</w:t>
      </w:r>
      <w:r>
        <w:rPr>
          <w:rFonts w:ascii="Times New Roman;Times;Serif" w:hAnsi="Times New Roman;Times;Serif"/>
          <w:b/>
          <w:i w:val="false"/>
          <w:caps w:val="false"/>
          <w:smallCaps w:val="false"/>
          <w:sz w:val="20"/>
        </w:rPr>
        <w:t>Tax Redemption</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97</w:t>
      </w:r>
    </w:p>
    <w:p>
      <w:pPr>
        <w:pStyle w:val="TextBody"/>
        <w:bidi w:val="0"/>
        <w:spacing w:before="0" w:after="0"/>
        <w:ind w:left="0" w:right="0" w:hanging="0"/>
        <w:jc w:val="left"/>
        <w:rPr/>
      </w:pPr>
      <w:r>
        <w:rPr/>
        <w:t>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Redemption Price for a Tax Redemption shall be equal to 100% of the principal amount of the Notes to be redeemed, plus accrued and unpaid interest to, but excluding, the Redemption Date, including any Additional Amounts with respect to such Redemption Price;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if the Redemption Date occurs after a Regular Record Date and on or prior to the corresponding Interest Payment Date, then (i) the Company shall pay on or, at the Company’s election, before the Interest Payment Date the full amount of accrued and unpaid interest, if any, due on such Interest Payment Date to the record Holder of the Notes on the Regular Record Date corresponding to such Interest Payment Date, and (ii) the Redemption Price payable to the Holder who presents a Note for the Tax Redemption shall be equal to 100% of the principal amount of such Note, including, for the avoidance of doubt, any Additional Amounts with respect to such Redemption Price, but without the accrued and unpaid interest on such Note to, but excluding, the Redemption Date. The Redemption Date must be a Business Day.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Upon receiving the Tax Redemption Notice, each Holder shall have the right to elect to not have its Notes redeemed, in which case the Company shall not be obligated to pay any Additional Amounts on any payment with respect to such Notes solely as a result of such Change in Tax Law that resulted in the obligation to pay such Additional Amounts (whether upon conversion, required repurchase in connection with a Fundamental Change, required repurchase on the Specified Repurchase Date, Redemption, maturity or otherwise, and whether in cash, Class A Ordinary Shares, or a combination thereof, Reference Property or otherwise) after the Tax Redemption Date (or, if the Company fails to pay the Redemption Price on the Tax Redemption Date, the date on which the Redemption Price has been paid or duly provided for), and all future payments with respect to such Notes shall be subject to the deduction or withholding of such Relevant Taxing Jurisdiction and taxes required by law to be deducted or withheld as a result of such Change in Tax Law;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notwithstanding the foregoing, if a Holder electing not to have its Notes redeemed converts its Notes in connection with a Tax Redemption pursuant to Section 14.04, the Company shall be obligated to pay Additional Amounts, if any, with respect to such conversion.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Subject to the Applicable Procedures of the Depositary in the case of Global Notes, a Holder electing to not have its Notes so redeemed must deliver to the Company, with a copy to the Paying Agent a written notice of election so as to be received by the Company and the Paying Agent or otherwise by complying with the requirements for conversion described under Section 14.02 prior to the close of business on the second Business Day immediately preceding the Tax Redemption Date. A Holder may withdraw any such notice of election (other than such a deemed notice of election in connection with a conversion) by delivering to the Company and the Paying Agent a written notice of withdrawal prior to the close of business on the business day immediately preceding the Tax Redemption Date (or, if the Company fails to pay the Redemption Price and any Additional Amounts with respect to such Redemption Price on the Tax Redemption Date, such later date on which the Company pays the Redemption Price and any Additional Amounts with respect to such Redemption Price). If no election is made, the Holder will have its Notes redeemed without any further action.</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98</w:t>
      </w:r>
    </w:p>
    <w:p>
      <w:pPr>
        <w:pStyle w:val="TextBody"/>
        <w:bidi w:val="0"/>
        <w:spacing w:before="0" w:after="0"/>
        <w:ind w:left="0" w:right="0" w:hanging="0"/>
        <w:jc w:val="left"/>
        <w:rPr/>
      </w:pPr>
      <w:r>
        <w:rPr/>
        <w:t>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case the Company exercises its Tax Redemption right to redeem all of the Notes pursuant to Section 16.03(a), it shall fix a date for Tax Redemption (each, a “</w:t>
      </w:r>
      <w:r>
        <w:rPr>
          <w:rFonts w:ascii="Times New Roman;Times;Serif" w:hAnsi="Times New Roman;Times;Serif"/>
          <w:b/>
          <w:i w:val="false"/>
          <w:caps w:val="false"/>
          <w:smallCaps w:val="false"/>
          <w:sz w:val="20"/>
        </w:rPr>
        <w:t>Tax Redemption Date</w:t>
      </w:r>
      <w:r>
        <w:rPr>
          <w:rFonts w:ascii="Times New Roman;Times;Serif" w:hAnsi="Times New Roman;Times;Serif"/>
          <w:b w:val="false"/>
          <w:i w:val="false"/>
          <w:caps w:val="false"/>
          <w:smallCaps w:val="false"/>
          <w:sz w:val="20"/>
        </w:rPr>
        <w:t>”) and it or, at its written request received by the Trustee not less than five (5) Business Days prior to the date such Tax Redemption Notice is to be sent (or such shorter period of time as may be acceptable to the Trustee), the Trustee, in the name of and at the expense of the Company, shall deliver or cause to be delivered a notice of such Tax Redemption (a “</w:t>
      </w:r>
      <w:r>
        <w:rPr>
          <w:rFonts w:ascii="Times New Roman;Times;Serif" w:hAnsi="Times New Roman;Times;Serif"/>
          <w:b/>
          <w:i w:val="false"/>
          <w:caps w:val="false"/>
          <w:smallCaps w:val="false"/>
          <w:sz w:val="20"/>
        </w:rPr>
        <w:t>Tax Redemption Notice</w:t>
      </w:r>
      <w:r>
        <w:rPr>
          <w:rFonts w:ascii="Times New Roman;Times;Serif" w:hAnsi="Times New Roman;Times;Serif"/>
          <w:b w:val="false"/>
          <w:i w:val="false"/>
          <w:caps w:val="false"/>
          <w:smallCaps w:val="false"/>
          <w:sz w:val="20"/>
        </w:rPr>
        <w:t>”) not less than 45 nor more than 60 Scheduled Trading Day prior to the Tax Redemption Date to each Holder of Notes so to be redeemed as a whole or in part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Company elects Physical Settlement for conversions of Notes called for Tax Redemption that occur during the related Redemption Period, the Company may not provide less than ten (10) Business Days’ nor more than thirty (30) Business Days’ notice before the applicable Tax Redemption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Company shall give such notice, it shall also give written notice of the Tax Redemption Date to the Trustee, the Conversion Agent (if other than the Trustee) an the Paying Agent (if other than the Trustee). The Tax Redemption Date must be a Business Day, and the Company may not specify a Tax Redemption Date that falls on or after the 41st Scheduled Trading Day immediately preceding the Maturity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Tax Redemption Notice, if delivered in the manner herein provided, shall be conclusively presumed to have been duly given, whether or not the Holder receives such notice. In any case, failure to give such Tax Redemption Notice by mail or any defect in the Tax Redemption Notice to the Holder of any Note designated for Tax Redemption as a whole or in part shall not affect the validity of the proceedings for the Tax Redemption of any other Note.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Each Tax Redemption Notice shall specify: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Tax Redemption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Redemption Price and any Additional Amounts with respect to such Redemption Price;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that on the Tax Redemption Date, the Redemption Price and any Additional Amounts with respect to such Redemption Price will become due and payable upon each Note to be redeemed, and that interest thereon, if any, shall cease to accrue on and after the Tax Redemption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place or places where such Notes are to be surrendered for payment of the Redemption Price;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procedures a converting Holder must follow to convert its Notes and the Settlement Method that will apply to all conversions with a Conversion Date that occurs during the related Redemption Period and Specified Dollar Amount, if applicable;</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99</w:t>
      </w:r>
    </w:p>
    <w:p>
      <w:pPr>
        <w:pStyle w:val="TextBody"/>
        <w:bidi w:val="0"/>
        <w:spacing w:before="0" w:after="0"/>
        <w:ind w:left="0" w:right="0" w:hanging="0"/>
        <w:jc w:val="left"/>
        <w:rPr/>
      </w:pPr>
      <w:r>
        <w:rPr/>
        <w:t> </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Conversion Rate and, if applicable, the number of Additional Class A Ordinary Shares added to the Conversion Rate in accordance with ‎Section 14.04;</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CUSIP, ISIN or other similar numbers, if any, assigned to such Notes;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that such Holder may elect that its Notes not be subject to such Tax Redemption, subject to the Applicable Procedures of the Depositary, in accordance with Section 16.03(d), by written notice to the Company and the Trustee no later than the 5th Business Day prior to the Tax Redemption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Tax Redemption Notice shall be irrevocable.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providing the Tax Redemption Notice, the Company shall publish a notice containing the information included in the Tax Redemption Notice on the Company’s website or through such other public medium as the Company may use.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Notes may be redeemed by Tax Redemption if the principal amount of the Notes has been accelerated, and such acceleration has not been rescinded, on or prior to the Redemption Date (except in the case of an acceleration resulting from a default by the Company in the payment of the Redemption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16.04   </w:t>
      </w:r>
      <w:r>
        <w:rPr>
          <w:rFonts w:ascii="Times New Roman;Times;Serif" w:hAnsi="Times New Roman;Times;Serif"/>
          <w:b w:val="false"/>
          <w:i/>
          <w:caps w:val="false"/>
          <w:smallCaps w:val="false"/>
          <w:sz w:val="20"/>
        </w:rPr>
        <w:t>Payment of Notes Called for Redemption</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any Redemption Notice has been given in respect of the Notes in accordance with Section 16.01, Section 16.02 or Section 16.03, the Notes shall become due and payable on the Redemption Date at the place or places stated in the Redemption Notice and at the applicable Redemption Price (and any Additional Amounts with respect to such Redemption Price, in the case of a Tax Redemption). On presentation and surrender of the Notes at the place or places stated in the Redemption Notice, the Notes shall be paid and redeemed by the Company at the applicable Redemption Price.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Prior to the open of business on the Redemption Date, the Company shall deposit with the Paying Agent or, if the Company or a Subsidiary of the Company is acting as the Paying Agent, shall segregate and hold in trust as provided in Section 7.05 an amount of cash (in immediately available funds if deposited on the Redemption Date), sufficient to pay the Redemption Price (and any Additional Amounts with respect to such Redemption Price, in the case of a Tax Redemption) of all of the Notes to be redeemed on such Redemption Date. Subject to receipt of funds by the Paying Agent, payment for the Notes to be redeemed shall be made on the Redemption Date for such Notes. The Paying Agent shall, promptly after such payment and upon written demand by the Company, return to the Company any funds in excess of the Redemption Price (and any Additional Amounts with respect to such Redemption Price, in the case of a Tax Redemption).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16.05   </w:t>
      </w:r>
      <w:r>
        <w:rPr>
          <w:rFonts w:ascii="Times New Roman;Times;Serif" w:hAnsi="Times New Roman;Times;Serif"/>
          <w:b w:val="false"/>
          <w:i/>
          <w:caps w:val="false"/>
          <w:smallCaps w:val="false"/>
          <w:sz w:val="20"/>
        </w:rPr>
        <w:t>Restrictions on Redemption</w:t>
      </w:r>
      <w:r>
        <w:rPr>
          <w:rFonts w:ascii="Times New Roman;Times;Serif" w:hAnsi="Times New Roman;Times;Serif"/>
          <w:b w:val="false"/>
          <w:i w:val="false"/>
          <w:caps w:val="false"/>
          <w:smallCaps w:val="false"/>
          <w:sz w:val="20"/>
        </w:rPr>
        <w:t>. The Company may not redeem any Notes on any date if the principal amount of the Notes has been accelerated in accordance with the terms of this Indenture, and such acceleration has not been rescinded, on or prior to the Redemption Date (except in the case of an acceleration resulting from a Default by the Company in the payment of the Redemption Price with respect to such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100</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17</w:t>
      </w:r>
      <w:r>
        <w:rPr>
          <w:rFonts w:ascii="Times New Roman;Times;Serif" w:hAnsi="Times New Roman;Times;Serif"/>
          <w:b w:val="false"/>
          <w:i w:val="false"/>
          <w:smallCaps/>
          <w:sz w:val="20"/>
        </w:rPr>
        <w:br/>
        <w:t>Miscellaneous Provisions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17.01   </w:t>
      </w:r>
      <w:r>
        <w:rPr>
          <w:rFonts w:ascii="Times New Roman;Times;Serif" w:hAnsi="Times New Roman;Times;Serif"/>
          <w:b w:val="false"/>
          <w:i/>
          <w:caps w:val="false"/>
          <w:smallCaps w:val="false"/>
          <w:sz w:val="20"/>
        </w:rPr>
        <w:t xml:space="preserve">Governing Law; Jurisdiction. </w:t>
      </w:r>
      <w:r>
        <w:rPr>
          <w:rFonts w:ascii="Times New Roman;Times;Serif" w:hAnsi="Times New Roman;Times;Serif"/>
          <w:b w:val="false"/>
          <w:i w:val="false"/>
          <w:caps w:val="false"/>
          <w:smallCaps w:val="false"/>
          <w:sz w:val="20"/>
        </w:rPr>
        <w:t>THIS INDENTURE AND EACH NOTE, AND ANY CLAIM, CONTROVERSY OR DISPUTE ARISING UNDER OR RELATED TO THIS INDENTURE AND EACH NOTE, SHALL BE GOVERNED BY, AND CONSTRUED IN ACCORDANCE WITH, THE LAWS OF THE STATE OF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irrevocably consents and agrees, for the benefit of the Holders from time to time of the Notes and the Trustee, that any legal action, suit or proceeding against it with respect to obligations, liabilities or any other matter arising out of or in connection with this Indenture or the Notes may be brought in the courts of the State of New York or the courts of the United States located in the Borough of Manhattan, New York City, New York and, until amounts due and to become due in respect of the Notes have been paid, hereby irrevocably consents and submits to the non-exclusive jurisdiction of each such court </w:t>
      </w:r>
      <w:r>
        <w:rPr>
          <w:rFonts w:ascii="Times New Roman;Times;Serif" w:hAnsi="Times New Roman;Times;Serif"/>
          <w:b w:val="false"/>
          <w:i/>
          <w:caps w:val="false"/>
          <w:smallCaps w:val="false"/>
          <w:sz w:val="20"/>
        </w:rPr>
        <w:t>in personam</w:t>
      </w:r>
      <w:r>
        <w:rPr>
          <w:rFonts w:ascii="Times New Roman;Times;Serif" w:hAnsi="Times New Roman;Times;Serif"/>
          <w:b w:val="false"/>
          <w:i w:val="false"/>
          <w:caps w:val="false"/>
          <w:smallCaps w:val="false"/>
          <w:sz w:val="20"/>
        </w:rPr>
        <w:t>, generally and unconditionally with respect to any action, suit or proceeding for itself in respect of its properties, assets and 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irrevocably and unconditionally waives, to the fullest extent permitted by law, any objection which it may now or hereafter have to the laying of venue of any of the aforesaid actions, suits or proceedings arising out of or in connection with this Indenture brought in the courts of the State of New York or the courts of the United States located in the Borough of Manhattan, New York City, New York and hereby further irrevocably and unconditionally waives and agrees not to plead or claim in any such court that any such action, suit or proceeding brought in any such court has been brought in an inconvenient forum.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of any process, summons, notice or document by registered mail addressed to the Company’s agent, Cogency Global Inc., at the address 122 E. 42nd Street, 18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New York 10168, shall be effective service of process against the Company for any suit, action or proceeding brought in any such court.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17.02   </w:t>
      </w:r>
      <w:r>
        <w:rPr>
          <w:rFonts w:ascii="Times New Roman;Times;Serif" w:hAnsi="Times New Roman;Times;Serif"/>
          <w:b w:val="false"/>
          <w:i/>
          <w:caps w:val="false"/>
          <w:smallCaps w:val="false"/>
          <w:sz w:val="20"/>
        </w:rPr>
        <w:t xml:space="preserve">Waiver of Jury Trial. </w:t>
      </w:r>
      <w:r>
        <w:rPr>
          <w:rFonts w:ascii="Times New Roman;Times;Serif" w:hAnsi="Times New Roman;Times;Serif"/>
          <w:b w:val="false"/>
          <w:i w:val="false"/>
          <w:caps w:val="false"/>
          <w:smallCaps w:val="false"/>
          <w:sz w:val="20"/>
        </w:rPr>
        <w:t>EACH OF THE COMPANY, THE HOLDERS, BY THEIR ACCEPTANCE OF THE NOTES, AND THE TRUSTEE HEREBY IRREVOCABLY WAIVES, TO THE FULLEST EXTENT PERMITTED BY APPLICABLE LAW, ANY AND ALL RIGHT TO TRIAL BY JURY IN ANY LEGAL PROCEEDING ARISING OUT OF OR RELATING TO THIS INDENTURE, THE NOTES OR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17.03   </w:t>
      </w:r>
      <w:r>
        <w:rPr>
          <w:rFonts w:ascii="Times New Roman;Times;Serif" w:hAnsi="Times New Roman;Times;Serif"/>
          <w:b w:val="false"/>
          <w:i/>
          <w:caps w:val="false"/>
          <w:smallCaps w:val="false"/>
          <w:sz w:val="20"/>
        </w:rPr>
        <w:t>Addresses for Notices, Etc</w:t>
      </w:r>
      <w:r>
        <w:rPr>
          <w:rFonts w:ascii="Times New Roman;Times;Serif" w:hAnsi="Times New Roman;Times;Serif"/>
          <w:b w:val="false"/>
          <w:i w:val="false"/>
          <w:caps w:val="false"/>
          <w:smallCaps w:val="false"/>
          <w:sz w:val="20"/>
        </w:rPr>
        <w:t>. Any notice or demand that by any provision of this Indenture is required or permitted to be given or served by the Trustee or by the Holders on the Company shall be deemed to have been sufficiently given or made, for all purposes if given or served by overnight courier or by being deposited postage prepaid by registered or certified mail in a post office letter box addressed (until another address is filed by the Company with the Trustee) to Bitdeer Technologies Group, 08 Kallang Avenue, Aperia tower 1, #09-03/04 Singapore 339509, Attention: General Counsel. Any notice, direction, request or demand hereunder to or upon the Trustee shall be deemed to have been sufficiently given or made, for all purposes, if given or served by being deposited postage prepaid by registered or certified mail in a post office letter box addressed to the Corporate Trust Office or sent electronically in PDF format to an email address specified by the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101</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by notice to the Company, may designate additional or different addresses for subsequent notices or communications.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communication delivered or to be delivered to a Holder of Physical Notes shall be mailed to it by first class mail, postage prepaid, at its address as it appears on the Note Register and shall be sufficiently given to it if so mailed within the time prescribed. Any notice or communication delivered or to be delivered to a Holder of Global Notes shall be delivered in accordance with the Applicable Procedures of the Depositary and shall be sufficiently given to it if so delivered within the time prescribed. Notwithstanding any other provision of this Indenture or any Note, where this Indenture or any Note provides for notice of any event (including any Redemption Notice, Specified Repurchase Date Company Notice or Fundamental Change Company Notice) to a Holder of a Global Note (whether by mail or otherwise), such notice shall be sufficiently given if given to the Depositary (or its designee) pursuant to the standing instructions from the Depositary or its designee, including by electronic mail in accordance with the Depositary’s Applicable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mail or deliver a notice or communication to a Holder or any defect in it shall not affect its sufficiency with respect to other Holders. If a notice or communication is mailed or delivered, as the case may be, in the manner provided above, it is duly given, whether or not the addressee receives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by reason of the suspension of regular mail service or by reason of any other cause it shall be impracticable to give such notice to Holders by mail, then such notification as shall be made with the approval of the Trustee shall constitute a sufficient notification for every purpose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17.04   </w:t>
      </w:r>
      <w:r>
        <w:rPr>
          <w:rFonts w:ascii="Times New Roman;Times;Serif" w:hAnsi="Times New Roman;Times;Serif"/>
          <w:b w:val="false"/>
          <w:i/>
          <w:caps w:val="false"/>
          <w:smallCaps w:val="false"/>
          <w:sz w:val="20"/>
        </w:rPr>
        <w:t>Provisions Binding on Company’s Successors; Official Acts by Successor Entity.</w:t>
      </w:r>
      <w:r>
        <w:rPr>
          <w:rFonts w:ascii="Times New Roman;Times;Serif" w:hAnsi="Times New Roman;Times;Serif"/>
          <w:b w:val="false"/>
          <w:i w:val="false"/>
          <w:caps w:val="false"/>
          <w:smallCaps w:val="false"/>
          <w:sz w:val="20"/>
        </w:rPr>
        <w:t xml:space="preserve"> All the covenants, stipulations, promises and agreements of the Company contained in this Indenture shall bind its successors and assigns whether so expressed or not. Any act or proceeding by any provision of this Indenture authorized or required to be done or performed by any board, committee or Officer of the Company shall and may be done and performed with like force and effect by the like board, committee or officer of any corporation or other entity that shall at the time be the lawful sole successor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17.05   </w:t>
      </w:r>
      <w:r>
        <w:rPr>
          <w:rFonts w:ascii="Times New Roman;Times;Serif" w:hAnsi="Times New Roman;Times;Serif"/>
          <w:b w:val="false"/>
          <w:i/>
          <w:caps w:val="false"/>
          <w:smallCaps w:val="false"/>
          <w:sz w:val="20"/>
        </w:rPr>
        <w:t>Evidence of Compliance with Conditions Precedent; Certificates and Opinions of Counsel to Trustee</w:t>
      </w:r>
      <w:r>
        <w:rPr>
          <w:rFonts w:ascii="Times New Roman;Times;Serif" w:hAnsi="Times New Roman;Times;Serif"/>
          <w:b w:val="false"/>
          <w:i w:val="false"/>
          <w:caps w:val="false"/>
          <w:smallCaps w:val="false"/>
          <w:sz w:val="20"/>
        </w:rPr>
        <w:t>. Upon any application or demand by the Company to the Trustee to take any action under any of the provisions of this Indenture, the Company shall, if requested by the Trustee, furnish to the Trustee an Officer’s Certificate stating that such action is permitted by the terms of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102</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Officer’s Certificate and Opinion of Counsel provided for, by or on behalf of the Company in this Indenture and delivered to the Trustee with respect to compliance with this Indenture (other than the Officer’s Certificates provided for in Section 4.08, Section 7.02(h) and Section 8.04) shall include (a) a statement that the person signing such certificate is familiar with the requested action and this Indenture; (b) a brief statement as to the nature and scope of the examination or investigation upon which the statement contained in such certificate is based; (c) a statement that, in the judgment of such person, he or she has made such examination or investigation as is necessary to enable him or her to express an informed judgment as to whether or not such action is permitted by this Indenture; and (d) a statement as to whether or not, in the judgment of such person, such action is permitted by this Indenture and that all conditions precedent to such action have been complied with; provided that no Opinion of Counsel shall be required to be delivered in connection with (1) the original issuance of Notes on the date hereof under this Indenture, or (2) a request by the Company that the Trustee deliver a notice to Holders under this Indenture where the Trustee receives an Officer’s Certificate with respect to such notice. With respect to matters of fact, an Opinion of Counsel may rely on an Officer’s Certificate or certificates of public officials.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this Section 17.05, if any provision in this Indenture specifically provides that the Trustee shall or may receive an Opinion of Counsel in connection with any action to be taken by the Trustee or the Company hereunder, the Trustee shall be entitled to such Opinion of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17.06   </w:t>
      </w:r>
      <w:r>
        <w:rPr>
          <w:rFonts w:ascii="Times New Roman;Times;Serif" w:hAnsi="Times New Roman;Times;Serif"/>
          <w:b w:val="false"/>
          <w:i/>
          <w:caps w:val="false"/>
          <w:smallCaps w:val="false"/>
          <w:sz w:val="20"/>
        </w:rPr>
        <w:t>Legal Holidays.</w:t>
      </w:r>
      <w:r>
        <w:rPr>
          <w:rFonts w:ascii="Times New Roman;Times;Serif" w:hAnsi="Times New Roman;Times;Serif"/>
          <w:b w:val="false"/>
          <w:i w:val="false"/>
          <w:caps w:val="false"/>
          <w:smallCaps w:val="false"/>
          <w:sz w:val="20"/>
        </w:rPr>
        <w:t xml:space="preserve"> In any case where any Interest Payment Date, any Redemption Date, any Fundamental Change Repurchase Date, the Specified Repurchase Date or the Maturity Date is not a Business Day, then any action to be taken on such date need not be taken on such date, but may be taken on the next succeeding Business Day with the same force and effect as if taken on such date, and no interest shall accrue in respect of the delay.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17.07   </w:t>
      </w:r>
      <w:r>
        <w:rPr>
          <w:rFonts w:ascii="Times New Roman;Times;Serif" w:hAnsi="Times New Roman;Times;Serif"/>
          <w:b w:val="false"/>
          <w:i/>
          <w:caps w:val="false"/>
          <w:smallCaps w:val="false"/>
          <w:sz w:val="20"/>
        </w:rPr>
        <w:t>No Security Interest Created.</w:t>
      </w:r>
      <w:r>
        <w:rPr>
          <w:rFonts w:ascii="Times New Roman;Times;Serif" w:hAnsi="Times New Roman;Times;Serif"/>
          <w:b w:val="false"/>
          <w:i w:val="false"/>
          <w:caps w:val="false"/>
          <w:smallCaps w:val="false"/>
          <w:sz w:val="20"/>
        </w:rPr>
        <w:t xml:space="preserve"> Nothing in this Indenture or in the Notes, expressed or implied, shall be construed to constitute a security interest under the Uniform Commercial Code or similar legislation, as now or hereafter enacted and in effect, in any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17.08   </w:t>
      </w:r>
      <w:r>
        <w:rPr>
          <w:rFonts w:ascii="Times New Roman;Times;Serif" w:hAnsi="Times New Roman;Times;Serif"/>
          <w:b w:val="false"/>
          <w:i/>
          <w:caps w:val="false"/>
          <w:smallCaps w:val="false"/>
          <w:sz w:val="20"/>
        </w:rPr>
        <w:t>Benefits of Indenture.</w:t>
      </w:r>
      <w:r>
        <w:rPr>
          <w:rFonts w:ascii="Times New Roman;Times;Serif" w:hAnsi="Times New Roman;Times;Serif"/>
          <w:b w:val="false"/>
          <w:i w:val="false"/>
          <w:caps w:val="false"/>
          <w:smallCaps w:val="false"/>
          <w:sz w:val="20"/>
        </w:rPr>
        <w:t xml:space="preserve"> Nothing in this Indenture or in the Notes, expressed or implied, shall give to any Person, other than the Holders (or, with respect to the second and third paragraphs of ‎Section 2.05(d), beneficial owners of the Notes), the parties hereto, any Paying Agent, any Conversion Agent, any authenticating agent, any Note Registrar and their successors hereunder, any benefit or any legal or equitable right, remedy or claim under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17.09   </w:t>
      </w:r>
      <w:r>
        <w:rPr>
          <w:rFonts w:ascii="Times New Roman;Times;Serif" w:hAnsi="Times New Roman;Times;Serif"/>
          <w:b w:val="false"/>
          <w:i/>
          <w:caps w:val="false"/>
          <w:smallCaps w:val="false"/>
          <w:sz w:val="20"/>
        </w:rPr>
        <w:t>Table of Contents, Headings, Etc.</w:t>
      </w:r>
      <w:r>
        <w:rPr>
          <w:rFonts w:ascii="Times New Roman;Times;Serif" w:hAnsi="Times New Roman;Times;Serif"/>
          <w:b w:val="false"/>
          <w:i w:val="false"/>
          <w:caps w:val="false"/>
          <w:smallCaps w:val="false"/>
          <w:sz w:val="20"/>
        </w:rPr>
        <w:t xml:space="preserve"> The table of contents and the titles and headings of the Articles and Sections of this Indenture have been inserted for convenience of reference only, are not to be considered a part hereof, and shall in no way modify or restrict any of the terms or provisions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17.10   </w:t>
      </w:r>
      <w:r>
        <w:rPr>
          <w:rFonts w:ascii="Times New Roman;Times;Serif" w:hAnsi="Times New Roman;Times;Serif"/>
          <w:b w:val="false"/>
          <w:i/>
          <w:caps w:val="false"/>
          <w:smallCaps w:val="false"/>
          <w:sz w:val="20"/>
        </w:rPr>
        <w:t>Authenticating Agent</w:t>
      </w:r>
      <w:r>
        <w:rPr>
          <w:rFonts w:ascii="Times New Roman;Times;Serif" w:hAnsi="Times New Roman;Times;Serif"/>
          <w:b w:val="false"/>
          <w:i w:val="false"/>
          <w:caps w:val="false"/>
          <w:smallCaps w:val="false"/>
          <w:sz w:val="20"/>
        </w:rPr>
        <w:t>. The Trustee may appoint an authenticating agent that shall be authorized to act on its behalf and subject to its direction in the authentication and delivery of Notes in connection with the original issuance thereof and transfers and exchanges of Notes hereunder, including under Section 2.04, Section 2.05, Section 2.06, Section 2.07, Section 10.04 and Section 15.04 as fully to all intents and purposes as though the authenticating agent had been expressly authorized by this Indenture and those Sections to authenticate and deliver Notes. For all purposes of this Indenture, the authentication and delivery of Notes by the authenticating agent shall be deemed to be authentication and delivery of such Notes “by the Trustee” and a certificate of authentication executed on behalf of the Trustee by an authenticating agent shall be deemed to satisfy any requirement hereunder or in the Notes for the Trustee’s certificate of authentication. Such authenticating agent shall at all times be a Person eligible to serve as trustee hereunder pursuant to Section 7.08.</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103</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corporation or other entity into which any authenticating agent may be merged or converted or with which it may be consolidated, or any corporation or other entity resulting from any merger, consolidation or conversion to which any authenticating agent shall be a party, or any corporation or other entity succeeding to all or substantially all of the corporate trust business of any authenticating agent, shall be the successor of the authenticating agent hereunder, if such successor corporation or other entity is otherwise eligible under this Section 17.10, without the execution or filing of any paper or any further act on the part of the parties hereto or the authenticating agent or such successor corporation or other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authenticating agent may at any time resign by giving written notice of resignation to the Trustee and to the Company. The Trustee may at any time terminate the agency of any authenticating agent by giving written notice of termination to such authenticating agent and to the Company. Upon receiving such a notice of resignation or upon such a termination, or in case at any time any authenticating agent shall cease to be eligible under this Section 7.10, the Trustee may appoint a successor authenticating agent (which may be the Trustee), shall give written notice of such appointment to the Company and shall deliver notice of such appointment to all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agrees to pay to the authenticating agent from time to time reasonable compensation for its services although the Company may terminate the authenticating agent, if it determines such agent’s fees to be unreasonable.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Section 7.02, Section 7.03, Section 7.04, Section 8.03 and this Section 17.10 shall be applicable to any authenticating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authenticating agent is appointed pursuant to this Section 17.10, the Notes may have endorsed thereon, in addition to the Trustee’s certificate of authentication, an alternative certificate of authentication in the following 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Authenticating Agent, certifies that this is one of the Notes described in the within-named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____________________</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Officer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104</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17.11   </w:t>
      </w:r>
      <w:r>
        <w:rPr>
          <w:rFonts w:ascii="Times New Roman;Times;Serif" w:hAnsi="Times New Roman;Times;Serif"/>
          <w:b w:val="false"/>
          <w:i/>
          <w:caps w:val="false"/>
          <w:smallCaps w:val="false"/>
          <w:sz w:val="20"/>
        </w:rPr>
        <w:t>Multiple Originals</w:t>
      </w:r>
      <w:r>
        <w:rPr>
          <w:rFonts w:ascii="Times New Roman;Times;Serif" w:hAnsi="Times New Roman;Times;Serif"/>
          <w:b w:val="false"/>
          <w:i w:val="false"/>
          <w:caps w:val="false"/>
          <w:smallCaps w:val="false"/>
          <w:sz w:val="20"/>
        </w:rPr>
        <w:t>. This Indenture may be executed in any number of counterparts, each of which shall be an original, but such counterparts shall together constitute but one and the same instrument. The exchange of copies of this Indenture and of signature pages by facsimile, PDF or other electronic transmission shall constitute effective execution and delivery of this Indenture as to the parties hereto and may be used in lieu of the original Indenture for all purposes. Signatures of the parties hereto transmitted by facsimile, PDF or such other electronic means shall be deemed to be their original signatures for all purposes. All notices, approvals, consents, requests and any communications hereunder must be in writing (provided that any communication sent to the Trustee hereunder must be in the form of a document that is signed manually or by way of a digital signature provided by DocuSign (or such other digital signature provider as specified in writing to Trustee by the authorized representative), in English). The Company agrees to assume all risks arising out of the use of using digital signatures and electronic methods to submit communications to Trustee, including without limitation the risk of Trustee acting on unauthorized instructions, and the risk of interception and misuse by third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17.12   </w:t>
      </w:r>
      <w:r>
        <w:rPr>
          <w:rFonts w:ascii="Times New Roman;Times;Serif" w:hAnsi="Times New Roman;Times;Serif"/>
          <w:b w:val="false"/>
          <w:i/>
          <w:caps w:val="false"/>
          <w:smallCaps w:val="false"/>
          <w:sz w:val="20"/>
        </w:rPr>
        <w:t>Severability.</w:t>
      </w:r>
      <w:r>
        <w:rPr>
          <w:rFonts w:ascii="Times New Roman;Times;Serif" w:hAnsi="Times New Roman;Times;Serif"/>
          <w:b w:val="false"/>
          <w:i w:val="false"/>
          <w:caps w:val="false"/>
          <w:smallCaps w:val="false"/>
          <w:sz w:val="20"/>
        </w:rPr>
        <w:t xml:space="preserve"> In case any one or more of the provisions contained in this Indenture or in the Notes shall for any reason be held to be invalid, illegal or unenforceable in any respect, such invalidity, illegality or unenforceability shall not affect any other provisions of this Indenture or of such Notes, but this Indenture and such Notes shall be construed as if such invalid or illegal or unenforceable provision had never been contained herein or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17.13   </w:t>
      </w:r>
      <w:r>
        <w:rPr>
          <w:rFonts w:ascii="Times New Roman;Times;Serif" w:hAnsi="Times New Roman;Times;Serif"/>
          <w:b w:val="false"/>
          <w:i/>
          <w:caps w:val="false"/>
          <w:smallCaps w:val="false"/>
          <w:sz w:val="20"/>
        </w:rPr>
        <w:t>Calculations</w:t>
      </w:r>
      <w:r>
        <w:rPr>
          <w:rFonts w:ascii="Times New Roman;Times;Serif" w:hAnsi="Times New Roman;Times;Serif"/>
          <w:b w:val="false"/>
          <w:i w:val="false"/>
          <w:caps w:val="false"/>
          <w:smallCaps w:val="false"/>
          <w:sz w:val="20"/>
        </w:rPr>
        <w:t>. Except as otherwise provided herein, the Company shall be responsible for making all calculations called for under this Indenture and the Notes and the Trustee, acting in any capacity under this Indenture, shall have no liability or responsibility for any such calculations or information underlying such calculations. These calculations include, but are not limited to, determinations of the Share Price, Last Reported Sale Prices of the Class A Ordinary Shares, the trading price of the Notes (for purposes of determining whether the Notes are convertible as set forth in this Indenture), the Daily VWAPs, the Daily Conversion Values, the Daily Settlement Amounts, accrued interest payable on the Notes, any Additional Interest payable on the Notes and the Conversion Rate of the Notes. The Company shall make all these calculations in good faith and, absent manifest error, the Company’s calculations shall be final and binding on Holders of Notes. The Company shall provide a schedule of its calculations to each of the Trustee, the Paying Agent (if other than the Trustee) and the Conversion Agent (if other than the Trustee), and each of the Trustee, the Paying Agent and Conversion Agent has no duty to verify such calculations and is entitled to rely conclusively upon the accuracy of the Company’s calculations without independent verification. The Trustee shall forward the Company’s calculations to any registered Holder of Notes upon the request of that Holder at the sole cost and expense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17.14   </w:t>
      </w:r>
      <w:r>
        <w:rPr>
          <w:rFonts w:ascii="Times New Roman;Times;Serif" w:hAnsi="Times New Roman;Times;Serif"/>
          <w:b w:val="false"/>
          <w:i/>
          <w:caps w:val="false"/>
          <w:smallCaps w:val="false"/>
          <w:sz w:val="20"/>
        </w:rPr>
        <w:t>[Intentionally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17.15   </w:t>
      </w:r>
      <w:r>
        <w:rPr>
          <w:rFonts w:ascii="Times New Roman;Times;Serif" w:hAnsi="Times New Roman;Times;Serif"/>
          <w:b w:val="false"/>
          <w:i/>
          <w:caps w:val="false"/>
          <w:smallCaps w:val="false"/>
          <w:sz w:val="20"/>
        </w:rPr>
        <w:t>Delivery of Notices</w:t>
      </w:r>
      <w:r>
        <w:rPr>
          <w:rFonts w:ascii="Times New Roman;Times;Serif" w:hAnsi="Times New Roman;Times;Serif"/>
          <w:b w:val="false"/>
          <w:i w:val="false"/>
          <w:caps w:val="false"/>
          <w:smallCaps w:val="false"/>
          <w:sz w:val="20"/>
        </w:rPr>
        <w:t>. Any notice or communication delivered or to be delivered to a Holder of Physical Notes shall be mailed to it by first class mail, postage prepaid, at its address as it appears on the Note Register and shall be sufficiently given to it if so mailed within the time prescribed. Any notice or communication delivered or to be delivered to a Holder of Global Notes shall be delivered in accordance with the Applicable Procedures of the Depositary and shall be sufficiently given to it if so delivered within the time prescribed.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send a notice or communication to a Holder or any defect in it shall not affect its sufficiency with respect to other Holders.  If a notice or communication is sent in the manner provided above, it is duly given, whether or not the addressee receives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17.16 </w:t>
      </w:r>
      <w:r>
        <w:rPr>
          <w:rFonts w:ascii="Times New Roman;Times;Serif" w:hAnsi="Times New Roman;Times;Serif"/>
          <w:b w:val="false"/>
          <w:i/>
          <w:caps w:val="false"/>
          <w:smallCaps w:val="false"/>
          <w:sz w:val="20"/>
        </w:rPr>
        <w:t>USA PATRIOT Act</w:t>
      </w:r>
      <w:r>
        <w:rPr>
          <w:rFonts w:ascii="Times New Roman;Times;Serif" w:hAnsi="Times New Roman;Times;Serif"/>
          <w:b w:val="false"/>
          <w:i w:val="false"/>
          <w:caps w:val="false"/>
          <w:smallCaps w:val="false"/>
          <w:sz w:val="20"/>
        </w:rPr>
        <w:t>.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Indenture to be duly executed as of the date first written above.</w:t>
      </w:r>
    </w:p>
    <w:p>
      <w:pPr>
        <w:pStyle w:val="TextBody"/>
        <w:bidi w:val="0"/>
        <w:spacing w:before="0" w:after="0"/>
        <w:ind w:left="4320" w:right="0" w:hanging="0"/>
        <w:jc w:val="left"/>
        <w:rPr>
          <w:caps w:val="false"/>
          <w:smallCaps w:val="false"/>
        </w:rPr>
      </w:pPr>
      <w:r>
        <w:rPr>
          <w:caps w:val="false"/>
          <w:smallCaps w:val="false"/>
        </w:rPr>
        <w:t> </w:t>
      </w:r>
    </w:p>
    <w:tbl>
      <w:tblPr>
        <w:tblW w:w="7609" w:type="dxa"/>
        <w:jc w:val="left"/>
        <w:tblInd w:w="0" w:type="dxa"/>
        <w:tblLayout w:type="fixed"/>
        <w:tblCellMar>
          <w:top w:w="0" w:type="dxa"/>
          <w:left w:w="0" w:type="dxa"/>
          <w:bottom w:w="0" w:type="dxa"/>
          <w:right w:w="0" w:type="dxa"/>
        </w:tblCellMar>
      </w:tblPr>
      <w:tblGrid>
        <w:gridCol w:w="75"/>
        <w:gridCol w:w="946"/>
        <w:gridCol w:w="6588"/>
      </w:tblGrid>
      <w:tr>
        <w:trPr/>
        <w:tc>
          <w:tcPr>
            <w:tcW w:w="75" w:type="dxa"/>
            <w:tcBorders/>
            <w:vAlign w:val="center"/>
          </w:tcPr>
          <w:p>
            <w:pPr>
              <w:pStyle w:val="TableContents"/>
              <w:bidi w:val="0"/>
              <w:spacing w:before="0" w:after="283"/>
              <w:jc w:val="left"/>
              <w:rPr/>
            </w:pPr>
            <w:r>
              <w:rPr/>
              <w:t> </w:t>
            </w:r>
          </w:p>
        </w:tc>
        <w:tc>
          <w:tcPr>
            <w:tcW w:w="7534" w:type="dxa"/>
            <w:gridSpan w:val="2"/>
            <w:tcBorders/>
            <w:vAlign w:val="center"/>
          </w:tcPr>
          <w:p>
            <w:pPr>
              <w:pStyle w:val="TableContents"/>
              <w:bidi w:val="0"/>
              <w:spacing w:before="0" w:after="283"/>
              <w:jc w:val="left"/>
              <w:rPr/>
            </w:pPr>
            <w:r>
              <w:rPr/>
              <w:t>BITDEER TECHNOLOGIES GROUP</w:t>
            </w:r>
          </w:p>
        </w:tc>
      </w:tr>
      <w:tr>
        <w:trPr/>
        <w:tc>
          <w:tcPr>
            <w:tcW w:w="75"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left"/>
              <w:rPr/>
            </w:pPr>
            <w:r>
              <w:rPr/>
              <w:t> </w:t>
            </w:r>
          </w:p>
        </w:tc>
        <w:tc>
          <w:tcPr>
            <w:tcW w:w="658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pPr>
            <w:r>
              <w:rPr/>
              <w:t>By:</w:t>
            </w:r>
          </w:p>
        </w:tc>
        <w:tc>
          <w:tcPr>
            <w:tcW w:w="6588" w:type="dxa"/>
            <w:tcBorders>
              <w:bottom w:val="single" w:sz="12" w:space="0" w:color="000000"/>
            </w:tcBorders>
            <w:tcMar>
              <w:bottom w:w="28" w:type="dxa"/>
            </w:tcMar>
            <w:vAlign w:val="center"/>
          </w:tcPr>
          <w:p>
            <w:pPr>
              <w:pStyle w:val="TableContents"/>
              <w:bidi w:val="0"/>
              <w:spacing w:before="0" w:after="283"/>
              <w:jc w:val="both"/>
              <w:rPr>
                <w:i/>
              </w:rPr>
            </w:pPr>
            <w:r>
              <w:rPr>
                <w:i/>
              </w:rPr>
              <w:t>/s/ Jihan Wu</w:t>
            </w:r>
          </w:p>
        </w:tc>
      </w:tr>
      <w:tr>
        <w:trPr/>
        <w:tc>
          <w:tcPr>
            <w:tcW w:w="75"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left"/>
              <w:rPr/>
            </w:pPr>
            <w:r>
              <w:rPr/>
              <w:t xml:space="preserve">Name: </w:t>
            </w:r>
          </w:p>
        </w:tc>
        <w:tc>
          <w:tcPr>
            <w:tcW w:w="6588" w:type="dxa"/>
            <w:tcBorders/>
            <w:vAlign w:val="center"/>
          </w:tcPr>
          <w:p>
            <w:pPr>
              <w:pStyle w:val="TableContents"/>
              <w:bidi w:val="0"/>
              <w:spacing w:before="0" w:after="283"/>
              <w:jc w:val="both"/>
              <w:rPr/>
            </w:pPr>
            <w:r>
              <w:rPr/>
              <w:t>Jihan Wu</w:t>
            </w:r>
          </w:p>
        </w:tc>
      </w:tr>
      <w:tr>
        <w:trPr/>
        <w:tc>
          <w:tcPr>
            <w:tcW w:w="75"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left"/>
              <w:rPr/>
            </w:pPr>
            <w:r>
              <w:rPr/>
              <w:t>Title:</w:t>
            </w:r>
          </w:p>
        </w:tc>
        <w:tc>
          <w:tcPr>
            <w:tcW w:w="6588" w:type="dxa"/>
            <w:tcBorders/>
            <w:vAlign w:val="center"/>
          </w:tcPr>
          <w:p>
            <w:pPr>
              <w:pStyle w:val="TableContents"/>
              <w:bidi w:val="0"/>
              <w:spacing w:before="0" w:after="283"/>
              <w:jc w:val="both"/>
              <w:rPr/>
            </w:pPr>
            <w:r>
              <w:rPr/>
              <w:t>Chairman of the Board and Chief Executive Officer</w:t>
            </w:r>
          </w:p>
        </w:tc>
      </w:tr>
      <w:tr>
        <w:trPr/>
        <w:tc>
          <w:tcPr>
            <w:tcW w:w="75"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left"/>
              <w:rPr/>
            </w:pPr>
            <w:r>
              <w:rPr/>
              <w:t> </w:t>
            </w:r>
          </w:p>
        </w:tc>
        <w:tc>
          <w:tcPr>
            <w:tcW w:w="658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7534" w:type="dxa"/>
            <w:gridSpan w:val="2"/>
            <w:tcBorders/>
            <w:vAlign w:val="center"/>
          </w:tcPr>
          <w:p>
            <w:pPr>
              <w:pStyle w:val="TableContents"/>
              <w:bidi w:val="0"/>
              <w:spacing w:before="0" w:after="283"/>
              <w:jc w:val="left"/>
              <w:rPr/>
            </w:pPr>
            <w:r>
              <w:rPr/>
              <w:t>U.S. BANK TRUST COMPANY, NATIONAL ASSOCIATION, as Trustee</w:t>
            </w:r>
          </w:p>
        </w:tc>
      </w:tr>
      <w:tr>
        <w:trPr/>
        <w:tc>
          <w:tcPr>
            <w:tcW w:w="75"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left"/>
              <w:rPr/>
            </w:pPr>
            <w:r>
              <w:rPr/>
              <w:t> </w:t>
            </w:r>
          </w:p>
        </w:tc>
        <w:tc>
          <w:tcPr>
            <w:tcW w:w="658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left"/>
              <w:rPr/>
            </w:pPr>
            <w:r>
              <w:rPr/>
              <w:t>By:</w:t>
            </w:r>
          </w:p>
        </w:tc>
        <w:tc>
          <w:tcPr>
            <w:tcW w:w="6588" w:type="dxa"/>
            <w:tcBorders>
              <w:bottom w:val="single" w:sz="12" w:space="0" w:color="000000"/>
            </w:tcBorders>
            <w:tcMar>
              <w:bottom w:w="28" w:type="dxa"/>
            </w:tcMar>
            <w:vAlign w:val="center"/>
          </w:tcPr>
          <w:p>
            <w:pPr>
              <w:pStyle w:val="TableContents"/>
              <w:bidi w:val="0"/>
              <w:spacing w:before="0" w:after="283"/>
              <w:jc w:val="both"/>
              <w:rPr>
                <w:i/>
              </w:rPr>
            </w:pPr>
            <w:r>
              <w:rPr>
                <w:i/>
              </w:rPr>
              <w:t>/s/ Bradley E. Scarbrough</w:t>
            </w:r>
          </w:p>
        </w:tc>
      </w:tr>
      <w:tr>
        <w:trPr/>
        <w:tc>
          <w:tcPr>
            <w:tcW w:w="75"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left"/>
              <w:rPr/>
            </w:pPr>
            <w:r>
              <w:rPr/>
              <w:t xml:space="preserve">Name: </w:t>
            </w:r>
          </w:p>
        </w:tc>
        <w:tc>
          <w:tcPr>
            <w:tcW w:w="6588" w:type="dxa"/>
            <w:tcBorders/>
            <w:vAlign w:val="center"/>
          </w:tcPr>
          <w:p>
            <w:pPr>
              <w:pStyle w:val="TableContents"/>
              <w:bidi w:val="0"/>
              <w:spacing w:before="0" w:after="283"/>
              <w:jc w:val="both"/>
              <w:rPr/>
            </w:pPr>
            <w:r>
              <w:rPr/>
              <w:t>Bradley E. Scarbrough</w:t>
            </w:r>
          </w:p>
        </w:tc>
      </w:tr>
      <w:tr>
        <w:trPr/>
        <w:tc>
          <w:tcPr>
            <w:tcW w:w="75"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left"/>
              <w:rPr/>
            </w:pPr>
            <w:r>
              <w:rPr/>
              <w:t>Title:</w:t>
            </w:r>
          </w:p>
        </w:tc>
        <w:tc>
          <w:tcPr>
            <w:tcW w:w="6588" w:type="dxa"/>
            <w:tcBorders/>
            <w:vAlign w:val="center"/>
          </w:tcPr>
          <w:p>
            <w:pPr>
              <w:pStyle w:val="TableContents"/>
              <w:bidi w:val="0"/>
              <w:spacing w:before="0" w:after="283"/>
              <w:jc w:val="both"/>
              <w:rPr/>
            </w:pPr>
            <w:r>
              <w:rPr/>
              <w:t>Vice President</w:t>
            </w:r>
          </w:p>
        </w:tc>
      </w:tr>
    </w:tbl>
    <w:p>
      <w:pPr>
        <w:pStyle w:val="TextBody"/>
        <w:bidi w:val="0"/>
        <w:spacing w:before="0" w:after="0"/>
        <w:ind w:left="468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106</w:t>
      </w:r>
    </w:p>
    <w:p>
      <w:pPr>
        <w:pStyle w:val="TextBody"/>
        <w:bidi w:val="0"/>
        <w:spacing w:before="0" w:after="0"/>
        <w:ind w:left="0" w:right="0" w:hanging="0"/>
        <w:jc w:val="left"/>
        <w:rPr/>
      </w:pPr>
      <w:r>
        <w:rPr/>
        <w:t> </w:t>
      </w:r>
    </w:p>
    <w:p>
      <w:pPr>
        <w:pStyle w:val="TextBody"/>
        <w:bidi w:val="0"/>
        <w:spacing w:before="0" w:after="0"/>
        <w:ind w:left="4680" w:right="0" w:hanging="0"/>
        <w:jc w:val="right"/>
        <w:rPr>
          <w:caps w:val="false"/>
          <w:smallCaps w:val="false"/>
        </w:rPr>
      </w:pPr>
      <w:r>
        <w:rPr>
          <w:caps w:val="false"/>
          <w:smallCaps w:val="false"/>
        </w:rPr>
        <w:t> </w:t>
      </w:r>
    </w:p>
    <w:p>
      <w:pPr>
        <w:pStyle w:val="TextBody"/>
        <w:bidi w:val="0"/>
        <w:spacing w:before="0" w:after="0"/>
        <w:ind w:left="468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468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FACE OF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 FOLLOWING LEGEND IF A GLOBAL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A NEW YORK CORPORATION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TO THE COMPANY OR ITS AGENT FOR REGISTRATION OF TRANSFER, EXCHANGE, OR PAYMENT, AND ANY CERTIFICATE ISSUED IS REGISTERED IN THE NAME OF CEDE &amp; CO. OR IN SUCH OTHER NAME AS IS REQUESTED BY AN AUTHORIZED REPRESENTATIVE OF DTC (AND ANY PAYMENT HEREUNDER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 THE FOLLOWING LEGEND IF A RESTRICTED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HAS NOT BEEN REGISTERED UNDER THE SECURITIES ACT OF 1933, AS AMENDED (THE “SECURITIES ACT”), AND MAY NOT BE OFFERED, SOLD, PLEDGED OR OTHERWISE TRANSFERRED EXCEPT IN ACCORDANCE WITH THE FOLLOWING SENTENCE. BY ITS ACQUISITION HEREOF OR OF A BENEFICIAL INTEREST HEREIN, THE ACQUIRER:</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REPRESENTS THAT IT AND ANY ACCOUNT FOR WHICH IT IS ACTING IS A “QUALIFIED INSTITUTIONAL BUYER” (WITHIN THE MEANING OF RULE 144A UNDER THE SECURITIES ACT) AND THAT IT EXERCISES SOLE INVESTMENT DISCRETION WITH RESPECT TO EACH SUCH ACCOUNT, AND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AGREES FOR THE BENEFIT OF BITDEER TECHNOLOGIES GROUP (THE “COMPANY”) THAT IT WILL NOT OFFER, SELL, PLEDGE OR OTHERWISE TRANSFER THIS SECURITY OR ANY BENEFICIAL INTEREST HEREIN, EXCEPT:</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COMPANY OR ANY SUBSIDIARY THEREOF, OR</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PURSUANT TO A REGISTRATION STATEMENT WHICH HAS BECOME EFFECTIVE UNDER THE SECURITIES ACT, OR</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A QUALIFIED INSTITUTIONAL BUYER IN COMPLIANCE WITH RULE 144A UNDER THE SECURITIES ACT, OR</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PURSUANT TO AN EXEMPTION FROM REGISTRATION PROVIDED BY RULE 144 UNDER THE SECURITIES ACT OR ANY OTHER AVAILABLE EXEMPTION FROM THE REGISTRATION REQUIREMENTS OF THE SECURITIES ACT.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REGISTRATION OF ANY TRANSFER IN ACCORDANCE WITH CLAUSE (2)(D) ABOVE, THE COMPANY AND THE TRUSTEE RESERVE THE RIGHT TO REQUIRE THE DELIVERY OF SUCH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BITDEER TECHNOLOGIES GROUP</w:t>
        <w:br/>
        <w:br/>
        <w:t>5.00% Convertible Senior Notes due 2032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1115"/>
        <w:gridCol w:w="2150"/>
      </w:tblGrid>
      <w:tr>
        <w:trPr/>
        <w:tc>
          <w:tcPr>
            <w:tcW w:w="1115" w:type="dxa"/>
            <w:tcBorders/>
            <w:vAlign w:val="center"/>
          </w:tcPr>
          <w:p>
            <w:pPr>
              <w:pStyle w:val="TableContents"/>
              <w:bidi w:val="0"/>
              <w:spacing w:before="0" w:after="283"/>
              <w:jc w:val="left"/>
              <w:rPr/>
            </w:pPr>
            <w:r>
              <w:rPr>
                <w:sz w:val="20"/>
              </w:rPr>
              <w:t xml:space="preserve">No. </w:t>
            </w:r>
            <w:r>
              <w:rPr/>
              <w:t>[_____]</w:t>
            </w:r>
          </w:p>
        </w:tc>
        <w:tc>
          <w:tcPr>
            <w:tcW w:w="2150" w:type="dxa"/>
            <w:tcBorders/>
            <w:vAlign w:val="center"/>
          </w:tcPr>
          <w:p>
            <w:pPr>
              <w:pStyle w:val="TableContents"/>
              <w:bidi w:val="0"/>
              <w:spacing w:before="0" w:after="283"/>
              <w:jc w:val="both"/>
              <w:rPr/>
            </w:pPr>
            <w:r>
              <w:rPr>
                <w:sz w:val="20"/>
              </w:rPr>
              <w:t>[Initially]</w:t>
            </w:r>
            <w:r>
              <w:rPr>
                <w:rFonts w:ascii="Times New Roman;Times;Serif" w:hAnsi="Times New Roman;Times;Serif"/>
                <w:position w:val="8"/>
                <w:sz w:val="19"/>
              </w:rPr>
              <w:t>1</w:t>
            </w:r>
            <w:r>
              <w:rPr/>
              <w:t xml:space="preserve"> </w:t>
            </w:r>
            <w:r>
              <w:rPr>
                <w:sz w:val="20"/>
              </w:rPr>
              <w:t>$[_________]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Bitdeer Technologies Group, a company incorporated under the laws of the Cayman Islands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which term includes any successor corporation or other entity under the Indenture referred to on the reverse hereof), for value received hereby promises to pay to [CEDE &amp; CO.]</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[_______]</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or registered assigns, the principal sum [as set forth in the “Schedule of Exchanges of Notes” attached hereto]</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[of $[_______]]</w:t>
      </w: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which amount, taken together with the principal amounts of all other outstanding Notes, shall not, unless permitted by the Indenture, exceed $325,000,000 plus up to an additional $50,000,000 principal amount of any additional Notes purchased by the Initial Purchasers pursuant to the exercise of their option to purchase additional Notes as set forth in the Purchase Agreement, in aggregate at any time, in accordance with the rules and the Applicable Procedures of the Depositary, on March 1, 2032, and interest thereon as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shall bear interest at the rate of 5.00% per year from February 24, 2026 or from the most recent date to which interest had been paid or duly provided for to, but excluding, the next scheduled Interest Payment Date until March 1, 2032. Interest is payable semi-annually in arrears on each March 1 and September 1, commencing on September 1, 2026, to Holders of record at the close of business on the preceding February 15 or August 15 (whether or not such day is a Business Day), respectively. Additional Interest will be payable as set forth in ‎Section 4.06(d) and Section 6.03 of the within-mentioned Indenture, and any reference to interest on, or in respect of, any Note therein shall be deemed to include Additional Interest if, in such context, Additional Interest is, was or would be payable pursuant to any of such ‎Section 4.06(d) and Section 6.03‎, and any express mention of the payment of Additional Interest in any provision therein shall not be construed as excluding Additional Interest in those provisions thereof where such express mention is not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Defaulted Amounts shall accrue interest per annum at the rate borne by the Notes, subject to the enforceability thereof under applicable law, from, and including, the relevant payment date to, but excluding, the date on which such Defaulted Amounts shall have been paid by the Company in accordance with ‎Section 2.03(c) of the within-mentioned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pay, or cause the Paying Agent to pay, the principal of and interest on this Note, if and so long as such Note is a Global Note, in immediately available funds to the Depositary or its nominee, as the case may be, as the registered Holder of such Note. As provided in and subject to the provisions of the Indenture, the Company shall pay the principal of any Notes (other than Notes that are Global Notes) at the office or agency designated by the Company for that purpose. The Company has initially designated the Trustee as its Paying Agent and Note Registrar in respect of the Notes and the Corporate Trust Office, as a place where Notes may be presented for payment or for registration of transfer and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further provisions of this Note set forth on the reverse hereof, including, without limitation, provisions giving the Holder of this Note the right to convert this Note into cash, Class A Ordinary Shares or a combination of cash and Class A Ordinary Shares, as applicable, on the terms and subject to the limitations set forth in the Indenture. Such further provisions shall for all purposes have the same effect as though fully set forth at this place.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Note, and any claim, controversy or dispute arising under or related to this Note, shall be construed in accordance with and governed by the laws of the State of New York</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any conflict between this Note and the Indenture, the provisions of the Indenture shall control and govern.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shall not be valid or become obligatory for any purpose until the certificate of authentication hereon shall have been signed manually by the Trustee or a duly authorized authenticating agent under the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Include if a global note.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Include if a global note.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Include if a physical note.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Include if a global note.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Include if a physical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Note to be duly executed.</w:t>
      </w:r>
    </w:p>
    <w:p>
      <w:pPr>
        <w:pStyle w:val="TextBody"/>
        <w:bidi w:val="0"/>
        <w:spacing w:before="0" w:after="0"/>
        <w:ind w:left="4320" w:right="0" w:hanging="0"/>
        <w:jc w:val="left"/>
        <w:rPr>
          <w:caps w:val="false"/>
          <w:smallCaps w:val="false"/>
        </w:rPr>
      </w:pPr>
      <w:r>
        <w:rPr>
          <w:caps w:val="false"/>
          <w:smallCaps w:val="false"/>
        </w:rPr>
        <w:t> </w:t>
      </w:r>
    </w:p>
    <w:tbl>
      <w:tblPr>
        <w:tblW w:w="3978" w:type="dxa"/>
        <w:jc w:val="left"/>
        <w:tblInd w:w="0" w:type="dxa"/>
        <w:tblLayout w:type="fixed"/>
        <w:tblCellMar>
          <w:top w:w="0" w:type="dxa"/>
          <w:left w:w="0" w:type="dxa"/>
          <w:bottom w:w="0" w:type="dxa"/>
          <w:right w:w="0" w:type="dxa"/>
        </w:tblCellMar>
      </w:tblPr>
      <w:tblGrid>
        <w:gridCol w:w="75"/>
        <w:gridCol w:w="1226"/>
        <w:gridCol w:w="2373"/>
        <w:gridCol w:w="304"/>
      </w:tblGrid>
      <w:tr>
        <w:trPr/>
        <w:tc>
          <w:tcPr>
            <w:tcW w:w="75" w:type="dxa"/>
            <w:tcBorders/>
            <w:vAlign w:val="center"/>
          </w:tcPr>
          <w:p>
            <w:pPr>
              <w:pStyle w:val="TableContents"/>
              <w:bidi w:val="0"/>
              <w:spacing w:before="0" w:after="283"/>
              <w:jc w:val="left"/>
              <w:rPr/>
            </w:pPr>
            <w:r>
              <w:rPr/>
              <w:t> </w:t>
            </w:r>
          </w:p>
        </w:tc>
        <w:tc>
          <w:tcPr>
            <w:tcW w:w="3903" w:type="dxa"/>
            <w:gridSpan w:val="3"/>
            <w:tcBorders/>
            <w:vAlign w:val="center"/>
          </w:tcPr>
          <w:p>
            <w:pPr>
              <w:pStyle w:val="TableContents"/>
              <w:bidi w:val="0"/>
              <w:spacing w:before="0" w:after="283"/>
              <w:jc w:val="left"/>
              <w:rPr/>
            </w:pPr>
            <w:r>
              <w:rPr/>
              <w:t>BITDEER TECHNOLOGIES GROUP</w:t>
            </w:r>
          </w:p>
        </w:tc>
      </w:tr>
      <w:tr>
        <w:trPr/>
        <w:tc>
          <w:tcPr>
            <w:tcW w:w="75"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left"/>
              <w:rPr/>
            </w:pPr>
            <w:r>
              <w:rPr/>
              <w:t> </w:t>
            </w:r>
          </w:p>
        </w:tc>
        <w:tc>
          <w:tcPr>
            <w:tcW w:w="2373"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pPr>
            <w:r>
              <w:rPr/>
              <w:t>By:</w:t>
            </w:r>
          </w:p>
        </w:tc>
        <w:tc>
          <w:tcPr>
            <w:tcW w:w="2677" w:type="dxa"/>
            <w:gridSpan w:val="2"/>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left"/>
              <w:rPr/>
            </w:pPr>
            <w:r>
              <w:rPr/>
              <w:t> </w:t>
            </w:r>
          </w:p>
        </w:tc>
        <w:tc>
          <w:tcPr>
            <w:tcW w:w="2373" w:type="dxa"/>
            <w:tcBorders/>
            <w:vAlign w:val="center"/>
          </w:tcPr>
          <w:p>
            <w:pPr>
              <w:pStyle w:val="TableContents"/>
              <w:bidi w:val="0"/>
              <w:spacing w:before="0" w:after="283"/>
              <w:jc w:val="left"/>
              <w:rPr/>
            </w:pPr>
            <w:r>
              <w:rPr/>
              <w:t>Name:</w:t>
            </w:r>
          </w:p>
        </w:tc>
        <w:tc>
          <w:tcPr>
            <w:tcW w:w="30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left"/>
              <w:rPr/>
            </w:pPr>
            <w:r>
              <w:rPr/>
              <w:t> </w:t>
            </w:r>
          </w:p>
        </w:tc>
        <w:tc>
          <w:tcPr>
            <w:tcW w:w="2373" w:type="dxa"/>
            <w:tcBorders/>
            <w:vAlign w:val="center"/>
          </w:tcPr>
          <w:p>
            <w:pPr>
              <w:pStyle w:val="TableContents"/>
              <w:bidi w:val="0"/>
              <w:spacing w:before="0" w:after="283"/>
              <w:jc w:val="left"/>
              <w:rPr/>
            </w:pPr>
            <w:r>
              <w:rPr/>
              <w:t>Title:</w:t>
            </w:r>
          </w:p>
        </w:tc>
        <w:tc>
          <w:tcPr>
            <w:tcW w:w="304" w:type="dxa"/>
            <w:tcBorders/>
            <w:vAlign w:val="center"/>
          </w:tcPr>
          <w:p>
            <w:pPr>
              <w:pStyle w:val="TableContents"/>
              <w:bidi w:val="0"/>
              <w:spacing w:before="0" w:after="283"/>
              <w:jc w:val="both"/>
              <w:rPr/>
            </w:pPr>
            <w:r>
              <w:rPr/>
              <w:t> </w:t>
            </w:r>
          </w:p>
        </w:tc>
      </w:tr>
    </w:tbl>
    <w:p>
      <w:pPr>
        <w:pStyle w:val="TextBody"/>
        <w:bidi w:val="0"/>
        <w:spacing w:before="0" w:after="0"/>
        <w:ind w:left="46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TRUSTEE’S 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 certifies that this is one of the Notes described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within-named Indenture.</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36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380"/>
        <w:gridCol w:w="2060"/>
        <w:gridCol w:w="75"/>
      </w:tblGrid>
      <w:tr>
        <w:trPr/>
        <w:tc>
          <w:tcPr>
            <w:tcW w:w="380" w:type="dxa"/>
            <w:tcBorders/>
            <w:vAlign w:val="center"/>
          </w:tcPr>
          <w:p>
            <w:pPr>
              <w:pStyle w:val="TableContents"/>
              <w:bidi w:val="0"/>
              <w:spacing w:before="0" w:after="283"/>
              <w:jc w:val="left"/>
              <w:rPr/>
            </w:pPr>
            <w:r>
              <w:rPr/>
              <w:t>By:</w:t>
            </w:r>
          </w:p>
        </w:tc>
        <w:tc>
          <w:tcPr>
            <w:tcW w:w="20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283"/>
              <w:jc w:val="left"/>
              <w:rPr/>
            </w:pPr>
            <w:r>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REVERSE OF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BITDEER TECHNOLOGIES GROUP</w:t>
        <w:br/>
        <w:t>5.00% Convertible Senior Notes due 2032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one of a duly authorized issue of Notes of the Company, designated as its 5.00% Convertible Senior Notes due 2032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limited to the aggregate principal amount of $325,000,000 plus up to an additional $50,000,000 principal amount of any additional Notes purchased by the Initial Purchasers pursuant to the exercise of their option to purchase additional Notes as set forth in the Purchase Agreement, all issued or to be issued under and pursuant to an Indenture dated as of February 24, 2026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by and between the Company and U.S. Bank Trust Company, National Association, as trustee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to which Indenture and all indentures supplemental thereto reference is hereby made for a description of the rights, limitations of rights, obligations, duties and immunities thereunder of the Trustee, the Company and the Holders of the Notes. Additional Notes may be issued in an unlimited aggregate principal amount, subject to certain conditions specified in the Indenture. Capitalized terms used in this Note and not defined in this Note shall have the respective meanings set forth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certain Events of Default shall have occurred and be continuing, the principal of, and interest on, all Notes may be declared, by either the Trustee or Holders of at least 25% in aggregate principal amount of Notes then outstanding, and upon said declaration shall become, due and payable, in the manner, with the effect and subject to the conditions and certain exceptions set forth in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the Indenture, the Company will make all payments and deliveries in respect of the Fundamental Change Repurchase Price on the Fundamental Change Repurchase Date (if applicable), the Specified Repurchase Date Repurchase Price on the Specified Repurchase Date (if applicable), the Redemption Price on any Redemption Date (if applicable) and the principal amount on the Maturity Date, as the case may be, to the Holder who surrenders a Note to a Paying Agent to collect such payments in respect of the Note. The Company shall pay cash amounts in money of the United States that at the time of payment is legal tender for payment of public and private debts.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the Indenture, Additional Amounts will be paid in connection with any payments made and deliveries caused to be made by the Company or any successor to the Company under or with respect to the Indenture and the Notes, including, but not limited to, payments of principal (including, if applicable the Redemption Price, the Fundamental Change Repurchase Price and the Specified Repurchase Date Repurchase Price), payments of interest and the payment of cash and/or deliveries of Class A Ordinary Shares (together with payments for any fractional Class A Ordinary Shares) upon conversion of the Notes to ensure that the net amount received by the Holder after any applicable withholding or deduction (and after deducting any taxes on the Additional Amounts) will equal the amount that would have been received by such Holder had no such withholding or deduction been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provisions permitting the Company and the Trustee in certain circumstances, without the consent of the Holders of the Notes, and in certain other circumstances, with the consent of the Holders of not less than a majority in aggregate principal amount of the Notes at the time outstanding, evidenced as in the Indenture provided, to execute supplemental indentures modifying the terms of the Indenture and the Notes as described therein. It is also provided in the Indenture that, subject to certain exceptions, the Holders of a majority in aggregate principal amount of the Notes at the time outstanding may on behalf of the Holders of all of the Notes waive any past Default or Event of Default under the Indenture and its consequences.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A-4</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shall have the right to receive payment or delivery, as the case may be, of (x) the principal (including the Redemption Price, the Fundamental Change Repurchase Price and the Specified Repurchase Date Repurchase Price, if applicable) of, (y) accrued and unpaid interest, if any, on, and (z) the consideration due upon conversion of, this Note at the place, at the respective times, at the rate and in the lawful money and/or Class A Ordinary Shares, as the case may be, herein prescribed.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issuable in registered form without coupons in minimum denominations of $1,000 principal amount and integral multiples thereof. At the office or agency of the Company designated by the Company for such purpose under the Indenture, and in the manner and subject to the limitations provided in the Indenture, Notes may be exchanged for a like aggregate principal amount of Notes of other authorized denominations, without payment of any service charge but, if required by the Company or Trustee, with payment of a sum sufficient to cover any transfer or similar tax that may be imposed in connection therewith as a result of the name of the Holder of the new Notes issued upon such exchange of Notes being different from the name of the Holder of the old Notes surrendered for such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not redeem the Notes prior to the Maturity Date, except in the event of a Redemption as described in Article 16 of the Indenture. No sinking fund is provided for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Specified Repurchase Date and upon the occurrence of a Fundamental Change, the Holder has the right, at such Holder’s option, to require the Company to repurchase for cash all of such Holder’s Notes or any portion thereof (in principal amounts of $1,000 or integral multiples thereof) on the Specified Repurchase Date or the Fundamental Change Repurchase Date, as applicable, at a price equal to the Fundamental Change Repurchase Price or the Specified Repurchase Date Repurchase Price,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Indenture, the Holder hereof has the right, at its option, during certain periods and upon the occurrence of certain conditions specified in the Indenture, prior to the close of business on the second Scheduled Trading Day immediately preceding the Maturity Date, to convert any Notes or portion thereof that is $1,000 or an integral multiple thereof, into cash, Class A Ordinary Shares or a combination of cash and Class A Ordinary Shares, as applicable, at the Conversion Rate specified in the Indenture, as adjusted from time to time as provided in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ABBREVIATIONS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abbreviations, when used in the inscription of the face of this Note, shall be construed as though they were written out in full according to applicable laws or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 COM = as tenants in common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UNIF GIFT MIN ACT = Uniform Gifts to Minors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 = Note Custodian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 ENT = as tenants by the entireties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JT TEN = joint tenants with right of survivorship and not as tenants in common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abbreviations may also be used though not in the above list.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SCHEDULE A</w:t>
      </w:r>
      <w:r>
        <w:rPr>
          <w:rFonts w:ascii="Times New Roman;Times;Serif" w:hAnsi="Times New Roman;Times;Serif"/>
          <w:b/>
          <w:i w:val="false"/>
          <w:caps w:val="false"/>
          <w:smallCaps w:val="false"/>
          <w:position w:val="7"/>
          <w:sz w:val="16"/>
          <w:sz w:val="20"/>
        </w:rPr>
        <w:t>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EXCHANGES OF NOTES</w:t>
        <w:br/>
        <w:br/>
        <w:t>BITDEER TECHNOLOGIES GROUP</w:t>
        <w:br/>
        <w:t>5.00% Convertible Senior Notes due 2032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principal amount of this Global Note is [___] DOLLARS ($[___]). The following increases or decreases in this Global Note have been made:</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28"/>
        <w:gridCol w:w="2149"/>
        <w:gridCol w:w="2139"/>
        <w:gridCol w:w="2545"/>
        <w:gridCol w:w="2344"/>
      </w:tblGrid>
      <w:tr>
        <w:trPr/>
        <w:tc>
          <w:tcPr>
            <w:tcW w:w="1028" w:type="dxa"/>
            <w:tcBorders>
              <w:bottom w:val="single" w:sz="8" w:space="0" w:color="000000"/>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exchange</w:t>
            </w:r>
          </w:p>
        </w:tc>
        <w:tc>
          <w:tcPr>
            <w:tcW w:w="2149" w:type="dxa"/>
            <w:tcBorders>
              <w:bottom w:val="single" w:sz="8" w:space="0" w:color="000000"/>
            </w:tcBorders>
            <w:vAlign w:val="center"/>
          </w:tcPr>
          <w:p>
            <w:pPr>
              <w:pStyle w:val="TableContents"/>
              <w:bidi w:val="0"/>
              <w:spacing w:before="0" w:after="283"/>
              <w:jc w:val="left"/>
              <w:rPr>
                <w:sz w:val="20"/>
              </w:rPr>
            </w:pPr>
            <w:r>
              <w:rPr>
                <w:sz w:val="20"/>
              </w:rPr>
              <w:t>Amount of decrease in principal amount of this Global Note</w:t>
            </w:r>
          </w:p>
        </w:tc>
        <w:tc>
          <w:tcPr>
            <w:tcW w:w="2139" w:type="dxa"/>
            <w:tcBorders>
              <w:bottom w:val="single" w:sz="8" w:space="0" w:color="000000"/>
            </w:tcBorders>
            <w:vAlign w:val="center"/>
          </w:tcPr>
          <w:p>
            <w:pPr>
              <w:pStyle w:val="TableContents"/>
              <w:bidi w:val="0"/>
              <w:spacing w:before="0" w:after="283"/>
              <w:jc w:val="left"/>
              <w:rPr>
                <w:sz w:val="20"/>
              </w:rPr>
            </w:pPr>
            <w:r>
              <w:rPr>
                <w:sz w:val="20"/>
              </w:rPr>
              <w:t>Amount of increase in principal amount of this Global Note</w:t>
            </w:r>
          </w:p>
        </w:tc>
        <w:tc>
          <w:tcPr>
            <w:tcW w:w="2545" w:type="dxa"/>
            <w:tcBorders>
              <w:bottom w:val="single" w:sz="8" w:space="0" w:color="000000"/>
            </w:tcBorders>
            <w:vAlign w:val="center"/>
          </w:tcPr>
          <w:p>
            <w:pPr>
              <w:pStyle w:val="TableContents"/>
              <w:bidi w:val="0"/>
              <w:spacing w:before="0" w:after="283"/>
              <w:jc w:val="left"/>
              <w:rPr>
                <w:sz w:val="20"/>
              </w:rPr>
            </w:pPr>
            <w:r>
              <w:rPr>
                <w:sz w:val="20"/>
              </w:rPr>
              <w:t>Principal amount of this Global Note following such decrease or increase</w:t>
            </w:r>
          </w:p>
        </w:tc>
        <w:tc>
          <w:tcPr>
            <w:tcW w:w="2344" w:type="dxa"/>
            <w:tcBorders>
              <w:bottom w:val="single" w:sz="8" w:space="0" w:color="000000"/>
            </w:tcBorders>
            <w:vAlign w:val="center"/>
          </w:tcPr>
          <w:p>
            <w:pPr>
              <w:pStyle w:val="TableContents"/>
              <w:bidi w:val="0"/>
              <w:spacing w:before="0" w:after="283"/>
              <w:jc w:val="left"/>
              <w:rPr>
                <w:sz w:val="20"/>
              </w:rPr>
            </w:pPr>
            <w:r>
              <w:rPr>
                <w:sz w:val="20"/>
              </w:rPr>
              <w:t>Signature of authorized signatory of Trustee or Note Custodian</w:t>
            </w:r>
          </w:p>
        </w:tc>
      </w:tr>
      <w:tr>
        <w:trPr/>
        <w:tc>
          <w:tcPr>
            <w:tcW w:w="1028" w:type="dxa"/>
            <w:tcBorders>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2149"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139"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545"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344"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r>
      <w:tr>
        <w:trPr/>
        <w:tc>
          <w:tcPr>
            <w:tcW w:w="1028" w:type="dxa"/>
            <w:tcBorders>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2149"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139"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545"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344"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r>
      <w:tr>
        <w:trPr/>
        <w:tc>
          <w:tcPr>
            <w:tcW w:w="1028" w:type="dxa"/>
            <w:tcBorders>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2149"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139"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545"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344"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r>
      <w:tr>
        <w:trPr/>
        <w:tc>
          <w:tcPr>
            <w:tcW w:w="1028" w:type="dxa"/>
            <w:tcBorders>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2149"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139"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545"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344"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r>
      <w:tr>
        <w:trPr/>
        <w:tc>
          <w:tcPr>
            <w:tcW w:w="1028" w:type="dxa"/>
            <w:tcBorders>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2149"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139"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545"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344"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r>
      <w:tr>
        <w:trPr/>
        <w:tc>
          <w:tcPr>
            <w:tcW w:w="1028" w:type="dxa"/>
            <w:tcBorders>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2149"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139"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545"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344"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r>
      <w:tr>
        <w:trPr/>
        <w:tc>
          <w:tcPr>
            <w:tcW w:w="1028" w:type="dxa"/>
            <w:tcBorders>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2149"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139"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545"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344"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r>
      <w:tr>
        <w:trPr/>
        <w:tc>
          <w:tcPr>
            <w:tcW w:w="1028" w:type="dxa"/>
            <w:tcBorders>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2149"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139"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545"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344"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r>
      <w:tr>
        <w:trPr/>
        <w:tc>
          <w:tcPr>
            <w:tcW w:w="1028" w:type="dxa"/>
            <w:tcBorders>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2149"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139"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545"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344"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r>
      <w:tr>
        <w:trPr/>
        <w:tc>
          <w:tcPr>
            <w:tcW w:w="1028" w:type="dxa"/>
            <w:tcBorders>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2149"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139"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545"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344"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r>
      <w:tr>
        <w:trPr/>
        <w:tc>
          <w:tcPr>
            <w:tcW w:w="1028" w:type="dxa"/>
            <w:tcBorders>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2149"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139"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545"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344"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r>
      <w:tr>
        <w:trPr/>
        <w:tc>
          <w:tcPr>
            <w:tcW w:w="1028" w:type="dxa"/>
            <w:tcBorders>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2149"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139"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545"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344"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r>
      <w:tr>
        <w:trPr/>
        <w:tc>
          <w:tcPr>
            <w:tcW w:w="1028" w:type="dxa"/>
            <w:tcBorders>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2149"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139"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545"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344"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r>
      <w:tr>
        <w:trPr/>
        <w:tc>
          <w:tcPr>
            <w:tcW w:w="1028" w:type="dxa"/>
            <w:tcBorders>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2149"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139"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545"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344"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r>
      <w:tr>
        <w:trPr/>
        <w:tc>
          <w:tcPr>
            <w:tcW w:w="1028" w:type="dxa"/>
            <w:tcBorders>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2149"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139"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545"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344"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r>
      <w:tr>
        <w:trPr/>
        <w:tc>
          <w:tcPr>
            <w:tcW w:w="1028" w:type="dxa"/>
            <w:tcBorders>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2149"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139"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545"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344"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r>
      <w:tr>
        <w:trPr/>
        <w:tc>
          <w:tcPr>
            <w:tcW w:w="1028" w:type="dxa"/>
            <w:tcBorders>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2149"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139"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545"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344"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r>
      <w:tr>
        <w:trPr/>
        <w:tc>
          <w:tcPr>
            <w:tcW w:w="1028" w:type="dxa"/>
            <w:tcBorders>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2149"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139"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545"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344"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r>
      <w:tr>
        <w:trPr/>
        <w:tc>
          <w:tcPr>
            <w:tcW w:w="1028" w:type="dxa"/>
            <w:tcBorders>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2149"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139"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545"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344"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r>
      <w:tr>
        <w:trPr/>
        <w:tc>
          <w:tcPr>
            <w:tcW w:w="1028" w:type="dxa"/>
            <w:tcBorders>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2149"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139"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545"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344"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r>
      <w:tr>
        <w:trPr/>
        <w:tc>
          <w:tcPr>
            <w:tcW w:w="1028" w:type="dxa"/>
            <w:tcBorders>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2149"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139"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545"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344"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r>
      <w:tr>
        <w:trPr/>
        <w:tc>
          <w:tcPr>
            <w:tcW w:w="1028" w:type="dxa"/>
            <w:tcBorders>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2149"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139"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545"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344"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r>
      <w:tr>
        <w:trPr/>
        <w:tc>
          <w:tcPr>
            <w:tcW w:w="1028" w:type="dxa"/>
            <w:tcBorders>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2149"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139"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545"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344"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r>
      <w:tr>
        <w:trPr/>
        <w:tc>
          <w:tcPr>
            <w:tcW w:w="1028" w:type="dxa"/>
            <w:tcBorders>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2149"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139"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545"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344"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r>
      <w:tr>
        <w:trPr/>
        <w:tc>
          <w:tcPr>
            <w:tcW w:w="1028" w:type="dxa"/>
            <w:tcBorders>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2149"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139"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545"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344"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r>
      <w:tr>
        <w:trPr/>
        <w:tc>
          <w:tcPr>
            <w:tcW w:w="1028" w:type="dxa"/>
            <w:tcBorders>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2149"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139"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545"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344"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r>
      <w:tr>
        <w:trPr/>
        <w:tc>
          <w:tcPr>
            <w:tcW w:w="1028" w:type="dxa"/>
            <w:tcBorders>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2149"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139"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545"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344"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r>
      <w:tr>
        <w:trPr/>
        <w:tc>
          <w:tcPr>
            <w:tcW w:w="1028" w:type="dxa"/>
            <w:tcBorders>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2149"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139"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545"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c>
          <w:tcPr>
            <w:tcW w:w="2344" w:type="dxa"/>
            <w:tcBorders>
              <w:bottom w:val="single" w:sz="8" w:space="0" w:color="000000"/>
              <w:right w:val="single" w:sz="8" w:space="0" w:color="000000"/>
            </w:tcBorders>
            <w:tcMar>
              <w:right w:w="10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Include if a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NOTICE OF CONVERSION]</w:t>
      </w:r>
    </w:p>
    <w:p>
      <w:pPr>
        <w:pStyle w:val="TextBody"/>
        <w:bidi w:val="0"/>
        <w:spacing w:before="0" w:after="0"/>
        <w:ind w:left="0" w:right="0" w:hanging="0"/>
        <w:jc w:val="left"/>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365"/>
        <w:gridCol w:w="2735"/>
      </w:tblGrid>
      <w:tr>
        <w:trPr/>
        <w:tc>
          <w:tcPr>
            <w:tcW w:w="365" w:type="dxa"/>
            <w:tcBorders/>
            <w:vAlign w:val="center"/>
          </w:tcPr>
          <w:p>
            <w:pPr>
              <w:pStyle w:val="TableContents"/>
              <w:bidi w:val="0"/>
              <w:spacing w:before="0" w:after="283"/>
              <w:jc w:val="left"/>
              <w:rPr/>
            </w:pPr>
            <w:r>
              <w:rPr/>
              <w:t>To:</w:t>
            </w:r>
          </w:p>
        </w:tc>
        <w:tc>
          <w:tcPr>
            <w:tcW w:w="2735" w:type="dxa"/>
            <w:tcBorders/>
            <w:vAlign w:val="center"/>
          </w:tcPr>
          <w:p>
            <w:pPr>
              <w:pStyle w:val="TableContents"/>
              <w:bidi w:val="0"/>
              <w:jc w:val="both"/>
              <w:rPr/>
            </w:pPr>
            <w:r>
              <w:rPr/>
              <w:t>Bitdeer Technologies Group</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 Kallang Avenue</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Aperia tower 1, #09-03/04</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339509</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+65 62828220</w:t>
            </w:r>
          </w:p>
        </w:tc>
      </w:tr>
    </w:tbl>
    <w:p>
      <w:pPr>
        <w:pStyle w:val="TextBody"/>
        <w:bidi w:val="0"/>
        <w:spacing w:before="0" w:after="283"/>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 as Conversion Agent</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633 West 5th Street, 24th Floor,</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California 90071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registered owner of this Note hereby exercises the option to convert this Note, or the portion hereof (that is $1,000 in principal amount or an integral multiple thereof) below designated, into cash, Class A Ordinary Shares or a combination of cash and Class A Ordinary Shares, as applicable, in accordance with the terms of the Indenture referred to in this Note, and directs that any cash payable and any Class A Ordinary Shares issuable and deliverable upon such conversion, together with any cash for any fractional Class A Ordinary Shares, and any Notes representing any unconverted principal amount hereof, be issued and delivered to the registered Holder hereof unless a different name has been indicated below. If any Class A Ordinary Shares or any portion of this Note not converted are to be issued in the name of a Person other than the undersigned, the undersigned will pay all documentary, stamp or similar issue or transfer taxes, if any in accordance with ‎Section 14.02(d) and Section 14.02(e) of the Indenture. Any amount required to be paid to the undersigned on account of interest accompanies this Note. Capitalized terms used herein but not defined shall have the meanings ascribed to such terms in the Indenture.</w:t>
      </w:r>
    </w:p>
    <w:p>
      <w:pPr>
        <w:pStyle w:val="TextBody"/>
        <w:bidi w:val="0"/>
        <w:spacing w:before="0" w:after="0"/>
        <w:ind w:left="0" w:right="0" w:hanging="0"/>
        <w:jc w:val="left"/>
        <w:rPr>
          <w:caps w:val="false"/>
          <w:smallCaps w:val="false"/>
        </w:rPr>
      </w:pPr>
      <w:r>
        <w:rPr>
          <w:caps w:val="false"/>
          <w:smallCaps w:val="false"/>
        </w:rPr>
        <w:t> </w:t>
      </w:r>
    </w:p>
    <w:tbl>
      <w:tblPr>
        <w:tblW w:w="7780" w:type="dxa"/>
        <w:jc w:val="left"/>
        <w:tblInd w:w="0" w:type="dxa"/>
        <w:tblLayout w:type="fixed"/>
        <w:tblCellMar>
          <w:top w:w="0" w:type="dxa"/>
          <w:left w:w="0" w:type="dxa"/>
          <w:bottom w:w="0" w:type="dxa"/>
          <w:right w:w="0" w:type="dxa"/>
        </w:tblCellMar>
      </w:tblPr>
      <w:tblGrid>
        <w:gridCol w:w="3905"/>
        <w:gridCol w:w="3875"/>
      </w:tblGrid>
      <w:tr>
        <w:trPr/>
        <w:tc>
          <w:tcPr>
            <w:tcW w:w="3905" w:type="dxa"/>
            <w:tcBorders/>
            <w:vAlign w:val="center"/>
          </w:tcPr>
          <w:p>
            <w:pPr>
              <w:pStyle w:val="TableContents"/>
              <w:bidi w:val="0"/>
              <w:spacing w:before="0" w:after="283"/>
              <w:jc w:val="left"/>
              <w:rPr/>
            </w:pPr>
            <w:r>
              <w:rPr/>
              <w:t>Dated:___________________________</w:t>
            </w:r>
          </w:p>
        </w:tc>
        <w:tc>
          <w:tcPr>
            <w:tcW w:w="3875" w:type="dxa"/>
            <w:tcBorders/>
            <w:vAlign w:val="center"/>
          </w:tcPr>
          <w:p>
            <w:pPr>
              <w:pStyle w:val="TableContents"/>
              <w:bidi w:val="0"/>
              <w:spacing w:before="0" w:after="283"/>
              <w:jc w:val="both"/>
              <w:rPr/>
            </w:pPr>
            <w:r>
              <w:rPr/>
              <w:t>________________________________</w:t>
            </w:r>
          </w:p>
        </w:tc>
      </w:tr>
      <w:tr>
        <w:trPr/>
        <w:tc>
          <w:tcPr>
            <w:tcW w:w="390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both"/>
              <w:rPr/>
            </w:pPr>
            <w:r>
              <w:rPr/>
              <w:t> </w:t>
            </w:r>
          </w:p>
        </w:tc>
      </w:tr>
      <w:tr>
        <w:trPr/>
        <w:tc>
          <w:tcPr>
            <w:tcW w:w="390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both"/>
              <w:rPr/>
            </w:pPr>
            <w:r>
              <w:rPr/>
              <w:t>________________________________</w:t>
            </w:r>
          </w:p>
        </w:tc>
      </w:tr>
      <w:tr>
        <w:trPr/>
        <w:tc>
          <w:tcPr>
            <w:tcW w:w="390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both"/>
              <w:rPr/>
            </w:pPr>
            <w:r>
              <w:rPr/>
              <w:t>Signature(s)</w:t>
            </w:r>
          </w:p>
        </w:tc>
      </w:tr>
    </w:tbl>
    <w:p>
      <w:pPr>
        <w:pStyle w:val="TextBody"/>
        <w:bidi w:val="0"/>
        <w:spacing w:before="0" w:after="0"/>
        <w:ind w:left="0" w:right="0" w:firstLine="360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must be guaranteed</w:t>
        <w:br/>
        <w:t>by an eligible Guarantor Institution</w:t>
        <w:br/>
        <w:t>(banks, stock brokers, savings and</w:t>
        <w:br/>
        <w:t>loan associations and credit unions)</w:t>
        <w:br/>
        <w:t>with membership in an approved</w:t>
        <w:br/>
        <w:t>signature guarantee medallion program</w:t>
        <w:br/>
        <w:t>pursuant to Securities and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Rule 17Ad-15 if Class A Ordinary Shares are to be issued, or</w:t>
        <w:br/>
        <w:t>Notes are to be delivered, other than</w:t>
        <w:br/>
        <w:t>to and in the name of the registered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Fill in for registration of shares if</w:t>
        <w:br/>
        <w:t>to be issued, and Notes if to</w:t>
        <w:br/>
        <w:t>be delivered, other than to and in the</w:t>
        <w:br/>
        <w:t>name of the registered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(Street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(City, State and Zip Code)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 name and address</w:t>
      </w:r>
    </w:p>
    <w:p>
      <w:pPr>
        <w:pStyle w:val="TextBody"/>
        <w:bidi w:val="0"/>
        <w:spacing w:before="0" w:after="0"/>
        <w:ind w:left="3600" w:right="0" w:hanging="0"/>
        <w:jc w:val="left"/>
        <w:rPr>
          <w:caps w:val="false"/>
          <w:smallCaps w:val="false"/>
        </w:rPr>
      </w:pPr>
      <w:r>
        <w:rPr>
          <w:caps w:val="false"/>
          <w:smallCaps w:val="false"/>
        </w:rPr>
        <w:t> </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amount to be converted (if less than all): $______,000</w:t>
      </w:r>
    </w:p>
    <w:p>
      <w:pPr>
        <w:pStyle w:val="TextBody"/>
        <w:bidi w:val="0"/>
        <w:spacing w:before="0" w:after="0"/>
        <w:ind w:left="3600" w:right="0" w:hanging="0"/>
        <w:jc w:val="left"/>
        <w:rPr>
          <w:caps w:val="false"/>
          <w:smallCaps w:val="false"/>
        </w:rPr>
      </w:pPr>
      <w:r>
        <w:rPr>
          <w:caps w:val="false"/>
          <w:smallCaps w:val="false"/>
        </w:rPr>
        <w:t> </w:t>
      </w:r>
    </w:p>
    <w:p>
      <w:pPr>
        <w:pStyle w:val="TextBody"/>
        <w:bidi w:val="0"/>
        <w:spacing w:before="0" w:after="0"/>
        <w:ind w:left="36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The above signature(s) of the Holder(s) hereof must correspond with the name as written upon the face of the Note in every particular without alteration or enlargement or any change whatever.</w:t>
      </w:r>
    </w:p>
    <w:p>
      <w:pPr>
        <w:pStyle w:val="TextBody"/>
        <w:bidi w:val="0"/>
        <w:spacing w:before="0" w:after="0"/>
        <w:ind w:left="3600" w:right="0" w:hanging="0"/>
        <w:jc w:val="left"/>
        <w:rPr>
          <w:caps w:val="false"/>
          <w:smallCaps w:val="false"/>
        </w:rPr>
      </w:pPr>
      <w:r>
        <w:rPr>
          <w:caps w:val="false"/>
          <w:smallCaps w:val="false"/>
        </w:rPr>
        <w:t> </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Social Security or Other Taxpayer</w:t>
        <w:br/>
        <w:t>Identification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FUNDAMENTAL CHANGE REPURCHASE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160" w:type="dxa"/>
        <w:jc w:val="left"/>
        <w:tblInd w:w="0" w:type="dxa"/>
        <w:tblLayout w:type="fixed"/>
        <w:tblCellMar>
          <w:top w:w="0" w:type="dxa"/>
          <w:left w:w="0" w:type="dxa"/>
          <w:bottom w:w="0" w:type="dxa"/>
          <w:right w:w="0" w:type="dxa"/>
        </w:tblCellMar>
      </w:tblPr>
      <w:tblGrid>
        <w:gridCol w:w="365"/>
        <w:gridCol w:w="2795"/>
      </w:tblGrid>
      <w:tr>
        <w:trPr/>
        <w:tc>
          <w:tcPr>
            <w:tcW w:w="365" w:type="dxa"/>
            <w:tcBorders/>
            <w:vAlign w:val="center"/>
          </w:tcPr>
          <w:p>
            <w:pPr>
              <w:pStyle w:val="TableContents"/>
              <w:bidi w:val="0"/>
              <w:spacing w:before="0" w:after="283"/>
              <w:jc w:val="left"/>
              <w:rPr/>
            </w:pPr>
            <w:r>
              <w:rPr/>
              <w:t>To:</w:t>
            </w:r>
          </w:p>
        </w:tc>
        <w:tc>
          <w:tcPr>
            <w:tcW w:w="2795" w:type="dxa"/>
            <w:tcBorders/>
            <w:vAlign w:val="center"/>
          </w:tcPr>
          <w:p>
            <w:pPr>
              <w:pStyle w:val="TableContents"/>
              <w:bidi w:val="0"/>
              <w:jc w:val="both"/>
              <w:rPr/>
            </w:pPr>
            <w:r>
              <w:rPr/>
              <w:t xml:space="preserve">Bitdeer Technologies Group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 Kallang Avenue</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Aperia tower 1, #09-03/04</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339509</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+65 62828220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 as Paying Agent</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633 West 5th Street, 24th Floor,</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California 90071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registered owner of this Note hereby acknowledges receipt of a notice from Bitdeer Technologies Group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as to the occurrence of a Fundamental Change with respect to the Company and specifying the Fundamental Change Repurchase Date and requests and instructs the Company to pay to the registered holder hereof in accordance with ‎Section 15.02 of the Indenture referred to in this Note (1) the entire principal amount of this Note, or the portion thereof (that is $1,000 principal amount or an integral multiple thereof) below designated, and (2) if such Fundamental Change Repurchase Date does not fall during the period after a Regular Record Date and on or prior to the corresponding Interest Payment Date, accrued and unpaid interest, if any, thereon to, but excluding, such Fundamental Change Repurchase Date. Capitalized terms used herein but not defined shall have the meanings ascribed to such terms in the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Physical Notes, the certificate numbers of the Notes to be repurchased are as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Dated:_____________________</w:t>
      </w:r>
    </w:p>
    <w:p>
      <w:pPr>
        <w:pStyle w:val="TextBody"/>
        <w:bidi w:val="0"/>
        <w:spacing w:before="0" w:after="0"/>
        <w:ind w:left="3600" w:right="0" w:hanging="0"/>
        <w:jc w:val="left"/>
        <w:rPr>
          <w:caps w:val="false"/>
          <w:smallCaps w:val="false"/>
        </w:rPr>
      </w:pPr>
      <w:r>
        <w:rPr>
          <w:caps w:val="false"/>
          <w:smallCaps w:val="false"/>
        </w:rPr>
        <w:t> </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3600" w:right="0" w:hanging="0"/>
        <w:jc w:val="left"/>
        <w:rPr>
          <w:caps w:val="false"/>
          <w:smallCaps w:val="false"/>
        </w:rPr>
      </w:pPr>
      <w:r>
        <w:rPr>
          <w:caps w:val="false"/>
          <w:smallCaps w:val="false"/>
        </w:rPr>
        <w:t> </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Social Security or Other Taxpayer</w:t>
        <w:br/>
        <w:t>Identification Number</w:t>
      </w:r>
    </w:p>
    <w:p>
      <w:pPr>
        <w:pStyle w:val="TextBody"/>
        <w:bidi w:val="0"/>
        <w:spacing w:before="0" w:after="0"/>
        <w:ind w:left="3600" w:right="0" w:hanging="0"/>
        <w:jc w:val="left"/>
        <w:rPr>
          <w:caps w:val="false"/>
          <w:smallCaps w:val="false"/>
        </w:rPr>
      </w:pPr>
      <w:r>
        <w:rPr>
          <w:caps w:val="false"/>
          <w:smallCaps w:val="false"/>
        </w:rPr>
        <w:t> </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amount to be repurchased (if less than all): $______,000</w:t>
      </w:r>
    </w:p>
    <w:p>
      <w:pPr>
        <w:pStyle w:val="TextBody"/>
        <w:bidi w:val="0"/>
        <w:spacing w:before="0" w:after="0"/>
        <w:ind w:left="3600" w:right="0" w:hanging="0"/>
        <w:jc w:val="left"/>
        <w:rPr>
          <w:caps w:val="false"/>
          <w:smallCaps w:val="false"/>
        </w:rPr>
      </w:pPr>
      <w:r>
        <w:rPr>
          <w:caps w:val="false"/>
          <w:smallCaps w:val="false"/>
        </w:rPr>
        <w:t> </w:t>
      </w:r>
    </w:p>
    <w:p>
      <w:pPr>
        <w:pStyle w:val="TextBody"/>
        <w:bidi w:val="0"/>
        <w:spacing w:before="0" w:after="0"/>
        <w:ind w:left="36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The above signature(s) of the Holder(s) hereof must correspond with the name as written upon the face of the Note in every particular without alteration or enlargement or any change whatever.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SPECIFIED REPURCHASE DATE REPURCHASE NOTICE]</w:t>
      </w:r>
    </w:p>
    <w:p>
      <w:pPr>
        <w:pStyle w:val="TextBody"/>
        <w:bidi w:val="0"/>
        <w:spacing w:before="0" w:after="0"/>
        <w:ind w:left="0" w:right="0" w:hanging="0"/>
        <w:jc w:val="left"/>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365"/>
        <w:gridCol w:w="2345"/>
      </w:tblGrid>
      <w:tr>
        <w:trPr/>
        <w:tc>
          <w:tcPr>
            <w:tcW w:w="365" w:type="dxa"/>
            <w:tcBorders/>
            <w:vAlign w:val="center"/>
          </w:tcPr>
          <w:p>
            <w:pPr>
              <w:pStyle w:val="TableContents"/>
              <w:bidi w:val="0"/>
              <w:spacing w:before="0" w:after="283"/>
              <w:jc w:val="left"/>
              <w:rPr/>
            </w:pPr>
            <w:r>
              <w:rPr/>
              <w:t>To:</w:t>
            </w:r>
          </w:p>
        </w:tc>
        <w:tc>
          <w:tcPr>
            <w:tcW w:w="234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Bitdeer Technologies Group</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 Kallang Avenue</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Aperia tower 1, #09-03/04</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339509</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+65 62828220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 as Paying Agent</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633 West 5th Street, 24th Floor,</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California 90071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registered owner of this Note hereby acknowledges receipt of a notice from Bitdeer Technologies Group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as to the occurrence of Specified Repurchase Date and specifying the Specified Repurchase Date and requests and instructs the Company to pay to the registered holder hereof in accordance with ‎Section 15.01 of the Indenture referred to in this Note (1) the entire principal amount of this Note, or the portion thereof (that is $1,000 principal amount or an integral multiple thereof) below designated, and (2) if such Specified Repurchase Date does not fall during the period after a Regular Record Date and on or prior to the corresponding Interest Payment Date, accrued and unpaid interest, if any, thereon to, but excluding, such Specified Repurchase Date. Capitalized terms used herein but not defined shall have the meanings ascribed to such terms in the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Physical Notes, the certificate numbers of the Notes to be repurchased are as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_____________________</w:t>
      </w:r>
    </w:p>
    <w:p>
      <w:pPr>
        <w:pStyle w:val="TextBody"/>
        <w:bidi w:val="0"/>
        <w:spacing w:before="0" w:after="0"/>
        <w:ind w:left="3600" w:right="0" w:hanging="0"/>
        <w:jc w:val="left"/>
        <w:rPr>
          <w:caps w:val="false"/>
          <w:smallCaps w:val="false"/>
        </w:rPr>
      </w:pPr>
      <w:r>
        <w:rPr>
          <w:caps w:val="false"/>
          <w:smallCaps w:val="false"/>
        </w:rPr>
        <w:t> </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3600" w:right="0" w:hanging="0"/>
        <w:jc w:val="left"/>
        <w:rPr>
          <w:caps w:val="false"/>
          <w:smallCaps w:val="false"/>
        </w:rPr>
      </w:pPr>
      <w:r>
        <w:rPr>
          <w:caps w:val="false"/>
          <w:smallCaps w:val="false"/>
        </w:rPr>
        <w:t> </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Social Security or Other Taxpayer</w:t>
        <w:br/>
        <w:t>Identification Number</w:t>
      </w:r>
    </w:p>
    <w:p>
      <w:pPr>
        <w:pStyle w:val="TextBody"/>
        <w:bidi w:val="0"/>
        <w:spacing w:before="0" w:after="0"/>
        <w:ind w:left="3600" w:right="0" w:hanging="0"/>
        <w:jc w:val="left"/>
        <w:rPr>
          <w:caps w:val="false"/>
          <w:smallCaps w:val="false"/>
        </w:rPr>
      </w:pPr>
      <w:r>
        <w:rPr>
          <w:caps w:val="false"/>
          <w:smallCaps w:val="false"/>
        </w:rPr>
        <w:t> </w:t>
      </w:r>
    </w:p>
    <w:p>
      <w:pPr>
        <w:pStyle w:val="TextBody"/>
        <w:bidi w:val="0"/>
        <w:spacing w:before="0" w:after="0"/>
        <w:ind w:left="3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amount to be repurchased (if less than all): $______,000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The above signature(s) of the Holder(s) hereof must correspond with the name as written upon the face of the Note in every particular without alteration or enlargement or any change whatever.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 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ASSIGNMENT AND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____________________________ hereby sell(s), assign(s) and transfer(s) unto _________________ (Please insert social security or Taxpayer Identification Number of assignee) the within Note, and hereby irrevocably constitutes and appoints _____________________ attorney to transfer the said Note on the books of the Company, with full power of substitution in the premises.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any transfer of the within Note, the undersigned confirms that such Note is being transferred:</w:t>
      </w:r>
    </w:p>
    <w:p>
      <w:pPr>
        <w:pStyle w:val="TextBody"/>
        <w:bidi w:val="0"/>
        <w:spacing w:before="0" w:after="0"/>
        <w:ind w:left="810" w:right="0" w:hanging="0"/>
        <w:jc w:val="left"/>
        <w:rPr>
          <w:caps w:val="false"/>
          <w:smallCaps w:val="false"/>
        </w:rPr>
      </w:pPr>
      <w:r>
        <w:rPr>
          <w:caps w:val="false"/>
          <w:smallCaps w:val="false"/>
        </w:rPr>
        <w:t> </w:t>
      </w:r>
    </w:p>
    <w:p>
      <w:pPr>
        <w:pStyle w:val="TextBody"/>
        <w:bidi w:val="0"/>
        <w:spacing w:before="0" w:after="0"/>
        <w:ind w:left="81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To Bitdeer Technologies Group or a subsidiary thereof; or</w:t>
      </w:r>
    </w:p>
    <w:p>
      <w:pPr>
        <w:pStyle w:val="TextBody"/>
        <w:bidi w:val="0"/>
        <w:spacing w:before="0" w:after="0"/>
        <w:ind w:left="810" w:right="0" w:hanging="0"/>
        <w:jc w:val="left"/>
        <w:rPr>
          <w:caps w:val="false"/>
          <w:smallCaps w:val="false"/>
        </w:rPr>
      </w:pPr>
      <w:r>
        <w:rPr>
          <w:caps w:val="false"/>
          <w:smallCaps w:val="false"/>
        </w:rPr>
        <w:t> </w:t>
      </w:r>
    </w:p>
    <w:p>
      <w:pPr>
        <w:pStyle w:val="TextBody"/>
        <w:bidi w:val="0"/>
        <w:spacing w:before="0" w:after="0"/>
        <w:ind w:left="81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Pursuant to a registration statement that has become or been declared effective under the Securities Act of 1933, as amended; or</w:t>
      </w:r>
    </w:p>
    <w:p>
      <w:pPr>
        <w:pStyle w:val="TextBody"/>
        <w:bidi w:val="0"/>
        <w:spacing w:before="0" w:after="0"/>
        <w:ind w:left="810" w:right="0" w:hanging="0"/>
        <w:jc w:val="left"/>
        <w:rPr>
          <w:caps w:val="false"/>
          <w:smallCaps w:val="false"/>
        </w:rPr>
      </w:pPr>
      <w:r>
        <w:rPr>
          <w:caps w:val="false"/>
          <w:smallCaps w:val="false"/>
        </w:rPr>
        <w:t> </w:t>
      </w:r>
    </w:p>
    <w:p>
      <w:pPr>
        <w:pStyle w:val="TextBody"/>
        <w:bidi w:val="0"/>
        <w:spacing w:before="0" w:after="0"/>
        <w:ind w:left="81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Pursuant to and in compliance with Rule 144A under the Securities Act of 1933, as amended; or</w:t>
      </w:r>
    </w:p>
    <w:p>
      <w:pPr>
        <w:pStyle w:val="TextBody"/>
        <w:bidi w:val="0"/>
        <w:spacing w:before="0" w:after="0"/>
        <w:ind w:left="810" w:right="0" w:hanging="0"/>
        <w:jc w:val="left"/>
        <w:rPr>
          <w:caps w:val="false"/>
          <w:smallCaps w:val="false"/>
        </w:rPr>
      </w:pPr>
      <w:r>
        <w:rPr>
          <w:caps w:val="false"/>
          <w:smallCaps w:val="false"/>
        </w:rPr>
        <w:t> </w:t>
      </w:r>
    </w:p>
    <w:p>
      <w:pPr>
        <w:pStyle w:val="TextBody"/>
        <w:bidi w:val="0"/>
        <w:spacing w:before="0" w:after="0"/>
        <w:ind w:left="81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Pursuant to and in compliance with Rule 144 under the Securities Act of 1933, as amended, or any other available exemption from the registration requirements of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must be guaranteed by an</w:t>
        <w:br/>
        <w:t>eligible Guarantor Institution (banks, stock</w:t>
        <w:br/>
        <w:t>brokers, savings and loan associations and</w:t>
        <w:br/>
        <w:t>credit unions) with membership in an approved</w:t>
        <w:br/>
        <w:t>signature guarantee medallion program pursuant</w:t>
        <w:br/>
        <w:t>to Securities and Exchange Commission</w:t>
        <w:br/>
        <w:t>Rule 17Ad-15 if Notes are to be delivered, other</w:t>
        <w:br/>
        <w:t>than to and in the name of the registered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The signature on the assignment must correspond with the name as written upon the face of the Note in every particular without alteration or enlargement or any change whatever.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A-12</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 w:name="ea027830601ex5-1.htm"/>
      <w:bookmarkStart w:id="7" w:name="ksea027830601ex51"/>
      <w:bookmarkEnd w:id="6"/>
      <w:bookmarkEnd w:id="7"/>
      <w:r>
        <w:rPr>
          <w:rFonts w:ascii="Times New Roman;Times;Serif" w:hAnsi="Times New Roman;Times;Serif"/>
          <w:b/>
          <w:i w:val="false"/>
          <w:caps w:val="false"/>
          <w:smallCaps w:val="false"/>
          <w:sz w:val="20"/>
        </w:rPr>
        <w:t>Exhibit 5.1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123950" cy="4572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6"/>
                    <a:stretch>
                      <a:fillRect/>
                    </a:stretch>
                  </pic:blipFill>
                  <pic:spPr bwMode="auto">
                    <a:xfrm>
                      <a:off x="0" y="0"/>
                      <a:ext cx="1123950" cy="4572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tbl>
      <w:tblPr>
        <w:tblW w:w="6285" w:type="dxa"/>
        <w:jc w:val="left"/>
        <w:tblInd w:w="0" w:type="dxa"/>
        <w:tblLayout w:type="fixed"/>
        <w:tblCellMar>
          <w:top w:w="0" w:type="dxa"/>
          <w:left w:w="0" w:type="dxa"/>
          <w:bottom w:w="0" w:type="dxa"/>
          <w:right w:w="0" w:type="dxa"/>
        </w:tblCellMar>
      </w:tblPr>
      <w:tblGrid>
        <w:gridCol w:w="2900"/>
        <w:gridCol w:w="60"/>
        <w:gridCol w:w="275"/>
        <w:gridCol w:w="3050"/>
      </w:tblGrid>
      <w:tr>
        <w:trPr/>
        <w:tc>
          <w:tcPr>
            <w:tcW w:w="2900" w:type="dxa"/>
            <w:tcBorders/>
            <w:vAlign w:val="center"/>
          </w:tcPr>
          <w:p>
            <w:pPr>
              <w:pStyle w:val="TableContents"/>
              <w:bidi w:val="0"/>
              <w:spacing w:before="0" w:after="283"/>
              <w:jc w:val="left"/>
              <w:rPr>
                <w:b/>
              </w:rPr>
            </w:pPr>
            <w:r>
              <w:rPr>
                <w:b/>
              </w:rPr>
              <w:t>Bitdeer Technologies Group</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rPr>
            </w:pPr>
            <w:r>
              <w:rPr>
                <w:b/>
              </w:rPr>
              <w:t>D:</w:t>
            </w:r>
          </w:p>
        </w:tc>
        <w:tc>
          <w:tcPr>
            <w:tcW w:w="3050" w:type="dxa"/>
            <w:tcBorders/>
            <w:vAlign w:val="center"/>
          </w:tcPr>
          <w:p>
            <w:pPr>
              <w:pStyle w:val="TableContents"/>
              <w:bidi w:val="0"/>
              <w:spacing w:before="0" w:after="283"/>
              <w:jc w:val="left"/>
              <w:rPr>
                <w:b/>
              </w:rPr>
            </w:pPr>
            <w:r>
              <w:rPr>
                <w:b/>
              </w:rPr>
              <w:t>+852 3656 6054</w:t>
            </w:r>
          </w:p>
        </w:tc>
      </w:tr>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left"/>
              <w:rPr>
                <w:b/>
              </w:rPr>
            </w:pPr>
            <w:r>
              <w:rPr>
                <w:b/>
              </w:rPr>
              <w:t>+852 3656 6073</w:t>
            </w:r>
          </w:p>
        </w:tc>
      </w:tr>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b/>
              </w:rPr>
            </w:pPr>
            <w:r>
              <w:rPr>
                <w:b/>
              </w:rPr>
              <w:t>E:</w:t>
            </w:r>
          </w:p>
        </w:tc>
        <w:tc>
          <w:tcPr>
            <w:tcW w:w="3050" w:type="dxa"/>
            <w:tcBorders/>
            <w:vAlign w:val="center"/>
          </w:tcPr>
          <w:p>
            <w:pPr>
              <w:pStyle w:val="TableContents"/>
              <w:bidi w:val="0"/>
              <w:spacing w:before="0" w:after="283"/>
              <w:jc w:val="left"/>
              <w:rPr>
                <w:b/>
              </w:rPr>
            </w:pPr>
            <w:r>
              <w:rPr>
                <w:b/>
              </w:rPr>
              <w:t>nathan.powell@ogier.com</w:t>
            </w:r>
          </w:p>
        </w:tc>
      </w:tr>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left"/>
              <w:rPr>
                <w:b/>
              </w:rPr>
            </w:pPr>
            <w:r>
              <w:rPr>
                <w:b/>
              </w:rPr>
              <w:t>rachel.huang@ogier.com</w:t>
            </w:r>
          </w:p>
        </w:tc>
      </w:tr>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left"/>
              <w:rPr/>
            </w:pPr>
            <w:r>
              <w:rPr/>
              <w:t>Ref: NMP/RYH/181962.00002</w:t>
            </w:r>
          </w:p>
        </w:tc>
      </w:tr>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left"/>
              <w:rPr/>
            </w:pPr>
            <w:r>
              <w:rPr/>
              <w:t>26 February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been requested to provide you with an opinion on matters of Cayman Islands law in connection with the documents listed in Part A of Schedule 1 (the </w:t>
      </w:r>
      <w:r>
        <w:rPr>
          <w:rFonts w:ascii="Times New Roman;Times;Serif" w:hAnsi="Times New Roman;Times;Serif"/>
          <w:b/>
          <w:i w:val="false"/>
          <w:caps w:val="false"/>
          <w:smallCaps w:val="false"/>
          <w:sz w:val="20"/>
        </w:rPr>
        <w:t>Documents</w:t>
      </w:r>
      <w:r>
        <w:rPr>
          <w:rFonts w:ascii="Times New Roman;Times;Serif" w:hAnsi="Times New Roman;Times;Serif"/>
          <w:b w:val="false"/>
          <w:i w:val="false"/>
          <w:caps w:val="false"/>
          <w:smallCaps w:val="false"/>
          <w:sz w:val="20"/>
        </w:rPr>
        <w:t xml:space="preserve">) relating to the Company’s direct offering and sale of 5,503,030 class A ordinary shares of a par value of US$0.0000001 each of the Company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xml:space="preserve">), pursuant to the Securities Purchase Agreements (as defined in Part A of Schedule 1) and the Company's registration statement on Form F-3 (File No. 333-283732) as filed with the U.S.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xml:space="preserve">) under the United States Securities Act of 1933, as amended and declared effective by the Commission on 18 December 2024 (including its exhibits,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xml:space="preserve">), the base prospectus contained therein, and the prospectus supplement dated 19 February 2026, forming a part of such base prospectus (the </w:t>
      </w:r>
      <w:r>
        <w:rPr>
          <w:rFonts w:ascii="Times New Roman;Times;Serif" w:hAnsi="Times New Roman;Times;Serif"/>
          <w:b/>
          <w:i w:val="false"/>
          <w:caps w:val="false"/>
          <w:smallCaps w:val="false"/>
          <w:sz w:val="20"/>
        </w:rPr>
        <w:t>Prospectus Supplement</w:t>
      </w:r>
      <w:r>
        <w:rPr>
          <w:rFonts w:ascii="Times New Roman;Times;Serif" w:hAnsi="Times New Roman;Times;Serif"/>
          <w:b w:val="false"/>
          <w:i w:val="false"/>
          <w:caps w:val="false"/>
          <w:smallCaps w:val="false"/>
          <w:sz w:val="20"/>
        </w:rPr>
        <w:t>) with the Commission under the United States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furnishing this opinion as Exhibit 5.1 to the Company’s current report on Form 6-K which will be incorporated by reference into the Registration Statement and the Prospectus Supplement (the </w:t>
      </w:r>
      <w:r>
        <w:rPr>
          <w:rFonts w:ascii="Times New Roman;Times;Serif" w:hAnsi="Times New Roman;Times;Serif"/>
          <w:b/>
          <w:i w:val="false"/>
          <w:caps w:val="false"/>
          <w:smallCaps w:val="false"/>
          <w:sz w:val="20"/>
        </w:rPr>
        <w:t>Form 6-K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 contrary intention appears, all capitalised terms used in this opinion have the respective meanings set forth in the Documents. A reference to a Schedule is a reference to a schedule to this opinion and the headings herein are for convenience only and do not affect the construction of this opinion.</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0"/>
        <w:gridCol w:w="630"/>
        <w:gridCol w:w="9405"/>
      </w:tblGrid>
      <w:tr>
        <w:trPr/>
        <w:tc>
          <w:tcPr>
            <w:tcW w:w="17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pPr>
            <w:r>
              <w:rPr/>
              <w:t>1</w:t>
            </w:r>
          </w:p>
        </w:tc>
        <w:tc>
          <w:tcPr>
            <w:tcW w:w="9405" w:type="dxa"/>
            <w:tcBorders/>
            <w:vAlign w:val="center"/>
          </w:tcPr>
          <w:p>
            <w:pPr>
              <w:pStyle w:val="TableContents"/>
              <w:bidi w:val="0"/>
              <w:spacing w:before="0" w:after="283"/>
              <w:jc w:val="both"/>
              <w:rPr/>
            </w:pPr>
            <w:r>
              <w:rPr/>
              <w:t>Documents examined</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giving this opinion, we have examined originals or copies of the Documents. In addition, we have examined the corporate and other documents and conducted the searches listed in Part B of Schedule 1. We have not made any searches or enquiries concerning, and have not examined any documents entered into by or affecting the Company or any other person, save for the searches, enquiries and examinations expressly referred to in Schedule 1.</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05"/>
        <w:gridCol w:w="1666"/>
        <w:gridCol w:w="1906"/>
        <w:gridCol w:w="3228"/>
      </w:tblGrid>
      <w:tr>
        <w:trPr/>
        <w:tc>
          <w:tcPr>
            <w:tcW w:w="3405" w:type="dxa"/>
            <w:tcBorders/>
            <w:vAlign w:val="center"/>
          </w:tcPr>
          <w:p>
            <w:pPr>
              <w:pStyle w:val="TableContents"/>
              <w:bidi w:val="0"/>
              <w:spacing w:before="0" w:after="283"/>
              <w:jc w:val="left"/>
              <w:rPr/>
            </w:pPr>
            <w:r>
              <w:rPr>
                <w:b/>
              </w:rPr>
              <w:t>Ogier</w:t>
            </w:r>
            <w:r>
              <w:rPr/>
              <w:t xml:space="preserve"> </w:t>
              <w:br/>
              <w:t>Providing advice on British Virgin Islands,</w:t>
              <w:br/>
              <w:t>Cayman Islands and Guernsey laws</w:t>
              <w:br/>
              <w:br/>
              <w:t>Floor 11 Central Tower</w:t>
              <w:br/>
              <w:t>28 Queen’s Road Central</w:t>
              <w:br/>
              <w:t>Central</w:t>
              <w:br/>
              <w:t>Hong Kong</w:t>
              <w:br/>
              <w:br/>
              <w:t xml:space="preserve">T +852 3656 6000 </w:t>
              <w:br/>
              <w:t>F +852 3656 6001</w:t>
              <w:br/>
            </w:r>
            <w:r>
              <w:rPr>
                <w:b/>
              </w:rPr>
              <w:t>ogier.com</w:t>
            </w:r>
          </w:p>
        </w:tc>
        <w:tc>
          <w:tcPr>
            <w:tcW w:w="1666" w:type="dxa"/>
            <w:tcBorders/>
            <w:vAlign w:val="center"/>
          </w:tcPr>
          <w:p>
            <w:pPr>
              <w:pStyle w:val="TableContents"/>
              <w:bidi w:val="0"/>
              <w:spacing w:before="0" w:after="283"/>
              <w:jc w:val="left"/>
              <w:rPr/>
            </w:pPr>
            <w:r>
              <w:rPr>
                <w:b/>
              </w:rPr>
              <w:t>Partners</w:t>
            </w:r>
            <w:r>
              <w:rPr/>
              <w:br/>
              <w:t xml:space="preserve">Nicholas Plowman </w:t>
              <w:br/>
              <w:t>Nathan Powell  </w:t>
              <w:br/>
              <w:t>Anthony Oakes  </w:t>
              <w:br/>
              <w:t>Oliver Payne  </w:t>
              <w:br/>
              <w:t>Kate Hodson</w:t>
              <w:br/>
              <w:t>David Nelson  </w:t>
              <w:br/>
              <w:t>Justin Davis  </w:t>
              <w:br/>
              <w:t>Joanne Collett  </w:t>
              <w:br/>
              <w:t>Dennis Li</w:t>
              <w:br/>
              <w:t>Cecilia Li  </w:t>
            </w:r>
          </w:p>
        </w:tc>
        <w:tc>
          <w:tcPr>
            <w:tcW w:w="1906" w:type="dxa"/>
            <w:tcBorders/>
            <w:vAlign w:val="center"/>
          </w:tcPr>
          <w:p>
            <w:pPr>
              <w:pStyle w:val="TableContents"/>
              <w:bidi w:val="0"/>
              <w:spacing w:before="0" w:after="283"/>
              <w:jc w:val="left"/>
              <w:rPr/>
            </w:pPr>
            <w:r>
              <w:rPr/>
              <w:br/>
              <w:br/>
              <w:br/>
              <w:t>Yuki Yan</w:t>
              <w:br/>
              <w:t xml:space="preserve">David Lin   </w:t>
              <w:br/>
              <w:t xml:space="preserve">Alan Wong   </w:t>
              <w:br/>
              <w:t xml:space="preserve">Janice Chu   </w:t>
              <w:br/>
              <w:t xml:space="preserve">Zhao Rong Ooi </w:t>
              <w:br/>
              <w:t xml:space="preserve">Rachel Huang** </w:t>
              <w:br/>
              <w:t>Florence Chan*</w:t>
            </w:r>
            <w:r>
              <w:rPr>
                <w:position w:val="8"/>
                <w:sz w:val="19"/>
              </w:rPr>
              <w:t>‡</w:t>
            </w:r>
            <w:r>
              <w:rPr/>
              <w:t xml:space="preserve"> </w:t>
              <w:br/>
              <w:t>Richard Bennett**</w:t>
            </w:r>
            <w:r>
              <w:rPr>
                <w:position w:val="8"/>
                <w:sz w:val="19"/>
              </w:rPr>
              <w:t>‡</w:t>
            </w:r>
            <w:r>
              <w:rPr/>
              <w:t xml:space="preserve"> </w:t>
              <w:br/>
              <w:t>James Bergstrom</w:t>
            </w:r>
            <w:r>
              <w:rPr>
                <w:position w:val="8"/>
                <w:sz w:val="19"/>
              </w:rPr>
              <w:t>‡</w:t>
            </w:r>
            <w:r>
              <w:rPr/>
              <w:t xml:space="preserve">  </w:t>
            </w:r>
          </w:p>
        </w:tc>
        <w:tc>
          <w:tcPr>
            <w:tcW w:w="3228" w:type="dxa"/>
            <w:tcBorders/>
            <w:vAlign w:val="center"/>
          </w:tcPr>
          <w:p>
            <w:pPr>
              <w:pStyle w:val="TableContents"/>
              <w:bidi w:val="0"/>
              <w:spacing w:before="0" w:after="283"/>
              <w:jc w:val="left"/>
              <w:rPr/>
            </w:pPr>
            <w:r>
              <w:rPr/>
              <w:br/>
              <w:br/>
              <w:br/>
              <w:br/>
              <w:br/>
              <w:br/>
              <w:br/>
              <w:br/>
              <w:br/>
              <w:t>* admitted in New Zealand  </w:t>
              <w:br/>
              <w:t xml:space="preserve">** admitted in England and Wales </w:t>
              <w:br/>
            </w:r>
            <w:r>
              <w:rPr>
                <w:position w:val="8"/>
                <w:sz w:val="19"/>
              </w:rPr>
              <w:t>‡</w:t>
            </w:r>
            <w:r>
              <w:rPr/>
              <w:t xml:space="preserve"> not ordinarily resident in Hong Kong </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8"/>
        <w:gridCol w:w="990"/>
        <w:gridCol w:w="8947"/>
      </w:tblGrid>
      <w:tr>
        <w:trPr/>
        <w:tc>
          <w:tcPr>
            <w:tcW w:w="268"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pPr>
            <w:r>
              <w:rPr/>
              <w:t>2</w:t>
            </w:r>
          </w:p>
        </w:tc>
        <w:tc>
          <w:tcPr>
            <w:tcW w:w="8947" w:type="dxa"/>
            <w:tcBorders/>
            <w:vAlign w:val="center"/>
          </w:tcPr>
          <w:p>
            <w:pPr>
              <w:pStyle w:val="TableContents"/>
              <w:bidi w:val="0"/>
              <w:spacing w:before="0" w:after="283"/>
              <w:jc w:val="both"/>
              <w:rPr/>
            </w:pPr>
            <w:r>
              <w:rPr/>
              <w:t>Assumptions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this opinion we have relied upon the assumptions set forth in Schedule 2 without having carried out any independent investigation or verification in respect of those assumptions.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8"/>
        <w:gridCol w:w="1319"/>
        <w:gridCol w:w="8528"/>
      </w:tblGrid>
      <w:tr>
        <w:trPr/>
        <w:tc>
          <w:tcPr>
            <w:tcW w:w="358"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pPr>
            <w:r>
              <w:rPr/>
              <w:t>3</w:t>
            </w:r>
          </w:p>
        </w:tc>
        <w:tc>
          <w:tcPr>
            <w:tcW w:w="8528" w:type="dxa"/>
            <w:tcBorders/>
            <w:vAlign w:val="center"/>
          </w:tcPr>
          <w:p>
            <w:pPr>
              <w:pStyle w:val="TableContents"/>
              <w:bidi w:val="0"/>
              <w:spacing w:before="0" w:after="283"/>
              <w:jc w:val="both"/>
              <w:rPr/>
            </w:pPr>
            <w:r>
              <w:rPr/>
              <w:t>Opinions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examinations and assumptions referred to above and subject to the qualifications set forth in Schedule 3 and the limitations set forth below, we are of the opinion that: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status</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283"/>
              <w:jc w:val="both"/>
              <w:rPr/>
            </w:pPr>
            <w:r>
              <w:rPr/>
              <w:t xml:space="preserve">The Company has been duly incorporated as an exempted company and is validly existing and in good standing with the Registrar of Companies of the Cayman Islands (the </w:t>
            </w:r>
            <w:r>
              <w:rPr>
                <w:b/>
              </w:rPr>
              <w:t>Registrar</w:t>
            </w:r>
            <w:r>
              <w:rPr/>
              <w:t>). The Company is a separate legal entity and is subject to suit in its own name and has the capacity to sue in its own name.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capital</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5"/>
        <w:gridCol w:w="9903"/>
      </w:tblGrid>
      <w:tr>
        <w:trPr/>
        <w:tc>
          <w:tcPr>
            <w:tcW w:w="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(b)</w:t>
            </w:r>
          </w:p>
        </w:tc>
        <w:tc>
          <w:tcPr>
            <w:tcW w:w="9903" w:type="dxa"/>
            <w:tcBorders/>
            <w:vAlign w:val="center"/>
          </w:tcPr>
          <w:p>
            <w:pPr>
              <w:pStyle w:val="TableContents"/>
              <w:bidi w:val="0"/>
              <w:spacing w:before="0" w:after="283"/>
              <w:jc w:val="both"/>
              <w:rPr/>
            </w:pPr>
            <w:r>
              <w:rPr/>
              <w:t>The authorised share capital of the Company is US$50,000 divided into 500,000,000,000 shares of a par value of US$0.0000001 each comprising:</w:t>
            </w:r>
          </w:p>
        </w:tc>
      </w:tr>
    </w:tbl>
    <w:p>
      <w:pPr>
        <w:pStyle w:val="TextBody"/>
        <w:bidi w:val="0"/>
        <w:spacing w:before="0" w:after="0"/>
        <w:ind w:left="2126"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(i)</w:t>
            </w:r>
          </w:p>
        </w:tc>
        <w:tc>
          <w:tcPr>
            <w:tcW w:w="9945" w:type="dxa"/>
            <w:tcBorders/>
            <w:vAlign w:val="center"/>
          </w:tcPr>
          <w:p>
            <w:pPr>
              <w:pStyle w:val="TableContents"/>
              <w:bidi w:val="0"/>
              <w:spacing w:before="0" w:after="283"/>
              <w:jc w:val="both"/>
              <w:rPr/>
            </w:pPr>
            <w:r>
              <w:rPr/>
              <w:t xml:space="preserve">499,600,000,000 class A ordinary shares of a par value of US$0.0000001 each (the </w:t>
            </w:r>
            <w:r>
              <w:rPr>
                <w:b/>
              </w:rPr>
              <w:t>Class A Ordinary Shares</w:t>
            </w:r>
            <w:r>
              <w:rPr/>
              <w:t>);</w:t>
            </w:r>
          </w:p>
        </w:tc>
      </w:tr>
    </w:tbl>
    <w:p>
      <w:pPr>
        <w:pStyle w:val="TextBody"/>
        <w:bidi w:val="0"/>
        <w:spacing w:before="0" w:after="0"/>
        <w:ind w:left="2126"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374"/>
        <w:gridCol w:w="9782"/>
      </w:tblGrid>
      <w:tr>
        <w:trPr/>
        <w:tc>
          <w:tcPr>
            <w:tcW w:w="4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pPr>
            <w:r>
              <w:rPr/>
              <w:t>(ii)</w:t>
            </w:r>
          </w:p>
        </w:tc>
        <w:tc>
          <w:tcPr>
            <w:tcW w:w="9782" w:type="dxa"/>
            <w:tcBorders/>
            <w:vAlign w:val="center"/>
          </w:tcPr>
          <w:p>
            <w:pPr>
              <w:pStyle w:val="TableContents"/>
              <w:bidi w:val="0"/>
              <w:spacing w:before="0" w:after="283"/>
              <w:jc w:val="both"/>
              <w:rPr/>
            </w:pPr>
            <w:r>
              <w:rPr/>
              <w:t>200,000,000 class V ordinary shares of a par value of US$0.0000001 each; and</w:t>
            </w:r>
          </w:p>
        </w:tc>
      </w:tr>
    </w:tbl>
    <w:p>
      <w:pPr>
        <w:pStyle w:val="TextBody"/>
        <w:bidi w:val="0"/>
        <w:spacing w:before="0" w:after="0"/>
        <w:ind w:left="2126"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9"/>
        <w:gridCol w:w="9859"/>
      </w:tblGrid>
      <w:tr>
        <w:trPr/>
        <w:tc>
          <w:tcPr>
            <w:tcW w:w="3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pPr>
            <w:r>
              <w:rPr/>
              <w:t>(iii)</w:t>
            </w:r>
          </w:p>
        </w:tc>
        <w:tc>
          <w:tcPr>
            <w:tcW w:w="9859" w:type="dxa"/>
            <w:tcBorders/>
            <w:vAlign w:val="center"/>
          </w:tcPr>
          <w:p>
            <w:pPr>
              <w:pStyle w:val="TableContents"/>
              <w:bidi w:val="0"/>
              <w:spacing w:before="0" w:after="283"/>
              <w:jc w:val="both"/>
              <w:rPr/>
            </w:pPr>
            <w:r>
              <w:rPr/>
              <w:t>200,000,000 undesignated shares of a par value of US$0.0000001 each, of such class or classes (however designated) as the board of directors may determine in accordance with the Memorandum and Articles.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Issuance of Shares </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(c)</w:t>
            </w:r>
          </w:p>
        </w:tc>
        <w:tc>
          <w:tcPr>
            <w:tcW w:w="9922" w:type="dxa"/>
            <w:tcBorders/>
            <w:vAlign w:val="center"/>
          </w:tcPr>
          <w:p>
            <w:pPr>
              <w:pStyle w:val="TableContents"/>
              <w:bidi w:val="0"/>
              <w:spacing w:before="0" w:after="283"/>
              <w:jc w:val="both"/>
              <w:rPr/>
            </w:pPr>
            <w:r>
              <w:rPr/>
              <w:t>The issuance of the Shares in accordance with the Documents has been duly authorised by the Company, and when the Shares are issued by the Company upon:</w:t>
            </w:r>
          </w:p>
        </w:tc>
      </w:tr>
    </w:tbl>
    <w:p>
      <w:pPr>
        <w:pStyle w:val="TextBody"/>
        <w:bidi w:val="0"/>
        <w:spacing w:before="0" w:after="0"/>
        <w:ind w:left="2126"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9"/>
        <w:gridCol w:w="9979"/>
      </w:tblGrid>
      <w:tr>
        <w:trPr/>
        <w:tc>
          <w:tcPr>
            <w:tcW w:w="3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(i)</w:t>
            </w:r>
          </w:p>
        </w:tc>
        <w:tc>
          <w:tcPr>
            <w:tcW w:w="9979" w:type="dxa"/>
            <w:tcBorders/>
            <w:vAlign w:val="center"/>
          </w:tcPr>
          <w:p>
            <w:pPr>
              <w:pStyle w:val="TableContents"/>
              <w:bidi w:val="0"/>
              <w:spacing w:before="0" w:after="283"/>
              <w:jc w:val="both"/>
              <w:rPr/>
            </w:pPr>
            <w:r>
              <w:rPr/>
              <w:t>payment in full of the consideration as set out in the Documents and in accordance with the terms set out in the Documents and in accordance with the Board Resolutions and the Memorandum and Articles; and</w:t>
            </w:r>
          </w:p>
        </w:tc>
      </w:tr>
    </w:tbl>
    <w:p>
      <w:pPr>
        <w:pStyle w:val="TextBody"/>
        <w:bidi w:val="0"/>
        <w:spacing w:before="0" w:after="0"/>
        <w:ind w:left="2126"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365"/>
        <w:gridCol w:w="9793"/>
      </w:tblGrid>
      <w:tr>
        <w:trPr/>
        <w:tc>
          <w:tcPr>
            <w:tcW w:w="4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(ii)</w:t>
            </w:r>
          </w:p>
        </w:tc>
        <w:tc>
          <w:tcPr>
            <w:tcW w:w="9793" w:type="dxa"/>
            <w:tcBorders/>
            <w:vAlign w:val="center"/>
          </w:tcPr>
          <w:p>
            <w:pPr>
              <w:pStyle w:val="TableContents"/>
              <w:bidi w:val="0"/>
              <w:spacing w:before="0" w:after="283"/>
              <w:jc w:val="both"/>
              <w:rPr/>
            </w:pPr>
            <w:r>
              <w:rPr/>
              <w:t>the entry of those Shares as fully paid on the register of members of the Company,</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shall be validly issued, fully paid and non-assessable.</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 taxation</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(d)</w:t>
            </w:r>
          </w:p>
        </w:tc>
        <w:tc>
          <w:tcPr>
            <w:tcW w:w="9932" w:type="dxa"/>
            <w:tcBorders/>
            <w:vAlign w:val="center"/>
          </w:tcPr>
          <w:p>
            <w:pPr>
              <w:pStyle w:val="TableContents"/>
              <w:bidi w:val="0"/>
              <w:spacing w:before="0" w:after="283"/>
              <w:jc w:val="both"/>
              <w:rPr/>
            </w:pPr>
            <w:r>
              <w:rPr/>
              <w:t>The statements contained in the Prospectus Supplement forming part of the Registration Statement in the section headed “</w:t>
            </w:r>
            <w:r>
              <w:rPr>
                <w:i/>
              </w:rPr>
              <w:t>Cayman Islands Tax Considerations</w:t>
            </w:r>
            <w:r>
              <w:rPr/>
              <w:t>”, insofar as they purport to summarise the laws or regulations of the Cayman Islands, are accurate in all material respects and that such statements constitute our opinion.</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5"/>
        <w:gridCol w:w="684"/>
        <w:gridCol w:w="9336"/>
      </w:tblGrid>
      <w:tr>
        <w:trPr/>
        <w:tc>
          <w:tcPr>
            <w:tcW w:w="185"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pPr>
            <w:r>
              <w:rPr/>
              <w:t>4</w:t>
            </w:r>
          </w:p>
        </w:tc>
        <w:tc>
          <w:tcPr>
            <w:tcW w:w="9336" w:type="dxa"/>
            <w:tcBorders/>
            <w:vAlign w:val="center"/>
          </w:tcPr>
          <w:p>
            <w:pPr>
              <w:pStyle w:val="TableContents"/>
              <w:bidi w:val="0"/>
              <w:spacing w:before="0" w:after="283"/>
              <w:jc w:val="both"/>
              <w:rPr/>
            </w:pPr>
            <w:r>
              <w:rPr/>
              <w:t>Matters not covered</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no opinion:</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(a)</w:t>
            </w:r>
          </w:p>
        </w:tc>
        <w:tc>
          <w:tcPr>
            <w:tcW w:w="9949" w:type="dxa"/>
            <w:tcBorders/>
            <w:vAlign w:val="center"/>
          </w:tcPr>
          <w:p>
            <w:pPr>
              <w:pStyle w:val="TableContents"/>
              <w:bidi w:val="0"/>
              <w:spacing w:before="0" w:after="283"/>
              <w:jc w:val="both"/>
              <w:rPr/>
            </w:pPr>
            <w:r>
              <w:rPr/>
              <w:t>as to any laws other than the laws of the Cayman Islands, and we have not, for the purposes of this opinion, made any investigation of the laws of any other jurisdiction, and we express no opinion as to the meaning, validity, or effect of references in the Documents to statutes, rules, regulations, codes or judicial authority of any jurisdiction other than the Cayman Islands;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(b)</w:t>
            </w:r>
          </w:p>
        </w:tc>
        <w:tc>
          <w:tcPr>
            <w:tcW w:w="9941" w:type="dxa"/>
            <w:tcBorders/>
            <w:vAlign w:val="center"/>
          </w:tcPr>
          <w:p>
            <w:pPr>
              <w:pStyle w:val="TableContents"/>
              <w:bidi w:val="0"/>
              <w:spacing w:before="0" w:after="283"/>
              <w:jc w:val="both"/>
              <w:rPr/>
            </w:pPr>
            <w:r>
              <w:rPr/>
              <w:t>except to the extent that this opinion expressly provides otherwise, as to the commercial terms of, or the validity, enforceability or effect of the Documents (or as to how the commercial terms of the Documents reflect the intentions of the parties), the accuracy of representations, the fulfilment of warranties or conditions, the occurrence of events of default or terminating events or the existence of any conflicts or inconsistencies among the Documents and any other agreements into which the Company may have entered or any other documents; or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2" w:type="dxa"/>
            <w:tcBorders/>
            <w:vAlign w:val="center"/>
          </w:tcPr>
          <w:p>
            <w:pPr>
              <w:pStyle w:val="TableContents"/>
              <w:bidi w:val="0"/>
              <w:spacing w:before="0" w:after="283"/>
              <w:jc w:val="both"/>
              <w:rPr/>
            </w:pPr>
            <w:r>
              <w:rPr/>
              <w:t>as to whether the acceptance, execution or performance of the Company’s obligations under the Documents will result in the breach of or infringe any other agreement, deed or document (other than the Memorandum and Articles) entered into by or binding on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6"/>
        <w:gridCol w:w="466"/>
        <w:gridCol w:w="9613"/>
      </w:tblGrid>
      <w:tr>
        <w:trPr/>
        <w:tc>
          <w:tcPr>
            <w:tcW w:w="1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pPr>
            <w:r>
              <w:rPr/>
              <w:t>5</w:t>
            </w:r>
          </w:p>
        </w:tc>
        <w:tc>
          <w:tcPr>
            <w:tcW w:w="9613" w:type="dxa"/>
            <w:tcBorders/>
            <w:vAlign w:val="center"/>
          </w:tcPr>
          <w:p>
            <w:pPr>
              <w:pStyle w:val="TableContents"/>
              <w:bidi w:val="0"/>
              <w:spacing w:before="0" w:after="283"/>
              <w:jc w:val="both"/>
              <w:rPr/>
            </w:pPr>
            <w:r>
              <w:rPr/>
              <w:t>Governing law of this opinion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8"/>
        <w:gridCol w:w="1752"/>
        <w:gridCol w:w="8245"/>
      </w:tblGrid>
      <w:tr>
        <w:trPr/>
        <w:tc>
          <w:tcPr>
            <w:tcW w:w="208"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pPr>
            <w:r>
              <w:rPr/>
              <w:t>5.1</w:t>
            </w:r>
          </w:p>
        </w:tc>
        <w:tc>
          <w:tcPr>
            <w:tcW w:w="8245" w:type="dxa"/>
            <w:tcBorders/>
            <w:vAlign w:val="center"/>
          </w:tcPr>
          <w:p>
            <w:pPr>
              <w:pStyle w:val="TableContents"/>
              <w:bidi w:val="0"/>
              <w:spacing w:before="0" w:after="283"/>
              <w:jc w:val="both"/>
              <w:rPr/>
            </w:pPr>
            <w:r>
              <w:rPr/>
              <w:t>This opinion is: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321"/>
        <w:gridCol w:w="9840"/>
      </w:tblGrid>
      <w:tr>
        <w:trPr/>
        <w:tc>
          <w:tcPr>
            <w:tcW w:w="4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pPr>
            <w:r>
              <w:rPr/>
              <w:t>(a)</w:t>
            </w:r>
          </w:p>
        </w:tc>
        <w:tc>
          <w:tcPr>
            <w:tcW w:w="9840" w:type="dxa"/>
            <w:tcBorders/>
            <w:vAlign w:val="center"/>
          </w:tcPr>
          <w:p>
            <w:pPr>
              <w:pStyle w:val="TableContents"/>
              <w:bidi w:val="0"/>
              <w:spacing w:before="0" w:after="283"/>
              <w:jc w:val="both"/>
              <w:rPr/>
            </w:pPr>
            <w:r>
              <w:rPr/>
              <w:t>governed by, and shall be construed in accordance with, the laws of the Cayman Islands;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622"/>
        <w:gridCol w:w="9502"/>
      </w:tblGrid>
      <w:tr>
        <w:trPr/>
        <w:tc>
          <w:tcPr>
            <w:tcW w:w="8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pPr>
            <w:r>
              <w:rPr/>
              <w:t>(b)</w:t>
            </w:r>
          </w:p>
        </w:tc>
        <w:tc>
          <w:tcPr>
            <w:tcW w:w="9502" w:type="dxa"/>
            <w:tcBorders/>
            <w:vAlign w:val="center"/>
          </w:tcPr>
          <w:p>
            <w:pPr>
              <w:pStyle w:val="TableContents"/>
              <w:bidi w:val="0"/>
              <w:spacing w:before="0" w:after="283"/>
              <w:jc w:val="both"/>
              <w:rPr/>
            </w:pPr>
            <w:r>
              <w:rPr/>
              <w:t>limited to the matters expressly stated in it;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(c)</w:t>
            </w:r>
          </w:p>
        </w:tc>
        <w:tc>
          <w:tcPr>
            <w:tcW w:w="9897" w:type="dxa"/>
            <w:tcBorders/>
            <w:vAlign w:val="center"/>
          </w:tcPr>
          <w:p>
            <w:pPr>
              <w:pStyle w:val="TableContents"/>
              <w:bidi w:val="0"/>
              <w:spacing w:before="0" w:after="283"/>
              <w:jc w:val="both"/>
              <w:rPr/>
            </w:pPr>
            <w:r>
              <w:rPr/>
              <w:t>confined to, and given on the basis of, the laws and practice in the Cayman Islands at the date of this opinion.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5.2</w:t>
            </w:r>
          </w:p>
        </w:tc>
        <w:tc>
          <w:tcPr>
            <w:tcW w:w="9848" w:type="dxa"/>
            <w:tcBorders/>
            <w:vAlign w:val="center"/>
          </w:tcPr>
          <w:p>
            <w:pPr>
              <w:pStyle w:val="TableContents"/>
              <w:bidi w:val="0"/>
              <w:spacing w:before="0" w:after="283"/>
              <w:jc w:val="both"/>
              <w:rPr/>
            </w:pPr>
            <w:r>
              <w:rPr/>
              <w:t>Unless otherwise indicated, a reference to any specific Cayman Islands legislation is a reference to that legislation as amended to, and as in force at, the date of this opinion.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0"/>
        <w:gridCol w:w="483"/>
        <w:gridCol w:w="9592"/>
      </w:tblGrid>
      <w:tr>
        <w:trPr/>
        <w:tc>
          <w:tcPr>
            <w:tcW w:w="13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pPr>
            <w:r>
              <w:rPr/>
              <w:t>6</w:t>
            </w:r>
          </w:p>
        </w:tc>
        <w:tc>
          <w:tcPr>
            <w:tcW w:w="9592" w:type="dxa"/>
            <w:tcBorders/>
            <w:vAlign w:val="center"/>
          </w:tcPr>
          <w:p>
            <w:pPr>
              <w:pStyle w:val="TableContents"/>
              <w:bidi w:val="0"/>
              <w:spacing w:before="0" w:after="283"/>
              <w:jc w:val="both"/>
              <w:rPr/>
            </w:pPr>
            <w:r>
              <w:rPr/>
              <w:t>Who can rely on this opinion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6.1</w:t>
            </w:r>
          </w:p>
        </w:tc>
        <w:tc>
          <w:tcPr>
            <w:tcW w:w="9848" w:type="dxa"/>
            <w:tcBorders/>
            <w:vAlign w:val="center"/>
          </w:tcPr>
          <w:p>
            <w:pPr>
              <w:pStyle w:val="TableContents"/>
              <w:bidi w:val="0"/>
              <w:spacing w:before="0" w:after="283"/>
              <w:jc w:val="both"/>
              <w:rPr/>
            </w:pPr>
            <w:r>
              <w:rPr/>
              <w:t>We hereby consent to the filing of this opinion as an exhibit to the Form 6-K to the reference to our firm under the heading “Legal Matters” of the Prospectus Supplement. In giving such consent, we do not thereby admit that we come within the category of persons whose consent is required under Section 7 of the Act, or the Rules and Regulations of the Commission thereunder.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6.2</w:t>
            </w:r>
          </w:p>
        </w:tc>
        <w:tc>
          <w:tcPr>
            <w:tcW w:w="9848" w:type="dxa"/>
            <w:tcBorders/>
            <w:vAlign w:val="center"/>
          </w:tcPr>
          <w:p>
            <w:pPr>
              <w:pStyle w:val="TableContents"/>
              <w:bidi w:val="0"/>
              <w:spacing w:before="0" w:after="283"/>
              <w:jc w:val="both"/>
              <w:rPr/>
            </w:pPr>
            <w:r>
              <w:rPr/>
              <w:t>This opinion may be used only in connection with the Shares by the Company while the Registration Statement and the Prospectus Supplement are effective. With the exception of your professional advisers (acting only in that capacity), it may not be relied upon by any person, other than persons entitled to rely upon it pursuant to the provisions of the Act, without our prior written consent.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both"/>
        <w:rPr>
          <w:caps w:val="false"/>
          <w:smallCaps w:val="false"/>
        </w:rPr>
      </w:pPr>
      <w:r>
        <w:rPr>
          <w:caps w:val="false"/>
          <w:smallCaps w:val="false"/>
        </w:rPr>
        <w:t> </w:t>
      </w:r>
    </w:p>
    <w:tbl>
      <w:tblPr>
        <w:tblW w:w="920" w:type="dxa"/>
        <w:jc w:val="left"/>
        <w:tblInd w:w="0" w:type="dxa"/>
        <w:tblLayout w:type="fixed"/>
        <w:tblCellMar>
          <w:top w:w="0" w:type="dxa"/>
          <w:left w:w="0" w:type="dxa"/>
          <w:bottom w:w="28" w:type="dxa"/>
          <w:right w:w="0" w:type="dxa"/>
        </w:tblCellMar>
      </w:tblPr>
      <w:tblGrid>
        <w:gridCol w:w="845"/>
        <w:gridCol w:w="75"/>
      </w:tblGrid>
      <w:tr>
        <w:trPr/>
        <w:tc>
          <w:tcPr>
            <w:tcW w:w="845" w:type="dxa"/>
            <w:tcBorders>
              <w:bottom w:val="single" w:sz="12" w:space="0" w:color="000000"/>
            </w:tcBorders>
            <w:vAlign w:val="center"/>
          </w:tcPr>
          <w:p>
            <w:pPr>
              <w:pStyle w:val="TableContents"/>
              <w:bidi w:val="0"/>
              <w:spacing w:before="0" w:after="283"/>
              <w:jc w:val="both"/>
              <w:rPr/>
            </w:pPr>
            <w:r>
              <w:rPr/>
              <w:t>/s/ Ogier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Ogier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Documents examined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10028" w:type="dxa"/>
            <w:tcBorders/>
            <w:vAlign w:val="center"/>
          </w:tcPr>
          <w:p>
            <w:pPr>
              <w:pStyle w:val="TableContents"/>
              <w:bidi w:val="0"/>
              <w:spacing w:before="0" w:after="283"/>
              <w:jc w:val="both"/>
              <w:rPr/>
            </w:pPr>
            <w:r>
              <w:rPr/>
              <w:t>A New York law governed placement agency agreement dated 19 February 2026 between Barclays Capital Inc. and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8" w:type="dxa"/>
            <w:tcBorders/>
            <w:vAlign w:val="center"/>
          </w:tcPr>
          <w:p>
            <w:pPr>
              <w:pStyle w:val="TableContents"/>
              <w:bidi w:val="0"/>
              <w:spacing w:before="0" w:after="283"/>
              <w:jc w:val="both"/>
              <w:rPr/>
            </w:pPr>
            <w:r>
              <w:rPr/>
              <w:t xml:space="preserve">The securities purchase agreements dated 19 February 2026, each between the Company and a purchaser named therein (together, the </w:t>
            </w:r>
            <w:r>
              <w:rPr>
                <w:b/>
              </w:rPr>
              <w:t>Securities Purchase Agreements</w:t>
            </w: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and other documents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53"/>
        <w:gridCol w:w="10011"/>
      </w:tblGrid>
      <w:tr>
        <w:trPr/>
        <w:tc>
          <w:tcPr>
            <w:tcW w:w="4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1</w:t>
            </w:r>
          </w:p>
        </w:tc>
        <w:tc>
          <w:tcPr>
            <w:tcW w:w="10011" w:type="dxa"/>
            <w:tcBorders/>
            <w:vAlign w:val="center"/>
          </w:tcPr>
          <w:p>
            <w:pPr>
              <w:pStyle w:val="TableContents"/>
              <w:bidi w:val="0"/>
              <w:spacing w:before="0" w:after="283"/>
              <w:jc w:val="both"/>
              <w:rPr/>
            </w:pPr>
            <w:r>
              <w:rPr/>
              <w:t>The certificate of incorporation of the Company dated 8 December 2021 issued by the Registrar.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8" w:type="dxa"/>
            <w:tcBorders/>
            <w:vAlign w:val="center"/>
          </w:tcPr>
          <w:p>
            <w:pPr>
              <w:pStyle w:val="TableContents"/>
              <w:bidi w:val="0"/>
              <w:spacing w:before="0" w:after="283"/>
              <w:jc w:val="both"/>
              <w:rPr/>
            </w:pPr>
            <w:r>
              <w:rPr/>
              <w:t xml:space="preserve">The amended and restated memorandum and articles of association of the Company adopted by a special resolution passed on 8 March 2023 and effective at the Acquisition Merger Effective Time (as defined therein) and filed with the Registrar on 13 April 2023 and the written resolutions by all the directors of the Company passed on 9 June 2023 and filed with the Registrar on 9 June 2023 (together, the </w:t>
            </w:r>
            <w:r>
              <w:rPr>
                <w:b/>
              </w:rPr>
              <w:t>Memorandum and Articles</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283"/>
              <w:jc w:val="both"/>
              <w:rPr/>
            </w:pPr>
            <w:r>
              <w:rPr/>
              <w:t xml:space="preserve">A certificate of good standing dated 26 February 2026 (the </w:t>
            </w:r>
            <w:r>
              <w:rPr>
                <w:b/>
              </w:rPr>
              <w:t>Good Standing Certificate</w:t>
            </w:r>
            <w:r>
              <w:rPr/>
              <w:t>) issued by the Registrar in respect of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66"/>
        <w:gridCol w:w="9994"/>
      </w:tblGrid>
      <w:tr>
        <w:trPr/>
        <w:tc>
          <w:tcPr>
            <w:tcW w:w="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4</w:t>
            </w:r>
          </w:p>
        </w:tc>
        <w:tc>
          <w:tcPr>
            <w:tcW w:w="9994" w:type="dxa"/>
            <w:tcBorders/>
            <w:vAlign w:val="center"/>
          </w:tcPr>
          <w:p>
            <w:pPr>
              <w:pStyle w:val="TableContents"/>
              <w:bidi w:val="0"/>
              <w:spacing w:before="0" w:after="283"/>
              <w:jc w:val="both"/>
              <w:rPr/>
            </w:pPr>
            <w:r>
              <w:rPr/>
              <w:t xml:space="preserve">The register of directors and officers of the Company dated 20 June 2025 (the </w:t>
            </w:r>
            <w:r>
              <w:rPr>
                <w:b/>
              </w:rPr>
              <w:t>Register</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5</w:t>
            </w:r>
          </w:p>
        </w:tc>
        <w:tc>
          <w:tcPr>
            <w:tcW w:w="10028" w:type="dxa"/>
            <w:tcBorders/>
            <w:vAlign w:val="center"/>
          </w:tcPr>
          <w:p>
            <w:pPr>
              <w:pStyle w:val="TableContents"/>
              <w:bidi w:val="0"/>
              <w:spacing w:before="0" w:after="283"/>
              <w:jc w:val="both"/>
              <w:rPr/>
            </w:pPr>
            <w:r>
              <w:rPr/>
              <w:t xml:space="preserve">The unanimously written resolutions of the board of directors of the Company passed on 17 February 2026 and the unanimously written resolutions of the pricing committee to the board of directors of the Company dated 19 February 2026 (together, the </w:t>
            </w:r>
            <w:r>
              <w:rPr>
                <w:b/>
              </w:rPr>
              <w:t>Board Resolutions</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6</w:t>
            </w:r>
          </w:p>
        </w:tc>
        <w:tc>
          <w:tcPr>
            <w:tcW w:w="10028" w:type="dxa"/>
            <w:tcBorders/>
            <w:vAlign w:val="center"/>
          </w:tcPr>
          <w:p>
            <w:pPr>
              <w:pStyle w:val="TableContents"/>
              <w:bidi w:val="0"/>
              <w:spacing w:before="0" w:after="283"/>
              <w:jc w:val="both"/>
              <w:rPr/>
            </w:pPr>
            <w:r>
              <w:rPr/>
              <w:t xml:space="preserve">A certificate from a director of the Company dated the same date as this opinion as to certain matters of facts (the </w:t>
            </w:r>
            <w:r>
              <w:rPr>
                <w:b/>
              </w:rPr>
              <w:t>Director's Certificate</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7</w:t>
            </w:r>
          </w:p>
        </w:tc>
        <w:tc>
          <w:tcPr>
            <w:tcW w:w="10028" w:type="dxa"/>
            <w:tcBorders/>
            <w:vAlign w:val="center"/>
          </w:tcPr>
          <w:p>
            <w:pPr>
              <w:pStyle w:val="TableContents"/>
              <w:bidi w:val="0"/>
              <w:spacing w:before="0" w:after="283"/>
              <w:jc w:val="both"/>
              <w:rPr/>
            </w:pPr>
            <w:r>
              <w:rPr/>
              <w:t xml:space="preserve">The Register of Writs and Other Originating Process maintained by the office of the Clerk of Courts in the Cayman Islands as inspected by us on 25 February 2026 (the </w:t>
            </w:r>
            <w:r>
              <w:rPr>
                <w:b/>
              </w:rPr>
              <w:t>Register of Writs</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8</w:t>
            </w:r>
          </w:p>
        </w:tc>
        <w:tc>
          <w:tcPr>
            <w:tcW w:w="10028" w:type="dxa"/>
            <w:tcBorders/>
            <w:vAlign w:val="center"/>
          </w:tcPr>
          <w:p>
            <w:pPr>
              <w:pStyle w:val="TableContents"/>
              <w:bidi w:val="0"/>
              <w:spacing w:before="0" w:after="283"/>
              <w:jc w:val="both"/>
              <w:rPr/>
            </w:pPr>
            <w:r>
              <w:rPr/>
              <w:t xml:space="preserve">A search on the Cayman Online Registry Information Service conducted against the Company at the Registrar on 25 February 2026 (the </w:t>
            </w:r>
            <w:r>
              <w:rPr>
                <w:b/>
              </w:rPr>
              <w:t>CORIS Search</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311"/>
        <w:gridCol w:w="9810"/>
      </w:tblGrid>
      <w:tr>
        <w:trPr/>
        <w:tc>
          <w:tcPr>
            <w:tcW w:w="8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9</w:t>
            </w:r>
          </w:p>
        </w:tc>
        <w:tc>
          <w:tcPr>
            <w:tcW w:w="9810" w:type="dxa"/>
            <w:tcBorders/>
            <w:vAlign w:val="center"/>
          </w:tcPr>
          <w:p>
            <w:pPr>
              <w:pStyle w:val="TableContents"/>
              <w:bidi w:val="0"/>
              <w:spacing w:before="0" w:after="283"/>
              <w:jc w:val="both"/>
              <w:rPr/>
            </w:pPr>
            <w:r>
              <w:rPr/>
              <w:t>The Registration Statement and the Form 6-K.</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7"/>
        <w:gridCol w:w="875"/>
        <w:gridCol w:w="9203"/>
      </w:tblGrid>
      <w:tr>
        <w:trPr/>
        <w:tc>
          <w:tcPr>
            <w:tcW w:w="127"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pPr>
            <w:r>
              <w:rPr/>
              <w:t>10</w:t>
            </w:r>
          </w:p>
        </w:tc>
        <w:tc>
          <w:tcPr>
            <w:tcW w:w="9203" w:type="dxa"/>
            <w:tcBorders/>
            <w:vAlign w:val="center"/>
          </w:tcPr>
          <w:p>
            <w:pPr>
              <w:pStyle w:val="TableContents"/>
              <w:bidi w:val="0"/>
              <w:spacing w:before="0" w:after="283"/>
              <w:jc w:val="both"/>
              <w:rPr/>
            </w:pPr>
            <w:r>
              <w:rPr/>
              <w:t>The Prospectus Supplement.</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217"/>
        <w:gridCol w:w="9929"/>
      </w:tblGrid>
      <w:tr>
        <w:trPr/>
        <w:tc>
          <w:tcPr>
            <w:tcW w:w="5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1</w:t>
            </w:r>
          </w:p>
        </w:tc>
        <w:tc>
          <w:tcPr>
            <w:tcW w:w="9929" w:type="dxa"/>
            <w:tcBorders/>
            <w:vAlign w:val="center"/>
          </w:tcPr>
          <w:p>
            <w:pPr>
              <w:pStyle w:val="TableContents"/>
              <w:bidi w:val="0"/>
              <w:spacing w:before="0" w:after="283"/>
              <w:jc w:val="both"/>
              <w:rPr/>
            </w:pPr>
            <w:r>
              <w:rPr/>
              <w:t>All original documents examined by us are authentic and complete.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8" w:type="dxa"/>
            <w:tcBorders/>
            <w:vAlign w:val="center"/>
          </w:tcPr>
          <w:p>
            <w:pPr>
              <w:pStyle w:val="TableContents"/>
              <w:bidi w:val="0"/>
              <w:spacing w:before="0" w:after="283"/>
              <w:jc w:val="both"/>
              <w:rPr/>
            </w:pPr>
            <w:r>
              <w:rPr/>
              <w:t>All copies of documents examined by us (whether in facsimile, electronic or other form) conform to the originals and those originals are authentic and complete.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44"/>
        <w:gridCol w:w="10022"/>
      </w:tblGrid>
      <w:tr>
        <w:trPr/>
        <w:tc>
          <w:tcPr>
            <w:tcW w:w="3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3</w:t>
            </w:r>
          </w:p>
        </w:tc>
        <w:tc>
          <w:tcPr>
            <w:tcW w:w="10022" w:type="dxa"/>
            <w:tcBorders/>
            <w:vAlign w:val="center"/>
          </w:tcPr>
          <w:p>
            <w:pPr>
              <w:pStyle w:val="TableContents"/>
              <w:bidi w:val="0"/>
              <w:spacing w:before="0" w:after="283"/>
              <w:jc w:val="both"/>
              <w:rPr/>
            </w:pPr>
            <w:r>
              <w:rPr/>
              <w:t>All signatures, seals, dates, stamps and markings (whether on original or copy documents) are genuine.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4</w:t>
            </w:r>
          </w:p>
        </w:tc>
        <w:tc>
          <w:tcPr>
            <w:tcW w:w="10028" w:type="dxa"/>
            <w:tcBorders/>
            <w:vAlign w:val="center"/>
          </w:tcPr>
          <w:p>
            <w:pPr>
              <w:pStyle w:val="TableContents"/>
              <w:bidi w:val="0"/>
              <w:spacing w:before="0" w:after="283"/>
              <w:jc w:val="both"/>
              <w:rPr/>
            </w:pPr>
            <w:r>
              <w:rPr/>
              <w:t>Each of the Good Standing Certificate, the Register and the Director’s Certificate is accurate and complete as at the date of this opinion.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5</w:t>
            </w:r>
          </w:p>
        </w:tc>
        <w:tc>
          <w:tcPr>
            <w:tcW w:w="10028" w:type="dxa"/>
            <w:tcBorders/>
            <w:vAlign w:val="center"/>
          </w:tcPr>
          <w:p>
            <w:pPr>
              <w:pStyle w:val="TableContents"/>
              <w:bidi w:val="0"/>
              <w:spacing w:before="0" w:after="283"/>
              <w:jc w:val="both"/>
              <w:rPr/>
            </w:pPr>
            <w:r>
              <w:rPr/>
              <w:t>The CORIS Search which we have examined is accurate and that the information disclosed by the CORIS Search is true and complete and that such information has not since been altered.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6</w:t>
            </w:r>
          </w:p>
        </w:tc>
        <w:tc>
          <w:tcPr>
            <w:tcW w:w="10028" w:type="dxa"/>
            <w:tcBorders/>
            <w:vAlign w:val="center"/>
          </w:tcPr>
          <w:p>
            <w:pPr>
              <w:pStyle w:val="TableContents"/>
              <w:bidi w:val="0"/>
              <w:spacing w:before="0" w:after="283"/>
              <w:jc w:val="both"/>
              <w:rPr/>
            </w:pPr>
            <w:r>
              <w:rPr/>
              <w:t>All copies of the Registration Statement, the Prospectus Supplement and the Documents are true and correct copies and the Registration Statement, the Prospectus Supplement and the Documents conform in every material respect to the latest drafts of the same produced to us and, where the Registration Statement, the Prospectus Supplement or the Documents have been provided to us in successive drafts marked-up to indicate changes to such documents, all such changes have been so indicated.</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7</w:t>
            </w:r>
          </w:p>
        </w:tc>
        <w:tc>
          <w:tcPr>
            <w:tcW w:w="10028" w:type="dxa"/>
            <w:tcBorders/>
            <w:vAlign w:val="center"/>
          </w:tcPr>
          <w:p>
            <w:pPr>
              <w:pStyle w:val="TableContents"/>
              <w:bidi w:val="0"/>
              <w:spacing w:before="0" w:after="283"/>
              <w:jc w:val="both"/>
              <w:rPr/>
            </w:pPr>
            <w:r>
              <w:rPr/>
              <w:t>The Board Resolutions remain in full force and effect and each of the directors of the Company has acted in good faith with a view to the best interests of the Company and has exercised the standard of care, diligence and skill that is required of him or her in approving the Registration Statement, the Prospectus Supplement and the Documents, and no director has a financial interest in or other relationship to a party of the transactions contemplated by the Registration Statement, the Prospectus Supplement and the Documents which has not been properly disclosed in the Board Resolutions;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8</w:t>
            </w:r>
          </w:p>
        </w:tc>
        <w:tc>
          <w:tcPr>
            <w:tcW w:w="10028" w:type="dxa"/>
            <w:tcBorders/>
            <w:vAlign w:val="center"/>
          </w:tcPr>
          <w:p>
            <w:pPr>
              <w:pStyle w:val="TableContents"/>
              <w:bidi w:val="0"/>
              <w:spacing w:before="0" w:after="283"/>
              <w:jc w:val="both"/>
              <w:rPr/>
            </w:pPr>
            <w:r>
              <w:rPr/>
              <w:t>Each of the parties to the Documents other than the Company is duly incorporated, formed or organised (as applicable), validly existing and in good standing under all relevant laws.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9</w:t>
            </w:r>
          </w:p>
        </w:tc>
        <w:tc>
          <w:tcPr>
            <w:tcW w:w="10028" w:type="dxa"/>
            <w:tcBorders/>
            <w:vAlign w:val="center"/>
          </w:tcPr>
          <w:p>
            <w:pPr>
              <w:pStyle w:val="TableContents"/>
              <w:bidi w:val="0"/>
              <w:spacing w:before="0" w:after="283"/>
              <w:jc w:val="both"/>
              <w:rPr/>
            </w:pPr>
            <w:r>
              <w:rPr/>
              <w:t>Each of the Documents has been authorised and duly executed and unconditionally delivered by or on behalf of all parties to it in accordance with all applicable laws (other than, in the case of the Company, the laws of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10</w:t>
            </w:r>
          </w:p>
        </w:tc>
        <w:tc>
          <w:tcPr>
            <w:tcW w:w="9908" w:type="dxa"/>
            <w:tcBorders/>
            <w:vAlign w:val="center"/>
          </w:tcPr>
          <w:p>
            <w:pPr>
              <w:pStyle w:val="TableContents"/>
              <w:bidi w:val="0"/>
              <w:spacing w:before="0" w:after="283"/>
              <w:jc w:val="both"/>
              <w:rPr/>
            </w:pPr>
            <w:r>
              <w:rPr/>
              <w:t>Each of the Documents is legal, valid and binding and enforceable against all relevant parties in accordance with its terms under relevant law (other than, in the case of the Company, the laws of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11</w:t>
            </w:r>
          </w:p>
        </w:tc>
        <w:tc>
          <w:tcPr>
            <w:tcW w:w="9908" w:type="dxa"/>
            <w:tcBorders/>
            <w:vAlign w:val="center"/>
          </w:tcPr>
          <w:p>
            <w:pPr>
              <w:pStyle w:val="TableContents"/>
              <w:bidi w:val="0"/>
              <w:spacing w:before="0" w:after="283"/>
              <w:jc w:val="both"/>
              <w:rPr/>
            </w:pPr>
            <w:r>
              <w:rPr/>
              <w:t>None of the opinions expressed herein will be adversely affected by the laws or public policies of any jurisdiction other than the Cayman Islands. In particular, but without limitation to the previous sentence: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 xml:space="preserve">(i) </w:t>
            </w:r>
          </w:p>
        </w:tc>
        <w:tc>
          <w:tcPr>
            <w:tcW w:w="9920" w:type="dxa"/>
            <w:tcBorders/>
            <w:vAlign w:val="center"/>
          </w:tcPr>
          <w:p>
            <w:pPr>
              <w:pStyle w:val="TableContents"/>
              <w:bidi w:val="0"/>
              <w:spacing w:before="0" w:after="283"/>
              <w:jc w:val="both"/>
              <w:rPr/>
            </w:pPr>
            <w:r>
              <w:rPr/>
              <w:t>the laws or public policies of any jurisdiction other than the Cayman Islands will not adversely affect the capacity or authority of the Company; and</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(ii)</w:t>
            </w:r>
          </w:p>
        </w:tc>
        <w:tc>
          <w:tcPr>
            <w:tcW w:w="9930" w:type="dxa"/>
            <w:tcBorders/>
            <w:vAlign w:val="center"/>
          </w:tcPr>
          <w:p>
            <w:pPr>
              <w:pStyle w:val="TableContents"/>
              <w:bidi w:val="0"/>
              <w:spacing w:before="0" w:after="283"/>
              <w:jc w:val="both"/>
              <w:rPr/>
            </w:pPr>
            <w:r>
              <w:rPr/>
              <w:t>neither the execution or delivery of the Registration Statement, the Prospectus Supplement or the Documents nor the exercise by any party to the Registration Statement, the Prospectus Supplement, or the Documents of its rights or the performance of its obligations under them contravene those laws or public policies;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12</w:t>
            </w:r>
          </w:p>
        </w:tc>
        <w:tc>
          <w:tcPr>
            <w:tcW w:w="9908" w:type="dxa"/>
            <w:tcBorders/>
            <w:vAlign w:val="center"/>
          </w:tcPr>
          <w:p>
            <w:pPr>
              <w:pStyle w:val="TableContents"/>
              <w:bidi w:val="0"/>
              <w:spacing w:before="0" w:after="283"/>
              <w:jc w:val="both"/>
              <w:rPr/>
            </w:pPr>
            <w:r>
              <w:rPr/>
              <w:t>There are no agreements, documents or arrangements (other than the documents expressly referred to in this opinion as having been examined by us) that materially affect or modify the Registration Statement, the Prospectus Supplement, the Documents or the transactions contemplated by them or restrict the powers and authority of the Company in any way.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13</w:t>
            </w:r>
          </w:p>
        </w:tc>
        <w:tc>
          <w:tcPr>
            <w:tcW w:w="9908" w:type="dxa"/>
            <w:tcBorders/>
            <w:vAlign w:val="center"/>
          </w:tcPr>
          <w:p>
            <w:pPr>
              <w:pStyle w:val="TableContents"/>
              <w:bidi w:val="0"/>
              <w:spacing w:before="0" w:after="283"/>
              <w:jc w:val="both"/>
              <w:rPr/>
            </w:pPr>
            <w:r>
              <w:rPr/>
              <w:t>No monies paid to or for the account of any party under the Registration Statement, the Prospectus Supplement, and the Documents represent or will represent criminal property or terrorist property (as defined in the Proceeds of Crime Act (as revised) and the Terrorism Act (as revised), respectively).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14</w:t>
            </w:r>
          </w:p>
        </w:tc>
        <w:tc>
          <w:tcPr>
            <w:tcW w:w="9908" w:type="dxa"/>
            <w:tcBorders/>
            <w:vAlign w:val="center"/>
          </w:tcPr>
          <w:p>
            <w:pPr>
              <w:pStyle w:val="TableContents"/>
              <w:bidi w:val="0"/>
              <w:spacing w:before="0" w:after="283"/>
              <w:jc w:val="both"/>
              <w:rPr/>
            </w:pPr>
            <w:r>
              <w:rPr/>
              <w:t>The Company has received, or will receive, money or money's worth in consideration for the issue of the Shares, and none of the Shares have, or will be, issued for less than their par value.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15</w:t>
            </w:r>
          </w:p>
        </w:tc>
        <w:tc>
          <w:tcPr>
            <w:tcW w:w="9908" w:type="dxa"/>
            <w:tcBorders/>
            <w:vAlign w:val="center"/>
          </w:tcPr>
          <w:p>
            <w:pPr>
              <w:pStyle w:val="TableContents"/>
              <w:bidi w:val="0"/>
              <w:spacing w:before="0" w:after="283"/>
              <w:jc w:val="both"/>
              <w:rPr/>
            </w:pPr>
            <w:r>
              <w:rPr/>
              <w:t>Neither the directors nor the shareholders of the Company have taken any steps to appoint a liquidator of the Company and no receiver or restructuring officer has been appointed over any of the Company’s property or assets.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16</w:t>
            </w:r>
          </w:p>
        </w:tc>
        <w:tc>
          <w:tcPr>
            <w:tcW w:w="9908" w:type="dxa"/>
            <w:tcBorders/>
            <w:vAlign w:val="center"/>
          </w:tcPr>
          <w:p>
            <w:pPr>
              <w:pStyle w:val="TableContents"/>
              <w:bidi w:val="0"/>
              <w:spacing w:before="0" w:after="283"/>
              <w:jc w:val="both"/>
              <w:rPr/>
            </w:pPr>
            <w:r>
              <w:rPr/>
              <w:t>There are no circumstances or matters of fact existing which may properly form the basis for an application for an order for rectification of the register of members of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17</w:t>
            </w:r>
          </w:p>
        </w:tc>
        <w:tc>
          <w:tcPr>
            <w:tcW w:w="9908" w:type="dxa"/>
            <w:tcBorders/>
            <w:vAlign w:val="center"/>
          </w:tcPr>
          <w:p>
            <w:pPr>
              <w:pStyle w:val="TableContents"/>
              <w:bidi w:val="0"/>
              <w:spacing w:before="0" w:after="283"/>
              <w:jc w:val="both"/>
              <w:rPr/>
            </w:pPr>
            <w:r>
              <w:rPr/>
              <w:t>There is no provision of the law of any jurisdiction, other than the Cayman Islands, which would have any implication in relation to the opinions expressed herein.</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18</w:t>
            </w:r>
          </w:p>
        </w:tc>
        <w:tc>
          <w:tcPr>
            <w:tcW w:w="9908" w:type="dxa"/>
            <w:tcBorders/>
            <w:vAlign w:val="center"/>
          </w:tcPr>
          <w:p>
            <w:pPr>
              <w:pStyle w:val="TableContents"/>
              <w:bidi w:val="0"/>
              <w:spacing w:before="0" w:after="283"/>
              <w:jc w:val="both"/>
              <w:rPr/>
            </w:pPr>
            <w:r>
              <w:rPr/>
              <w:t>The Register of Writs (as defined in Schedule 1) constitutes a complete and accurate record of the proceedings affecting the Company before the Grand Court as at the time we conducted our investigation of such Register.</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Good standing</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10028" w:type="dxa"/>
            <w:tcBorders/>
            <w:vAlign w:val="center"/>
          </w:tcPr>
          <w:p>
            <w:pPr>
              <w:pStyle w:val="TableContents"/>
              <w:bidi w:val="0"/>
              <w:spacing w:before="0" w:after="283"/>
              <w:jc w:val="both"/>
              <w:rPr/>
            </w:pPr>
            <w:r>
              <w:rPr/>
              <w:t xml:space="preserve">Under the Companies Act (Revised) of the Cayman Islands (the </w:t>
            </w:r>
            <w:r>
              <w:rPr>
                <w:b/>
              </w:rPr>
              <w:t>Companies Act</w:t>
            </w:r>
            <w:r>
              <w:rPr/>
              <w:t>), annual returns in respect of the Company must be filed with the Registrar, together with payment of annual filing fees. A failure to file annual returns and pay annual filing fees may result in the Company being struck off the Register of Companies, following which its assets will vest in the Financial Secretary of the Cayman Islands and will be subject to disposition or retention for the benefit of the public of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0028" w:type="dxa"/>
            <w:tcBorders/>
            <w:vAlign w:val="center"/>
          </w:tcPr>
          <w:p>
            <w:pPr>
              <w:pStyle w:val="TableContents"/>
              <w:bidi w:val="0"/>
              <w:spacing w:before="0" w:after="283"/>
              <w:jc w:val="both"/>
              <w:rPr/>
            </w:pPr>
            <w:r>
              <w:rPr>
                <w:b/>
              </w:rPr>
              <w:t>In good standing</w:t>
            </w:r>
            <w:r>
              <w:rPr/>
              <w:t xml:space="preserve"> means only that as of the date of the Good Standing Certificate the Company is up-to-date with the filing of its annual returns and payment of annual fees with the Registrar. We have made no enquiries into the Company's good standing with respect to any filings or payment of fees, or both, that it may be required to make under the laws of the Cayman Islands other than the Companies 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members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283"/>
              <w:jc w:val="both"/>
              <w:rPr/>
            </w:pPr>
            <w:r>
              <w:rPr/>
              <w:t xml:space="preserve">Under the Companies Act, the register of members of a Cayman Islands company is by statute regarded as </w:t>
            </w:r>
            <w:r>
              <w:rPr>
                <w:i/>
              </w:rPr>
              <w:t>prima facie</w:t>
            </w:r>
            <w:r>
              <w:rPr/>
              <w:t xml:space="preserve"> evidence of any matters which the Companies Act directs or authorises to be inserted therein. A third party interest in the shares in question would not appear. An entry in the register of members may yield to a court order for rectification (for example, in the event of fraud or manifest error).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Non-assessable</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4</w:t>
            </w:r>
          </w:p>
        </w:tc>
        <w:tc>
          <w:tcPr>
            <w:tcW w:w="10028" w:type="dxa"/>
            <w:tcBorders/>
            <w:vAlign w:val="center"/>
          </w:tcPr>
          <w:p>
            <w:pPr>
              <w:pStyle w:val="TableContents"/>
              <w:bidi w:val="0"/>
              <w:spacing w:before="0" w:after="283"/>
              <w:jc w:val="both"/>
              <w:rPr/>
            </w:pPr>
            <w:r>
              <w:rPr/>
              <w:t>In this opinion, the phrase “non-assessable” means, with respect to the Shares, that a shareholder shall not, solely by virtue of its status as a shareholder, be liable for additional assessments or calls on the Shares by the Company or its creditors (except in exceptional circumstances, such as involving fraud, the establishment of an agency relationship or an illegal or improper purpose or other circumstance in which a court may be prepared to pierce or lift the corporate veil).</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5</w:t>
            </w:r>
          </w:p>
        </w:tc>
        <w:tc>
          <w:tcPr>
            <w:tcW w:w="10028" w:type="dxa"/>
            <w:tcBorders/>
            <w:vAlign w:val="center"/>
          </w:tcPr>
          <w:p>
            <w:pPr>
              <w:pStyle w:val="TableContents"/>
              <w:bidi w:val="0"/>
              <w:spacing w:before="0" w:after="283"/>
              <w:jc w:val="both"/>
              <w:rPr/>
            </w:pPr>
            <w:r>
              <w:rPr/>
              <w:t>We are not aware of any Cayman Islands authority as to when the courts would set aside the limited liability of a shareholder in a Cayman Islands company. Our opinion on the subject is based on the Companies Act and English common law authorities, the latter of which are persuasive but not binding in the courts of the Cayman Islands. Under English authorities, circumstances in which a court would attribute personal liability to a shareholder are very limited, and include: (a) such shareholder expressly assuming direct liability (such as a guarantee); (b) the company acting as the agent of such shareholder; (c) the company being incorporated by or at the behest of such shareholder for the purpose of committing or furthering such shareholder’s fraud, or for a sham transaction otherwise carried out by such shareholder. In the absence of these circumstances, we are of the opinion that a Cayman Islands’ court would have no grounds to set aside the limited liability of a shareholder.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Writs</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61"/>
        <w:gridCol w:w="10001"/>
      </w:tblGrid>
      <w:tr>
        <w:trPr/>
        <w:tc>
          <w:tcPr>
            <w:tcW w:w="4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6</w:t>
            </w:r>
          </w:p>
        </w:tc>
        <w:tc>
          <w:tcPr>
            <w:tcW w:w="10001" w:type="dxa"/>
            <w:tcBorders/>
            <w:vAlign w:val="center"/>
          </w:tcPr>
          <w:p>
            <w:pPr>
              <w:pStyle w:val="TableContents"/>
              <w:bidi w:val="0"/>
              <w:spacing w:before="0" w:after="283"/>
              <w:jc w:val="both"/>
              <w:rPr/>
            </w:pPr>
            <w:r>
              <w:rPr/>
              <w:t>Our examination of the Register of Writs cannot conclusively reveal whether or not there is: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355"/>
        <w:gridCol w:w="9802"/>
      </w:tblGrid>
      <w:tr>
        <w:trPr/>
        <w:tc>
          <w:tcPr>
            <w:tcW w:w="4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pPr>
            <w:r>
              <w:rPr/>
              <w:t>(a)</w:t>
            </w:r>
          </w:p>
        </w:tc>
        <w:tc>
          <w:tcPr>
            <w:tcW w:w="9802" w:type="dxa"/>
            <w:tcBorders/>
            <w:vAlign w:val="center"/>
          </w:tcPr>
          <w:p>
            <w:pPr>
              <w:pStyle w:val="TableContents"/>
              <w:bidi w:val="0"/>
              <w:spacing w:before="0" w:after="283"/>
              <w:jc w:val="both"/>
              <w:rPr/>
            </w:pPr>
            <w:r>
              <w:rPr/>
              <w:t>any current or pending litigation in the Cayman Islands against the Company; or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(b)</w:t>
            </w:r>
          </w:p>
        </w:tc>
        <w:tc>
          <w:tcPr>
            <w:tcW w:w="9915" w:type="dxa"/>
            <w:tcBorders/>
            <w:vAlign w:val="center"/>
          </w:tcPr>
          <w:p>
            <w:pPr>
              <w:pStyle w:val="TableContents"/>
              <w:bidi w:val="0"/>
              <w:spacing w:before="0" w:after="283"/>
              <w:jc w:val="both"/>
              <w:rPr/>
            </w:pPr>
            <w:r>
              <w:rPr/>
              <w:t>any application for the winding up or dissolution of the Company or the appointment of any liquidator, trustee in bankruptcy or restructuring officer in respect of the Company or any of its assets,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notice of these matters might not be entered on the Register of Writs immediately or updated expeditiously or the court file associated with the matter or the matter itself may not be publicly available (for example, due to sealing orders having been made). Furthermore, we have not conducted a search of the summary court. Claims in the summary court are limited to a maximum of CI $20,000.</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8" w:name="ea027830601ex99-1.htm"/>
      <w:bookmarkStart w:id="9" w:name="ksea027830601ex991"/>
      <w:bookmarkEnd w:id="8"/>
      <w:bookmarkEnd w:id="9"/>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Dealer name and address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575"/>
        <w:gridCol w:w="3620"/>
      </w:tblGrid>
      <w:tr>
        <w:trPr/>
        <w:tc>
          <w:tcPr>
            <w:tcW w:w="575" w:type="dxa"/>
            <w:tcBorders/>
            <w:vAlign w:val="center"/>
          </w:tcPr>
          <w:p>
            <w:pPr>
              <w:pStyle w:val="TableContents"/>
              <w:bidi w:val="0"/>
              <w:spacing w:before="0" w:after="283"/>
              <w:jc w:val="left"/>
              <w:rPr>
                <w:b/>
                <w:sz w:val="20"/>
              </w:rPr>
            </w:pPr>
            <w:r>
              <w:rPr>
                <w:b/>
                <w:sz w:val="20"/>
              </w:rPr>
              <w:t>To:</w:t>
            </w:r>
          </w:p>
        </w:tc>
        <w:tc>
          <w:tcPr>
            <w:tcW w:w="362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Bitdeer Technologies Group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 Kallang Avenue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Aperia tower 1, #09-03/04</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339509</w:t>
            </w:r>
          </w:p>
        </w:tc>
      </w:tr>
      <w:tr>
        <w:trPr/>
        <w:tc>
          <w:tcPr>
            <w:tcW w:w="575" w:type="dxa"/>
            <w:tcBorders/>
            <w:vAlign w:val="center"/>
          </w:tcPr>
          <w:p>
            <w:pPr>
              <w:pStyle w:val="TableContents"/>
              <w:bidi w:val="0"/>
              <w:spacing w:before="0" w:after="283"/>
              <w:jc w:val="left"/>
              <w:rPr>
                <w:b/>
                <w:sz w:val="20"/>
              </w:rPr>
            </w:pPr>
            <w:r>
              <w:rPr>
                <w:b/>
                <w:sz w:val="20"/>
              </w:rPr>
              <w:t>From:</w:t>
            </w:r>
          </w:p>
        </w:tc>
        <w:tc>
          <w:tcPr>
            <w:tcW w:w="3620" w:type="dxa"/>
            <w:tcBorders/>
            <w:vAlign w:val="center"/>
          </w:tcPr>
          <w:p>
            <w:pPr>
              <w:pStyle w:val="TableContents"/>
              <w:bidi w:val="0"/>
              <w:spacing w:before="0" w:after="283"/>
              <w:jc w:val="left"/>
              <w:rPr>
                <w:sz w:val="20"/>
              </w:rPr>
            </w:pPr>
            <w:r>
              <w:rPr>
                <w:sz w:val="20"/>
              </w:rPr>
              <w:t>[Dealer]</w:t>
            </w:r>
          </w:p>
        </w:tc>
      </w:tr>
      <w:tr>
        <w:trPr/>
        <w:tc>
          <w:tcPr>
            <w:tcW w:w="575" w:type="dxa"/>
            <w:tcBorders/>
            <w:vAlign w:val="center"/>
          </w:tcPr>
          <w:p>
            <w:pPr>
              <w:pStyle w:val="TableContents"/>
              <w:bidi w:val="0"/>
              <w:spacing w:before="0" w:after="283"/>
              <w:jc w:val="left"/>
              <w:rPr>
                <w:b/>
                <w:sz w:val="20"/>
              </w:rPr>
            </w:pPr>
            <w:r>
              <w:rPr>
                <w:b/>
                <w:sz w:val="20"/>
              </w:rPr>
              <w:t>Re:</w:t>
            </w:r>
          </w:p>
        </w:tc>
        <w:tc>
          <w:tcPr>
            <w:tcW w:w="3620" w:type="dxa"/>
            <w:tcBorders/>
            <w:vAlign w:val="center"/>
          </w:tcPr>
          <w:p>
            <w:pPr>
              <w:pStyle w:val="TableContents"/>
              <w:bidi w:val="0"/>
              <w:spacing w:before="0" w:after="283"/>
              <w:jc w:val="left"/>
              <w:rPr>
                <w:sz w:val="20"/>
              </w:rPr>
            </w:pPr>
            <w:r>
              <w:rPr>
                <w:sz w:val="20"/>
              </w:rPr>
              <w:t>[Base][Additional] Capped Call Transaction</w:t>
            </w:r>
          </w:p>
        </w:tc>
      </w:tr>
      <w:tr>
        <w:trPr/>
        <w:tc>
          <w:tcPr>
            <w:tcW w:w="575" w:type="dxa"/>
            <w:tcBorders/>
            <w:vAlign w:val="center"/>
          </w:tcPr>
          <w:p>
            <w:pPr>
              <w:pStyle w:val="TableContents"/>
              <w:bidi w:val="0"/>
              <w:spacing w:before="0" w:after="283"/>
              <w:jc w:val="left"/>
              <w:rPr>
                <w:b/>
                <w:sz w:val="20"/>
              </w:rPr>
            </w:pPr>
            <w:r>
              <w:rPr>
                <w:b/>
                <w:sz w:val="20"/>
              </w:rPr>
              <w:t>Date:</w:t>
            </w:r>
          </w:p>
        </w:tc>
        <w:tc>
          <w:tcPr>
            <w:tcW w:w="3620" w:type="dxa"/>
            <w:tcBorders/>
            <w:vAlign w:val="center"/>
          </w:tcPr>
          <w:p>
            <w:pPr>
              <w:pStyle w:val="TableContents"/>
              <w:bidi w:val="0"/>
              <w:spacing w:before="0" w:after="283"/>
              <w:jc w:val="left"/>
              <w:rPr>
                <w:sz w:val="20"/>
              </w:rPr>
            </w:pPr>
            <w:r>
              <w:rPr>
                <w:sz w:val="20"/>
              </w:rPr>
              <w:t>February [ ],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communication (this “</w:t>
      </w:r>
      <w:r>
        <w:rPr>
          <w:rFonts w:ascii="Times New Roman;Times;Serif" w:hAnsi="Times New Roman;Times;Serif"/>
          <w:b/>
          <w:i w:val="false"/>
          <w:caps w:val="false"/>
          <w:smallCaps w:val="false"/>
          <w:sz w:val="20"/>
        </w:rPr>
        <w:t>Confirmation</w:t>
      </w:r>
      <w:r>
        <w:rPr>
          <w:rFonts w:ascii="Times New Roman;Times;Serif" w:hAnsi="Times New Roman;Times;Serif"/>
          <w:b w:val="false"/>
          <w:i w:val="false"/>
          <w:caps w:val="false"/>
          <w:smallCaps w:val="false"/>
          <w:sz w:val="20"/>
        </w:rPr>
        <w:t>”) is to set forth the terms and conditions of the above-referenced transaction entered into on the Trade Date specified below (the “</w:t>
      </w:r>
      <w:r>
        <w:rPr>
          <w:rFonts w:ascii="Times New Roman;Times;Serif" w:hAnsi="Times New Roman;Times;Serif"/>
          <w:b/>
          <w:i w:val="false"/>
          <w:caps w:val="false"/>
          <w:smallCaps w:val="false"/>
          <w:sz w:val="20"/>
        </w:rPr>
        <w:t>Transaction</w:t>
      </w:r>
      <w:r>
        <w:rPr>
          <w:rFonts w:ascii="Times New Roman;Times;Serif" w:hAnsi="Times New Roman;Times;Serif"/>
          <w:b w:val="false"/>
          <w:i w:val="false"/>
          <w:caps w:val="false"/>
          <w:smallCaps w:val="false"/>
          <w:sz w:val="20"/>
        </w:rPr>
        <w:t>”) between [_________] (“</w:t>
      </w:r>
      <w:r>
        <w:rPr>
          <w:rFonts w:ascii="Times New Roman;Times;Serif" w:hAnsi="Times New Roman;Times;Serif"/>
          <w:b/>
          <w:i w:val="false"/>
          <w:caps w:val="false"/>
          <w:smallCaps w:val="false"/>
          <w:sz w:val="20"/>
        </w:rPr>
        <w:t>Dealer</w:t>
      </w:r>
      <w:r>
        <w:rPr>
          <w:rFonts w:ascii="Times New Roman;Times;Serif" w:hAnsi="Times New Roman;Times;Serif"/>
          <w:b w:val="false"/>
          <w:i w:val="false"/>
          <w:caps w:val="false"/>
          <w:smallCaps w:val="false"/>
          <w:sz w:val="20"/>
        </w:rPr>
        <w:t>”) and Bitdeer Technologies Group (“</w:t>
      </w:r>
      <w:r>
        <w:rPr>
          <w:rFonts w:ascii="Times New Roman;Times;Serif" w:hAnsi="Times New Roman;Times;Serif"/>
          <w:b/>
          <w:i w:val="false"/>
          <w:caps w:val="false"/>
          <w:smallCaps w:val="false"/>
          <w:sz w:val="20"/>
        </w:rPr>
        <w:t>Counterparty</w:t>
      </w:r>
      <w:r>
        <w:rPr>
          <w:rFonts w:ascii="Times New Roman;Times;Serif" w:hAnsi="Times New Roman;Times;Serif"/>
          <w:b w:val="false"/>
          <w:i w:val="false"/>
          <w:caps w:val="false"/>
          <w:smallCaps w:val="false"/>
          <w:sz w:val="20"/>
        </w:rPr>
        <w:t>”). This communication constitutes a “Confirmation” as referred to in the ISDA Master Agreement specified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This Confirmation is subject to, and incorporates, the definitions and provisions of the 2006 ISDA Definitions (the “</w:t>
      </w:r>
      <w:r>
        <w:rPr>
          <w:rFonts w:ascii="Times New Roman;Times;Serif" w:hAnsi="Times New Roman;Times;Serif"/>
          <w:b/>
          <w:i w:val="false"/>
          <w:caps w:val="false"/>
          <w:smallCaps w:val="false"/>
          <w:sz w:val="20"/>
        </w:rPr>
        <w:t>2006 Definitions</w:t>
      </w:r>
      <w:r>
        <w:rPr>
          <w:rFonts w:ascii="Times New Roman;Times;Serif" w:hAnsi="Times New Roman;Times;Serif"/>
          <w:b w:val="false"/>
          <w:i w:val="false"/>
          <w:caps w:val="false"/>
          <w:smallCaps w:val="false"/>
          <w:sz w:val="20"/>
        </w:rPr>
        <w:t>”) and the definitions and provisions of the 2002 ISDA Equity Derivatives Definitions (the “</w:t>
      </w:r>
      <w:r>
        <w:rPr>
          <w:rFonts w:ascii="Times New Roman;Times;Serif" w:hAnsi="Times New Roman;Times;Serif"/>
          <w:b/>
          <w:i w:val="false"/>
          <w:caps w:val="false"/>
          <w:smallCaps w:val="false"/>
          <w:sz w:val="20"/>
        </w:rPr>
        <w:t>Equity Definitions</w:t>
      </w:r>
      <w:r>
        <w:rPr>
          <w:rFonts w:ascii="Times New Roman;Times;Serif" w:hAnsi="Times New Roman;Times;Serif"/>
          <w:b w:val="false"/>
          <w:i w:val="false"/>
          <w:caps w:val="false"/>
          <w:smallCaps w:val="false"/>
          <w:sz w:val="20"/>
        </w:rPr>
        <w:t>”, and together with the 2006 Definitions, the “</w:t>
      </w:r>
      <w:r>
        <w:rPr>
          <w:rFonts w:ascii="Times New Roman;Times;Serif" w:hAnsi="Times New Roman;Times;Serif"/>
          <w:b/>
          <w:i w:val="false"/>
          <w:caps w:val="false"/>
          <w:smallCaps w:val="false"/>
          <w:sz w:val="20"/>
        </w:rPr>
        <w:t>Definitions</w:t>
      </w:r>
      <w:r>
        <w:rPr>
          <w:rFonts w:ascii="Times New Roman;Times;Serif" w:hAnsi="Times New Roman;Times;Serif"/>
          <w:b w:val="false"/>
          <w:i w:val="false"/>
          <w:caps w:val="false"/>
          <w:smallCaps w:val="false"/>
          <w:sz w:val="20"/>
        </w:rPr>
        <w:t>”), in each case as published by the International Swaps and Derivatives Association, Inc. (“</w:t>
      </w:r>
      <w:r>
        <w:rPr>
          <w:rFonts w:ascii="Times New Roman;Times;Serif" w:hAnsi="Times New Roman;Times;Serif"/>
          <w:b/>
          <w:i w:val="false"/>
          <w:caps w:val="false"/>
          <w:smallCaps w:val="false"/>
          <w:sz w:val="20"/>
        </w:rPr>
        <w:t>ISDA</w:t>
      </w:r>
      <w:r>
        <w:rPr>
          <w:rFonts w:ascii="Times New Roman;Times;Serif" w:hAnsi="Times New Roman;Times;Serif"/>
          <w:b w:val="false"/>
          <w:i w:val="false"/>
          <w:caps w:val="false"/>
          <w:smallCaps w:val="false"/>
          <w:sz w:val="20"/>
        </w:rPr>
        <w:t>”). In the event of any inconsistency between the 2006 Definitions and the Equity Definitions, the Equity Definitions will govern and in the event of any inconsistency between terms defined in the Equity Definitions and this Confirmation, this Confirmation shall govern.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Confirmation evidences a complete and binding agreement between Dealer and Counterparty as to the terms of the Transaction to which this Confirmation relates. This Confirmation shall be subject to an agreement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in the form of the 2002 ISDA Master Agreement as if Dealer and Counterparty had executed an agreement in such form on the Trade Date (but without any Schedule except for (i) the election of the laws of the State of New York as the governing law (without reference to choice of law doctrine), [(ii) the election of an executed guarantee of [__________] (“</w:t>
      </w:r>
      <w:r>
        <w:rPr>
          <w:rFonts w:ascii="Times New Roman;Times;Serif" w:hAnsi="Times New Roman;Times;Serif"/>
          <w:b/>
          <w:i w:val="false"/>
          <w:caps w:val="false"/>
          <w:smallCaps w:val="false"/>
          <w:sz w:val="20"/>
        </w:rPr>
        <w:t>Guarantor</w:t>
      </w:r>
      <w:r>
        <w:rPr>
          <w:rFonts w:ascii="Times New Roman;Times;Serif" w:hAnsi="Times New Roman;Times;Serif"/>
          <w:b w:val="false"/>
          <w:i w:val="false"/>
          <w:caps w:val="false"/>
          <w:smallCaps w:val="false"/>
          <w:sz w:val="20"/>
        </w:rPr>
        <w:t>”) dated as of the Trade Date in substantially the form attached hereto as Schedule 1 as a Credit Support Document, (iii) the election of Guarantor as Credit Support Provider in relation to Dealer, (iv)] [, (ii)] the election that the “Cross Default” provisions of Section 5(a)(vi) of the Agreement shall apply to Dealer, (a) with a “Threshold Amount” of 3% of the shareholders’ equity of [Dealer] [_________] [(“</w:t>
      </w:r>
      <w:r>
        <w:rPr>
          <w:rFonts w:ascii="Times New Roman;Times;Serif" w:hAnsi="Times New Roman;Times;Serif"/>
          <w:b/>
          <w:i w:val="false"/>
          <w:caps w:val="false"/>
          <w:smallCaps w:val="false"/>
          <w:sz w:val="20"/>
        </w:rPr>
        <w:t>Dealer Parent</w:t>
      </w:r>
      <w:r>
        <w:rPr>
          <w:rFonts w:ascii="Times New Roman;Times;Serif" w:hAnsi="Times New Roman;Times;Serif"/>
          <w:b w:val="false"/>
          <w:i w:val="false"/>
          <w:caps w:val="false"/>
          <w:smallCaps w:val="false"/>
          <w:sz w:val="20"/>
        </w:rPr>
        <w:t>”)] on the Trade Date, (b) “Specified Indebtedness” having the meaning set forth in Section 14 of the Agreement, except that it shall not include any obligation in respect of deposits received in the ordinary course of Dealer's banking business, (c) the phrase “, or becoming capable at such time of being declared,” being deleted from clause (1) of such Section 5(a)(vi) of the Agreement, and (d) the following sentence being added to the end of Section 5(a)(vi) of the Agreement: “Notwithstanding the foregoing, a default under subsection (2) hereof shall not constitute an Event of Default if (i) the default was caused solely by error or omission of an administrative or operational nature; (ii) funds were available to enable the relevant party to make payment when due; and (iii) the payment is made within two Local Business Days of such party’s receipt of written notice of its failure to pay.”) and [(v)][(iii)] the “Default Under Specified Transaction” provision of Section 5(a)(v) of the Agreement shall not apply to Counterparty on the Trade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provisions contained in, or incorporated by reference to, the Agreement will govern this Confirmation except as expressly modified herein. In the event of any inconsistency between this Confirmation and either the Definitions or the Agreement, this Confirmation shall govern.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hereunder shall be the sole Transaction under the Agreement. If there exists any ISDA Master Agreement between Dealer and Counterparty or any confirmation or other agreement between Dealer and Counterparty pursuant to which an ISDA Master Agreement is deemed to exist between Dealer and Counterparty, then notwithstanding anything to the contrary in such ISDA Master Agreement, such confirmation or agreement or any other agreement to which Dealer and Counterparty are parties, the Transaction shall not be considered a Transaction under, or otherwise governed by, such existing or deemed ISDA Master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Transaction constitutes a Share Option Transaction for purposes of the Equity Definitions. The terms of the particular Transaction to which this Confirmation relates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Terms: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62"/>
        <w:gridCol w:w="8843"/>
      </w:tblGrid>
      <w:tr>
        <w:trPr/>
        <w:tc>
          <w:tcPr>
            <w:tcW w:w="1362" w:type="dxa"/>
            <w:tcBorders/>
            <w:vAlign w:val="center"/>
          </w:tcPr>
          <w:p>
            <w:pPr>
              <w:pStyle w:val="TableContents"/>
              <w:bidi w:val="0"/>
              <w:spacing w:before="0" w:after="283"/>
              <w:ind w:left="0" w:right="0" w:firstLine="720"/>
              <w:jc w:val="left"/>
              <w:rPr/>
            </w:pPr>
            <w:r>
              <w:rPr/>
              <w:t>Trade Date:</w:t>
            </w:r>
          </w:p>
        </w:tc>
        <w:tc>
          <w:tcPr>
            <w:tcW w:w="8843" w:type="dxa"/>
            <w:tcBorders/>
            <w:vAlign w:val="center"/>
          </w:tcPr>
          <w:p>
            <w:pPr>
              <w:pStyle w:val="TableContents"/>
              <w:bidi w:val="0"/>
              <w:spacing w:before="0" w:after="283"/>
              <w:ind w:left="0" w:right="0" w:firstLine="720"/>
              <w:jc w:val="both"/>
              <w:rPr/>
            </w:pPr>
            <w:r>
              <w:rPr/>
              <w:t>February [__], 2026</w:t>
            </w:r>
          </w:p>
        </w:tc>
      </w:tr>
      <w:tr>
        <w:trPr/>
        <w:tc>
          <w:tcPr>
            <w:tcW w:w="1362" w:type="dxa"/>
            <w:tcBorders/>
            <w:vAlign w:val="center"/>
          </w:tcPr>
          <w:p>
            <w:pPr>
              <w:pStyle w:val="TableContents"/>
              <w:bidi w:val="0"/>
              <w:spacing w:before="0" w:after="283"/>
              <w:jc w:val="left"/>
              <w:rPr/>
            </w:pPr>
            <w:r>
              <w:rPr/>
              <w:t> </w:t>
            </w:r>
          </w:p>
        </w:tc>
        <w:tc>
          <w:tcPr>
            <w:tcW w:w="8843" w:type="dxa"/>
            <w:tcBorders/>
            <w:vAlign w:val="center"/>
          </w:tcPr>
          <w:p>
            <w:pPr>
              <w:pStyle w:val="TableContents"/>
              <w:bidi w:val="0"/>
              <w:spacing w:before="0" w:after="283"/>
              <w:ind w:left="0" w:right="0" w:firstLine="720"/>
              <w:jc w:val="both"/>
              <w:rPr/>
            </w:pPr>
            <w:r>
              <w:rPr/>
              <w:t> </w:t>
            </w:r>
          </w:p>
        </w:tc>
      </w:tr>
      <w:tr>
        <w:trPr/>
        <w:tc>
          <w:tcPr>
            <w:tcW w:w="1362" w:type="dxa"/>
            <w:tcBorders/>
            <w:vAlign w:val="center"/>
          </w:tcPr>
          <w:p>
            <w:pPr>
              <w:pStyle w:val="TableContents"/>
              <w:bidi w:val="0"/>
              <w:spacing w:before="0" w:after="283"/>
              <w:jc w:val="left"/>
              <w:rPr/>
            </w:pPr>
            <w:r>
              <w:rPr/>
              <w:t>Effective Date:</w:t>
            </w:r>
          </w:p>
        </w:tc>
        <w:tc>
          <w:tcPr>
            <w:tcW w:w="8843" w:type="dxa"/>
            <w:tcBorders/>
            <w:vAlign w:val="center"/>
          </w:tcPr>
          <w:p>
            <w:pPr>
              <w:pStyle w:val="TableContents"/>
              <w:bidi w:val="0"/>
              <w:spacing w:before="0" w:after="283"/>
              <w:ind w:left="0" w:right="0" w:firstLine="720"/>
              <w:jc w:val="both"/>
              <w:rPr/>
            </w:pPr>
            <w:r>
              <w:rPr/>
              <w:t>February [__], 2026, or such other date as agreed by the parties in writing.</w:t>
            </w:r>
          </w:p>
        </w:tc>
      </w:tr>
      <w:tr>
        <w:trPr/>
        <w:tc>
          <w:tcPr>
            <w:tcW w:w="1362" w:type="dxa"/>
            <w:tcBorders/>
            <w:vAlign w:val="center"/>
          </w:tcPr>
          <w:p>
            <w:pPr>
              <w:pStyle w:val="TableContents"/>
              <w:bidi w:val="0"/>
              <w:spacing w:before="0" w:after="283"/>
              <w:jc w:val="left"/>
              <w:rPr/>
            </w:pPr>
            <w:r>
              <w:rPr/>
              <w:t> </w:t>
            </w:r>
          </w:p>
        </w:tc>
        <w:tc>
          <w:tcPr>
            <w:tcW w:w="8843" w:type="dxa"/>
            <w:tcBorders/>
            <w:vAlign w:val="center"/>
          </w:tcPr>
          <w:p>
            <w:pPr>
              <w:pStyle w:val="TableContents"/>
              <w:bidi w:val="0"/>
              <w:spacing w:before="0" w:after="283"/>
              <w:ind w:left="0" w:right="0" w:firstLine="720"/>
              <w:jc w:val="both"/>
              <w:rPr/>
            </w:pPr>
            <w:r>
              <w:rPr/>
              <w:t> </w:t>
            </w:r>
          </w:p>
        </w:tc>
      </w:tr>
      <w:tr>
        <w:trPr/>
        <w:tc>
          <w:tcPr>
            <w:tcW w:w="1362" w:type="dxa"/>
            <w:tcBorders/>
            <w:vAlign w:val="center"/>
          </w:tcPr>
          <w:p>
            <w:pPr>
              <w:pStyle w:val="TableContents"/>
              <w:bidi w:val="0"/>
              <w:spacing w:before="0" w:after="283"/>
              <w:jc w:val="left"/>
              <w:rPr/>
            </w:pPr>
            <w:r>
              <w:rPr/>
              <w:t>Components:</w:t>
            </w:r>
          </w:p>
        </w:tc>
        <w:tc>
          <w:tcPr>
            <w:tcW w:w="8843" w:type="dxa"/>
            <w:tcBorders/>
            <w:vAlign w:val="center"/>
          </w:tcPr>
          <w:p>
            <w:pPr>
              <w:pStyle w:val="TableContents"/>
              <w:bidi w:val="0"/>
              <w:spacing w:before="0" w:after="283"/>
              <w:ind w:left="0" w:right="0" w:firstLine="720"/>
              <w:jc w:val="both"/>
              <w:rPr/>
            </w:pPr>
            <w:r>
              <w:rPr/>
              <w:t>The Transaction will be divided into individual Components, each with the terms set forth in this Confirmation, and, in particular, with the Number of Options and Expiration Date set forth in Annex A to this Confirmation. The exercise, valuation and settlement of the Transaction will be effected separately for each Component as if each Component were a separate Transaction under the Agreement.</w:t>
            </w:r>
          </w:p>
        </w:tc>
      </w:tr>
      <w:tr>
        <w:trPr/>
        <w:tc>
          <w:tcPr>
            <w:tcW w:w="1362" w:type="dxa"/>
            <w:tcBorders/>
            <w:vAlign w:val="center"/>
          </w:tcPr>
          <w:p>
            <w:pPr>
              <w:pStyle w:val="TableContents"/>
              <w:bidi w:val="0"/>
              <w:spacing w:before="0" w:after="283"/>
              <w:jc w:val="left"/>
              <w:rPr/>
            </w:pPr>
            <w:r>
              <w:rPr/>
              <w:t> </w:t>
            </w:r>
          </w:p>
        </w:tc>
        <w:tc>
          <w:tcPr>
            <w:tcW w:w="8843" w:type="dxa"/>
            <w:tcBorders/>
            <w:vAlign w:val="center"/>
          </w:tcPr>
          <w:p>
            <w:pPr>
              <w:pStyle w:val="TableContents"/>
              <w:bidi w:val="0"/>
              <w:spacing w:before="0" w:after="283"/>
              <w:ind w:left="0" w:right="0" w:firstLine="720"/>
              <w:jc w:val="both"/>
              <w:rPr/>
            </w:pPr>
            <w:r>
              <w:rPr/>
              <w:t> </w:t>
            </w:r>
          </w:p>
        </w:tc>
      </w:tr>
      <w:tr>
        <w:trPr/>
        <w:tc>
          <w:tcPr>
            <w:tcW w:w="1362" w:type="dxa"/>
            <w:tcBorders/>
            <w:vAlign w:val="center"/>
          </w:tcPr>
          <w:p>
            <w:pPr>
              <w:pStyle w:val="TableContents"/>
              <w:bidi w:val="0"/>
              <w:spacing w:before="0" w:after="283"/>
              <w:jc w:val="left"/>
              <w:rPr/>
            </w:pPr>
            <w:r>
              <w:rPr/>
              <w:t>Option Style:</w:t>
            </w:r>
          </w:p>
        </w:tc>
        <w:tc>
          <w:tcPr>
            <w:tcW w:w="8843" w:type="dxa"/>
            <w:tcBorders/>
            <w:vAlign w:val="center"/>
          </w:tcPr>
          <w:p>
            <w:pPr>
              <w:pStyle w:val="TableContents"/>
              <w:bidi w:val="0"/>
              <w:spacing w:before="0" w:after="283"/>
              <w:ind w:left="0" w:right="0" w:firstLine="720"/>
              <w:jc w:val="both"/>
              <w:rPr/>
            </w:pPr>
            <w:r>
              <w:rPr/>
              <w:t>“</w:t>
            </w:r>
            <w:r>
              <w:rPr/>
              <w:t>European”, as described under “Procedures for Exercise” below.</w:t>
            </w:r>
          </w:p>
        </w:tc>
      </w:tr>
      <w:tr>
        <w:trPr/>
        <w:tc>
          <w:tcPr>
            <w:tcW w:w="1362" w:type="dxa"/>
            <w:tcBorders/>
            <w:vAlign w:val="center"/>
          </w:tcPr>
          <w:p>
            <w:pPr>
              <w:pStyle w:val="TableContents"/>
              <w:bidi w:val="0"/>
              <w:spacing w:before="0" w:after="283"/>
              <w:jc w:val="left"/>
              <w:rPr/>
            </w:pPr>
            <w:r>
              <w:rPr/>
              <w:t> </w:t>
            </w:r>
          </w:p>
        </w:tc>
        <w:tc>
          <w:tcPr>
            <w:tcW w:w="8843" w:type="dxa"/>
            <w:tcBorders/>
            <w:vAlign w:val="center"/>
          </w:tcPr>
          <w:p>
            <w:pPr>
              <w:pStyle w:val="TableContents"/>
              <w:bidi w:val="0"/>
              <w:spacing w:before="0" w:after="283"/>
              <w:ind w:left="0" w:right="0" w:firstLine="720"/>
              <w:jc w:val="both"/>
              <w:rPr/>
            </w:pPr>
            <w:r>
              <w:rPr/>
              <w:t> </w:t>
            </w:r>
          </w:p>
        </w:tc>
      </w:tr>
      <w:tr>
        <w:trPr/>
        <w:tc>
          <w:tcPr>
            <w:tcW w:w="1362" w:type="dxa"/>
            <w:tcBorders/>
            <w:vAlign w:val="center"/>
          </w:tcPr>
          <w:p>
            <w:pPr>
              <w:pStyle w:val="TableContents"/>
              <w:bidi w:val="0"/>
              <w:spacing w:before="0" w:after="283"/>
              <w:jc w:val="left"/>
              <w:rPr/>
            </w:pPr>
            <w:r>
              <w:rPr/>
              <w:t>Option Type:</w:t>
            </w:r>
          </w:p>
        </w:tc>
        <w:tc>
          <w:tcPr>
            <w:tcW w:w="8843" w:type="dxa"/>
            <w:tcBorders/>
            <w:vAlign w:val="center"/>
          </w:tcPr>
          <w:p>
            <w:pPr>
              <w:pStyle w:val="TableContents"/>
              <w:bidi w:val="0"/>
              <w:spacing w:before="0" w:after="283"/>
              <w:ind w:left="0" w:right="0" w:firstLine="720"/>
              <w:jc w:val="both"/>
              <w:rPr/>
            </w:pPr>
            <w:r>
              <w:rPr/>
              <w:t>Call</w:t>
            </w:r>
          </w:p>
        </w:tc>
      </w:tr>
      <w:tr>
        <w:trPr/>
        <w:tc>
          <w:tcPr>
            <w:tcW w:w="1362" w:type="dxa"/>
            <w:tcBorders/>
            <w:vAlign w:val="center"/>
          </w:tcPr>
          <w:p>
            <w:pPr>
              <w:pStyle w:val="TableContents"/>
              <w:bidi w:val="0"/>
              <w:spacing w:before="0" w:after="283"/>
              <w:jc w:val="left"/>
              <w:rPr/>
            </w:pPr>
            <w:r>
              <w:rPr/>
              <w:t> </w:t>
            </w:r>
          </w:p>
        </w:tc>
        <w:tc>
          <w:tcPr>
            <w:tcW w:w="8843" w:type="dxa"/>
            <w:tcBorders/>
            <w:vAlign w:val="center"/>
          </w:tcPr>
          <w:p>
            <w:pPr>
              <w:pStyle w:val="TableContents"/>
              <w:bidi w:val="0"/>
              <w:spacing w:before="0" w:after="283"/>
              <w:ind w:left="0" w:right="0" w:firstLine="720"/>
              <w:jc w:val="both"/>
              <w:rPr/>
            </w:pPr>
            <w:r>
              <w:rPr/>
              <w:t> </w:t>
            </w:r>
          </w:p>
        </w:tc>
      </w:tr>
      <w:tr>
        <w:trPr/>
        <w:tc>
          <w:tcPr>
            <w:tcW w:w="1362" w:type="dxa"/>
            <w:tcBorders/>
            <w:vAlign w:val="center"/>
          </w:tcPr>
          <w:p>
            <w:pPr>
              <w:pStyle w:val="TableContents"/>
              <w:bidi w:val="0"/>
              <w:spacing w:before="0" w:after="283"/>
              <w:jc w:val="left"/>
              <w:rPr/>
            </w:pPr>
            <w:r>
              <w:rPr/>
              <w:t>Seller:</w:t>
            </w:r>
          </w:p>
        </w:tc>
        <w:tc>
          <w:tcPr>
            <w:tcW w:w="8843" w:type="dxa"/>
            <w:tcBorders/>
            <w:vAlign w:val="center"/>
          </w:tcPr>
          <w:p>
            <w:pPr>
              <w:pStyle w:val="TableContents"/>
              <w:bidi w:val="0"/>
              <w:spacing w:before="0" w:after="283"/>
              <w:ind w:left="0" w:right="0" w:firstLine="720"/>
              <w:jc w:val="both"/>
              <w:rPr/>
            </w:pPr>
            <w:r>
              <w:rPr/>
              <w:t>Dealer</w:t>
            </w:r>
          </w:p>
        </w:tc>
      </w:tr>
      <w:tr>
        <w:trPr/>
        <w:tc>
          <w:tcPr>
            <w:tcW w:w="1362" w:type="dxa"/>
            <w:tcBorders/>
            <w:vAlign w:val="center"/>
          </w:tcPr>
          <w:p>
            <w:pPr>
              <w:pStyle w:val="TableContents"/>
              <w:bidi w:val="0"/>
              <w:spacing w:before="0" w:after="283"/>
              <w:jc w:val="left"/>
              <w:rPr/>
            </w:pPr>
            <w:r>
              <w:rPr/>
              <w:t> </w:t>
            </w:r>
          </w:p>
        </w:tc>
        <w:tc>
          <w:tcPr>
            <w:tcW w:w="8843" w:type="dxa"/>
            <w:tcBorders/>
            <w:vAlign w:val="center"/>
          </w:tcPr>
          <w:p>
            <w:pPr>
              <w:pStyle w:val="TableContents"/>
              <w:bidi w:val="0"/>
              <w:spacing w:before="0" w:after="283"/>
              <w:ind w:left="0" w:right="0" w:firstLine="720"/>
              <w:jc w:val="both"/>
              <w:rPr/>
            </w:pPr>
            <w:r>
              <w:rPr/>
              <w:t> </w:t>
            </w:r>
          </w:p>
        </w:tc>
      </w:tr>
      <w:tr>
        <w:trPr/>
        <w:tc>
          <w:tcPr>
            <w:tcW w:w="1362" w:type="dxa"/>
            <w:tcBorders/>
            <w:vAlign w:val="center"/>
          </w:tcPr>
          <w:p>
            <w:pPr>
              <w:pStyle w:val="TableContents"/>
              <w:bidi w:val="0"/>
              <w:spacing w:before="0" w:after="283"/>
              <w:jc w:val="left"/>
              <w:rPr/>
            </w:pPr>
            <w:r>
              <w:rPr/>
              <w:t>Buyer:</w:t>
            </w:r>
          </w:p>
        </w:tc>
        <w:tc>
          <w:tcPr>
            <w:tcW w:w="8843" w:type="dxa"/>
            <w:tcBorders/>
            <w:vAlign w:val="center"/>
          </w:tcPr>
          <w:p>
            <w:pPr>
              <w:pStyle w:val="TableContents"/>
              <w:bidi w:val="0"/>
              <w:spacing w:before="0" w:after="283"/>
              <w:ind w:left="0" w:right="0" w:firstLine="720"/>
              <w:jc w:val="both"/>
              <w:rPr/>
            </w:pPr>
            <w:r>
              <w:rPr/>
              <w:t>Counterparty</w:t>
            </w:r>
          </w:p>
        </w:tc>
      </w:tr>
      <w:tr>
        <w:trPr/>
        <w:tc>
          <w:tcPr>
            <w:tcW w:w="1362" w:type="dxa"/>
            <w:tcBorders/>
            <w:vAlign w:val="center"/>
          </w:tcPr>
          <w:p>
            <w:pPr>
              <w:pStyle w:val="TableContents"/>
              <w:bidi w:val="0"/>
              <w:spacing w:before="0" w:after="283"/>
              <w:jc w:val="left"/>
              <w:rPr/>
            </w:pPr>
            <w:r>
              <w:rPr/>
              <w:t> </w:t>
            </w:r>
          </w:p>
        </w:tc>
        <w:tc>
          <w:tcPr>
            <w:tcW w:w="8843" w:type="dxa"/>
            <w:tcBorders/>
            <w:vAlign w:val="center"/>
          </w:tcPr>
          <w:p>
            <w:pPr>
              <w:pStyle w:val="TableContents"/>
              <w:bidi w:val="0"/>
              <w:spacing w:before="0" w:after="283"/>
              <w:ind w:left="0" w:right="0" w:firstLine="720"/>
              <w:jc w:val="both"/>
              <w:rPr/>
            </w:pPr>
            <w:r>
              <w:rPr/>
              <w:t> </w:t>
            </w:r>
          </w:p>
        </w:tc>
      </w:tr>
      <w:tr>
        <w:trPr/>
        <w:tc>
          <w:tcPr>
            <w:tcW w:w="1362" w:type="dxa"/>
            <w:tcBorders/>
            <w:vAlign w:val="center"/>
          </w:tcPr>
          <w:p>
            <w:pPr>
              <w:pStyle w:val="TableContents"/>
              <w:bidi w:val="0"/>
              <w:spacing w:before="0" w:after="283"/>
              <w:jc w:val="left"/>
              <w:rPr/>
            </w:pPr>
            <w:r>
              <w:rPr/>
              <w:t>Shares:</w:t>
            </w:r>
          </w:p>
        </w:tc>
        <w:tc>
          <w:tcPr>
            <w:tcW w:w="8843" w:type="dxa"/>
            <w:tcBorders/>
            <w:vAlign w:val="center"/>
          </w:tcPr>
          <w:p>
            <w:pPr>
              <w:pStyle w:val="TableContents"/>
              <w:bidi w:val="0"/>
              <w:spacing w:before="0" w:after="283"/>
              <w:ind w:left="0" w:right="0" w:firstLine="720"/>
              <w:jc w:val="both"/>
              <w:rPr/>
            </w:pPr>
            <w:r>
              <w:rPr/>
              <w:t>The Class A ordinary shares, par value USD 0.0000001 per share, of Counterparty (Symbol: “BTDR”).</w:t>
            </w:r>
          </w:p>
        </w:tc>
      </w:tr>
      <w:tr>
        <w:trPr/>
        <w:tc>
          <w:tcPr>
            <w:tcW w:w="1362" w:type="dxa"/>
            <w:tcBorders/>
            <w:vAlign w:val="center"/>
          </w:tcPr>
          <w:p>
            <w:pPr>
              <w:pStyle w:val="TableContents"/>
              <w:bidi w:val="0"/>
              <w:spacing w:before="0" w:after="283"/>
              <w:jc w:val="left"/>
              <w:rPr/>
            </w:pPr>
            <w:r>
              <w:rPr/>
              <w:t> </w:t>
            </w:r>
          </w:p>
        </w:tc>
        <w:tc>
          <w:tcPr>
            <w:tcW w:w="8843" w:type="dxa"/>
            <w:tcBorders/>
            <w:vAlign w:val="center"/>
          </w:tcPr>
          <w:p>
            <w:pPr>
              <w:pStyle w:val="TableContents"/>
              <w:bidi w:val="0"/>
              <w:spacing w:before="0" w:after="283"/>
              <w:ind w:left="0" w:right="0" w:firstLine="720"/>
              <w:jc w:val="both"/>
              <w:rPr/>
            </w:pPr>
            <w:r>
              <w:rPr/>
              <w:t> </w:t>
            </w:r>
          </w:p>
        </w:tc>
      </w:tr>
      <w:tr>
        <w:trPr/>
        <w:tc>
          <w:tcPr>
            <w:tcW w:w="1362" w:type="dxa"/>
            <w:tcBorders/>
            <w:vAlign w:val="center"/>
          </w:tcPr>
          <w:p>
            <w:pPr>
              <w:pStyle w:val="TableContents"/>
              <w:bidi w:val="0"/>
              <w:spacing w:before="0" w:after="283"/>
              <w:jc w:val="left"/>
              <w:rPr/>
            </w:pPr>
            <w:r>
              <w:rPr/>
              <w:t>Number of Options:</w:t>
            </w:r>
          </w:p>
        </w:tc>
        <w:tc>
          <w:tcPr>
            <w:tcW w:w="8843" w:type="dxa"/>
            <w:tcBorders/>
            <w:vAlign w:val="center"/>
          </w:tcPr>
          <w:p>
            <w:pPr>
              <w:pStyle w:val="TableContents"/>
              <w:bidi w:val="0"/>
              <w:spacing w:before="0" w:after="283"/>
              <w:ind w:left="0" w:right="0" w:firstLine="720"/>
              <w:jc w:val="both"/>
              <w:rPr/>
            </w:pPr>
            <w:r>
              <w:rPr/>
              <w:t>For each Component, as provided in Annex A to this Confirmation.</w:t>
            </w:r>
          </w:p>
        </w:tc>
      </w:tr>
      <w:tr>
        <w:trPr/>
        <w:tc>
          <w:tcPr>
            <w:tcW w:w="1362" w:type="dxa"/>
            <w:tcBorders/>
            <w:vAlign w:val="center"/>
          </w:tcPr>
          <w:p>
            <w:pPr>
              <w:pStyle w:val="TableContents"/>
              <w:bidi w:val="0"/>
              <w:spacing w:before="0" w:after="283"/>
              <w:jc w:val="left"/>
              <w:rPr/>
            </w:pPr>
            <w:r>
              <w:rPr/>
              <w:t> </w:t>
            </w:r>
          </w:p>
        </w:tc>
        <w:tc>
          <w:tcPr>
            <w:tcW w:w="8843" w:type="dxa"/>
            <w:tcBorders/>
            <w:vAlign w:val="center"/>
          </w:tcPr>
          <w:p>
            <w:pPr>
              <w:pStyle w:val="TableContents"/>
              <w:bidi w:val="0"/>
              <w:spacing w:before="0" w:after="283"/>
              <w:ind w:left="0" w:right="0" w:firstLine="720"/>
              <w:jc w:val="both"/>
              <w:rPr/>
            </w:pPr>
            <w:r>
              <w:rPr/>
              <w:t> </w:t>
            </w:r>
          </w:p>
        </w:tc>
      </w:tr>
      <w:tr>
        <w:trPr/>
        <w:tc>
          <w:tcPr>
            <w:tcW w:w="1362" w:type="dxa"/>
            <w:tcBorders/>
            <w:vAlign w:val="center"/>
          </w:tcPr>
          <w:p>
            <w:pPr>
              <w:pStyle w:val="TableContents"/>
              <w:bidi w:val="0"/>
              <w:spacing w:before="0" w:after="283"/>
              <w:jc w:val="left"/>
              <w:rPr/>
            </w:pPr>
            <w:r>
              <w:rPr/>
              <w:t>Option Entitlement:</w:t>
            </w:r>
          </w:p>
        </w:tc>
        <w:tc>
          <w:tcPr>
            <w:tcW w:w="8843" w:type="dxa"/>
            <w:tcBorders/>
            <w:vAlign w:val="center"/>
          </w:tcPr>
          <w:p>
            <w:pPr>
              <w:pStyle w:val="TableContents"/>
              <w:bidi w:val="0"/>
              <w:spacing w:before="0" w:after="283"/>
              <w:ind w:left="0" w:right="0" w:firstLine="720"/>
              <w:jc w:val="both"/>
              <w:rPr/>
            </w:pPr>
            <w:r>
              <w:rPr/>
              <w:t>One Share per Option</w:t>
            </w:r>
          </w:p>
        </w:tc>
      </w:tr>
      <w:tr>
        <w:trPr/>
        <w:tc>
          <w:tcPr>
            <w:tcW w:w="1362" w:type="dxa"/>
            <w:tcBorders/>
            <w:vAlign w:val="center"/>
          </w:tcPr>
          <w:p>
            <w:pPr>
              <w:pStyle w:val="TableContents"/>
              <w:bidi w:val="0"/>
              <w:spacing w:before="0" w:after="283"/>
              <w:jc w:val="left"/>
              <w:rPr/>
            </w:pPr>
            <w:r>
              <w:rPr/>
              <w:t> </w:t>
            </w:r>
          </w:p>
        </w:tc>
        <w:tc>
          <w:tcPr>
            <w:tcW w:w="8843" w:type="dxa"/>
            <w:tcBorders/>
            <w:vAlign w:val="center"/>
          </w:tcPr>
          <w:p>
            <w:pPr>
              <w:pStyle w:val="TableContents"/>
              <w:bidi w:val="0"/>
              <w:spacing w:before="0" w:after="283"/>
              <w:ind w:left="0" w:right="0" w:firstLine="720"/>
              <w:jc w:val="both"/>
              <w:rPr/>
            </w:pPr>
            <w:r>
              <w:rPr/>
              <w:t> </w:t>
            </w:r>
          </w:p>
        </w:tc>
      </w:tr>
      <w:tr>
        <w:trPr/>
        <w:tc>
          <w:tcPr>
            <w:tcW w:w="1362" w:type="dxa"/>
            <w:tcBorders/>
            <w:vAlign w:val="center"/>
          </w:tcPr>
          <w:p>
            <w:pPr>
              <w:pStyle w:val="TableContents"/>
              <w:bidi w:val="0"/>
              <w:spacing w:before="0" w:after="283"/>
              <w:jc w:val="left"/>
              <w:rPr/>
            </w:pPr>
            <w:r>
              <w:rPr/>
              <w:t>Strike Price:</w:t>
            </w:r>
          </w:p>
        </w:tc>
        <w:tc>
          <w:tcPr>
            <w:tcW w:w="8843" w:type="dxa"/>
            <w:tcBorders/>
            <w:vAlign w:val="center"/>
          </w:tcPr>
          <w:p>
            <w:pPr>
              <w:pStyle w:val="TableContents"/>
              <w:bidi w:val="0"/>
              <w:spacing w:before="0" w:after="283"/>
              <w:ind w:left="0" w:right="0" w:firstLine="720"/>
              <w:jc w:val="both"/>
              <w:rPr/>
            </w:pPr>
            <w:r>
              <w:rPr/>
              <w:t>USD 9.9250</w:t>
            </w:r>
          </w:p>
        </w:tc>
      </w:tr>
      <w:tr>
        <w:trPr/>
        <w:tc>
          <w:tcPr>
            <w:tcW w:w="1362" w:type="dxa"/>
            <w:tcBorders/>
            <w:vAlign w:val="center"/>
          </w:tcPr>
          <w:p>
            <w:pPr>
              <w:pStyle w:val="TableContents"/>
              <w:bidi w:val="0"/>
              <w:spacing w:before="0" w:after="283"/>
              <w:jc w:val="left"/>
              <w:rPr/>
            </w:pPr>
            <w:r>
              <w:rPr/>
              <w:t> </w:t>
            </w:r>
          </w:p>
        </w:tc>
        <w:tc>
          <w:tcPr>
            <w:tcW w:w="8843" w:type="dxa"/>
            <w:tcBorders/>
            <w:vAlign w:val="center"/>
          </w:tcPr>
          <w:p>
            <w:pPr>
              <w:pStyle w:val="TableContents"/>
              <w:bidi w:val="0"/>
              <w:spacing w:before="0" w:after="283"/>
              <w:ind w:left="0" w:right="0" w:firstLine="720"/>
              <w:jc w:val="both"/>
              <w:rPr/>
            </w:pPr>
            <w:r>
              <w:rPr/>
              <w:t> </w:t>
            </w:r>
          </w:p>
        </w:tc>
      </w:tr>
      <w:tr>
        <w:trPr/>
        <w:tc>
          <w:tcPr>
            <w:tcW w:w="1362" w:type="dxa"/>
            <w:tcBorders/>
            <w:vAlign w:val="center"/>
          </w:tcPr>
          <w:p>
            <w:pPr>
              <w:pStyle w:val="TableContents"/>
              <w:bidi w:val="0"/>
              <w:spacing w:before="0" w:after="283"/>
              <w:jc w:val="left"/>
              <w:rPr/>
            </w:pPr>
            <w:r>
              <w:rPr/>
              <w:t>Cap Price:</w:t>
            </w:r>
          </w:p>
        </w:tc>
        <w:tc>
          <w:tcPr>
            <w:tcW w:w="8843" w:type="dxa"/>
            <w:tcBorders/>
            <w:vAlign w:val="center"/>
          </w:tcPr>
          <w:p>
            <w:pPr>
              <w:pStyle w:val="TableContents"/>
              <w:bidi w:val="0"/>
              <w:spacing w:before="0" w:after="283"/>
              <w:ind w:left="0" w:right="0" w:firstLine="720"/>
              <w:jc w:val="both"/>
              <w:rPr/>
            </w:pPr>
            <w:r>
              <w:rPr/>
              <w:t xml:space="preserve">USD 15.8800; </w:t>
            </w:r>
            <w:r>
              <w:rPr>
                <w:i/>
              </w:rPr>
              <w:t>provided</w:t>
            </w:r>
            <w:r>
              <w:rPr/>
              <w:t xml:space="preserve"> that in no event shall the Cap Price be reduced to an amount less than the Strike Price in connection with any adjustment by the Calculation Agent under this Confirmation.</w:t>
            </w:r>
          </w:p>
        </w:tc>
      </w:tr>
      <w:tr>
        <w:trPr/>
        <w:tc>
          <w:tcPr>
            <w:tcW w:w="1362" w:type="dxa"/>
            <w:tcBorders/>
            <w:vAlign w:val="center"/>
          </w:tcPr>
          <w:p>
            <w:pPr>
              <w:pStyle w:val="TableContents"/>
              <w:bidi w:val="0"/>
              <w:spacing w:before="0" w:after="283"/>
              <w:jc w:val="left"/>
              <w:rPr/>
            </w:pPr>
            <w:r>
              <w:rPr/>
              <w:t> </w:t>
            </w:r>
          </w:p>
        </w:tc>
        <w:tc>
          <w:tcPr>
            <w:tcW w:w="8843" w:type="dxa"/>
            <w:tcBorders/>
            <w:vAlign w:val="center"/>
          </w:tcPr>
          <w:p>
            <w:pPr>
              <w:pStyle w:val="TableContents"/>
              <w:bidi w:val="0"/>
              <w:spacing w:before="0" w:after="283"/>
              <w:ind w:left="0" w:right="0" w:firstLine="720"/>
              <w:jc w:val="both"/>
              <w:rPr/>
            </w:pPr>
            <w:r>
              <w:rPr/>
              <w:t> </w:t>
            </w:r>
          </w:p>
        </w:tc>
      </w:tr>
      <w:tr>
        <w:trPr/>
        <w:tc>
          <w:tcPr>
            <w:tcW w:w="1362" w:type="dxa"/>
            <w:tcBorders/>
            <w:vAlign w:val="center"/>
          </w:tcPr>
          <w:p>
            <w:pPr>
              <w:pStyle w:val="TableContents"/>
              <w:bidi w:val="0"/>
              <w:spacing w:before="0" w:after="283"/>
              <w:jc w:val="left"/>
              <w:rPr/>
            </w:pPr>
            <w:r>
              <w:rPr/>
              <w:t>Number of Shares:</w:t>
            </w:r>
          </w:p>
        </w:tc>
        <w:tc>
          <w:tcPr>
            <w:tcW w:w="8843" w:type="dxa"/>
            <w:tcBorders/>
            <w:vAlign w:val="center"/>
          </w:tcPr>
          <w:p>
            <w:pPr>
              <w:pStyle w:val="TableContents"/>
              <w:bidi w:val="0"/>
              <w:spacing w:before="0" w:after="283"/>
              <w:ind w:left="0" w:right="0" w:firstLine="720"/>
              <w:jc w:val="both"/>
              <w:rPr/>
            </w:pPr>
            <w:r>
              <w:rPr/>
              <w:t>As of any date, a number of Shares equal to the product of (i) the Number of Options and (ii) the Option Entitlement.</w:t>
            </w:r>
          </w:p>
        </w:tc>
      </w:tr>
      <w:tr>
        <w:trPr/>
        <w:tc>
          <w:tcPr>
            <w:tcW w:w="1362" w:type="dxa"/>
            <w:tcBorders/>
            <w:vAlign w:val="center"/>
          </w:tcPr>
          <w:p>
            <w:pPr>
              <w:pStyle w:val="TableContents"/>
              <w:bidi w:val="0"/>
              <w:spacing w:before="0" w:after="283"/>
              <w:jc w:val="left"/>
              <w:rPr/>
            </w:pPr>
            <w:r>
              <w:rPr/>
              <w:t> </w:t>
            </w:r>
          </w:p>
        </w:tc>
        <w:tc>
          <w:tcPr>
            <w:tcW w:w="8843" w:type="dxa"/>
            <w:tcBorders/>
            <w:vAlign w:val="center"/>
          </w:tcPr>
          <w:p>
            <w:pPr>
              <w:pStyle w:val="TableContents"/>
              <w:bidi w:val="0"/>
              <w:spacing w:before="0" w:after="283"/>
              <w:ind w:left="0" w:right="0" w:firstLine="720"/>
              <w:jc w:val="both"/>
              <w:rPr/>
            </w:pPr>
            <w:r>
              <w:rPr/>
              <w:t> </w:t>
            </w:r>
          </w:p>
        </w:tc>
      </w:tr>
      <w:tr>
        <w:trPr/>
        <w:tc>
          <w:tcPr>
            <w:tcW w:w="1362" w:type="dxa"/>
            <w:tcBorders/>
            <w:vAlign w:val="center"/>
          </w:tcPr>
          <w:p>
            <w:pPr>
              <w:pStyle w:val="TableContents"/>
              <w:bidi w:val="0"/>
              <w:spacing w:before="0" w:after="283"/>
              <w:jc w:val="left"/>
              <w:rPr/>
            </w:pPr>
            <w:r>
              <w:rPr/>
              <w:t>Premium:</w:t>
            </w:r>
          </w:p>
        </w:tc>
        <w:tc>
          <w:tcPr>
            <w:tcW w:w="8843" w:type="dxa"/>
            <w:tcBorders/>
            <w:vAlign w:val="center"/>
          </w:tcPr>
          <w:p>
            <w:pPr>
              <w:pStyle w:val="TableContents"/>
              <w:bidi w:val="0"/>
              <w:spacing w:before="0" w:after="283"/>
              <w:jc w:val="both"/>
              <w:rPr/>
            </w:pPr>
            <w:r>
              <w:rPr/>
              <w:t xml:space="preserve">USD [_____]; Dealer and Counterparty hereby agree that notwithstanding anything to the contrary herein or in the Agreement, following the payment of the Premium, in the event that (a) an Early Termination Date (whether as a result of an Event of Default or a Termination Event) (other than an Event of Default arising under Section 5(a)(ii) or 5(a)(iv) of the Agreement that is within Counterparty’s control) occurs or is designated with respect to any Transaction and, as a result, Counterparty owes to Dealer the amount calculated under Section 6(d) and Section 6(e) or otherwise under the Agreement or (b) Counterparty owes to Dealer, pursuant to Sections 12.2, 12.3, 12.6, 12.7, 12.8 or 12.9 of the Equity Definitions or otherwise under the Equity Definitions, an amount calculated under Section 12.8 of the Equity Definitions, such amount shall be deemed to be zero.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651"/>
        <w:gridCol w:w="8554"/>
      </w:tblGrid>
      <w:tr>
        <w:trPr/>
        <w:tc>
          <w:tcPr>
            <w:tcW w:w="1651" w:type="dxa"/>
            <w:tcBorders/>
            <w:vAlign w:val="center"/>
          </w:tcPr>
          <w:p>
            <w:pPr>
              <w:pStyle w:val="TableContents"/>
              <w:bidi w:val="0"/>
              <w:spacing w:before="0" w:after="283"/>
              <w:ind w:left="0" w:right="0" w:firstLine="720"/>
              <w:jc w:val="left"/>
              <w:rPr/>
            </w:pPr>
            <w:r>
              <w:rPr/>
              <w:t>Premium Payment Date:</w:t>
            </w:r>
          </w:p>
        </w:tc>
        <w:tc>
          <w:tcPr>
            <w:tcW w:w="8554" w:type="dxa"/>
            <w:tcBorders/>
            <w:vAlign w:val="center"/>
          </w:tcPr>
          <w:p>
            <w:pPr>
              <w:pStyle w:val="TableContents"/>
              <w:bidi w:val="0"/>
              <w:spacing w:before="0" w:after="283"/>
              <w:ind w:left="0" w:right="0" w:firstLine="720"/>
              <w:jc w:val="both"/>
              <w:rPr/>
            </w:pPr>
            <w:r>
              <w:rPr/>
              <w:t>The Effective Date</w:t>
            </w:r>
          </w:p>
        </w:tc>
      </w:tr>
      <w:tr>
        <w:trPr/>
        <w:tc>
          <w:tcPr>
            <w:tcW w:w="1651" w:type="dxa"/>
            <w:tcBorders/>
            <w:vAlign w:val="center"/>
          </w:tcPr>
          <w:p>
            <w:pPr>
              <w:pStyle w:val="TableContents"/>
              <w:bidi w:val="0"/>
              <w:spacing w:before="0" w:after="283"/>
              <w:jc w:val="left"/>
              <w:rPr/>
            </w:pPr>
            <w:r>
              <w:rPr/>
              <w:t> </w:t>
            </w:r>
          </w:p>
        </w:tc>
        <w:tc>
          <w:tcPr>
            <w:tcW w:w="8554" w:type="dxa"/>
            <w:tcBorders/>
            <w:vAlign w:val="center"/>
          </w:tcPr>
          <w:p>
            <w:pPr>
              <w:pStyle w:val="TableContents"/>
              <w:bidi w:val="0"/>
              <w:spacing w:before="0" w:after="283"/>
              <w:ind w:left="0" w:right="0" w:firstLine="720"/>
              <w:jc w:val="both"/>
              <w:rPr/>
            </w:pPr>
            <w:r>
              <w:rPr/>
              <w:t> </w:t>
            </w:r>
          </w:p>
        </w:tc>
      </w:tr>
      <w:tr>
        <w:trPr/>
        <w:tc>
          <w:tcPr>
            <w:tcW w:w="1651" w:type="dxa"/>
            <w:tcBorders/>
            <w:vAlign w:val="center"/>
          </w:tcPr>
          <w:p>
            <w:pPr>
              <w:pStyle w:val="TableContents"/>
              <w:bidi w:val="0"/>
              <w:spacing w:before="0" w:after="283"/>
              <w:jc w:val="left"/>
              <w:rPr/>
            </w:pPr>
            <w:r>
              <w:rPr/>
              <w:t>Exchange:</w:t>
            </w:r>
          </w:p>
        </w:tc>
        <w:tc>
          <w:tcPr>
            <w:tcW w:w="8554" w:type="dxa"/>
            <w:tcBorders/>
            <w:vAlign w:val="center"/>
          </w:tcPr>
          <w:p>
            <w:pPr>
              <w:pStyle w:val="TableContents"/>
              <w:bidi w:val="0"/>
              <w:spacing w:before="0" w:after="283"/>
              <w:ind w:left="0" w:right="0" w:firstLine="720"/>
              <w:jc w:val="both"/>
              <w:rPr/>
            </w:pPr>
            <w:r>
              <w:rPr/>
              <w:t>The Nasdaq Capital Market</w:t>
            </w:r>
          </w:p>
        </w:tc>
      </w:tr>
      <w:tr>
        <w:trPr/>
        <w:tc>
          <w:tcPr>
            <w:tcW w:w="1651" w:type="dxa"/>
            <w:tcBorders/>
            <w:vAlign w:val="center"/>
          </w:tcPr>
          <w:p>
            <w:pPr>
              <w:pStyle w:val="TableContents"/>
              <w:bidi w:val="0"/>
              <w:spacing w:before="0" w:after="283"/>
              <w:jc w:val="left"/>
              <w:rPr/>
            </w:pPr>
            <w:r>
              <w:rPr/>
              <w:t> </w:t>
            </w:r>
          </w:p>
        </w:tc>
        <w:tc>
          <w:tcPr>
            <w:tcW w:w="8554" w:type="dxa"/>
            <w:tcBorders/>
            <w:vAlign w:val="center"/>
          </w:tcPr>
          <w:p>
            <w:pPr>
              <w:pStyle w:val="TableContents"/>
              <w:bidi w:val="0"/>
              <w:spacing w:before="0" w:after="283"/>
              <w:ind w:left="0" w:right="0" w:firstLine="720"/>
              <w:jc w:val="both"/>
              <w:rPr/>
            </w:pPr>
            <w:r>
              <w:rPr/>
              <w:t> </w:t>
            </w:r>
          </w:p>
        </w:tc>
      </w:tr>
      <w:tr>
        <w:trPr/>
        <w:tc>
          <w:tcPr>
            <w:tcW w:w="1651" w:type="dxa"/>
            <w:tcBorders/>
            <w:vAlign w:val="center"/>
          </w:tcPr>
          <w:p>
            <w:pPr>
              <w:pStyle w:val="TableContents"/>
              <w:bidi w:val="0"/>
              <w:spacing w:before="0" w:after="283"/>
              <w:jc w:val="left"/>
              <w:rPr/>
            </w:pPr>
            <w:r>
              <w:rPr/>
              <w:t>Related Exchange:</w:t>
            </w:r>
          </w:p>
        </w:tc>
        <w:tc>
          <w:tcPr>
            <w:tcW w:w="8554" w:type="dxa"/>
            <w:tcBorders/>
            <w:vAlign w:val="center"/>
          </w:tcPr>
          <w:p>
            <w:pPr>
              <w:pStyle w:val="TableContents"/>
              <w:bidi w:val="0"/>
              <w:spacing w:before="0" w:after="283"/>
              <w:ind w:left="0" w:right="0" w:firstLine="720"/>
              <w:jc w:val="both"/>
              <w:rPr/>
            </w:pPr>
            <w:r>
              <w:rPr/>
              <w:t xml:space="preserve">All Exchanges; </w:t>
            </w:r>
            <w:r>
              <w:rPr>
                <w:i/>
              </w:rPr>
              <w:t>provided</w:t>
            </w:r>
            <w:r>
              <w:rPr/>
              <w:t xml:space="preserve"> that Section 1.26 of the Equity Definitions shall be amended to add the words “United States” before the word “exchange” in the tenth line of such Section.</w:t>
            </w:r>
          </w:p>
        </w:tc>
      </w:tr>
      <w:tr>
        <w:trPr/>
        <w:tc>
          <w:tcPr>
            <w:tcW w:w="1651" w:type="dxa"/>
            <w:tcBorders/>
            <w:vAlign w:val="center"/>
          </w:tcPr>
          <w:p>
            <w:pPr>
              <w:pStyle w:val="TableContents"/>
              <w:bidi w:val="0"/>
              <w:spacing w:before="0" w:after="283"/>
              <w:jc w:val="left"/>
              <w:rPr/>
            </w:pPr>
            <w:r>
              <w:rPr/>
              <w:t> </w:t>
            </w:r>
          </w:p>
        </w:tc>
        <w:tc>
          <w:tcPr>
            <w:tcW w:w="8554" w:type="dxa"/>
            <w:tcBorders/>
            <w:vAlign w:val="center"/>
          </w:tcPr>
          <w:p>
            <w:pPr>
              <w:pStyle w:val="TableContents"/>
              <w:bidi w:val="0"/>
              <w:spacing w:before="0" w:after="283"/>
              <w:jc w:val="both"/>
              <w:rPr/>
            </w:pPr>
            <w:r>
              <w:rPr/>
              <w:t> </w:t>
            </w:r>
          </w:p>
        </w:tc>
      </w:tr>
      <w:tr>
        <w:trPr/>
        <w:tc>
          <w:tcPr>
            <w:tcW w:w="1651" w:type="dxa"/>
            <w:tcBorders/>
            <w:vAlign w:val="center"/>
          </w:tcPr>
          <w:p>
            <w:pPr>
              <w:pStyle w:val="TableContents"/>
              <w:bidi w:val="0"/>
              <w:spacing w:before="0" w:after="283"/>
              <w:jc w:val="left"/>
              <w:rPr/>
            </w:pPr>
            <w:r>
              <w:rPr/>
              <w:t>Procedures for Exercise:</w:t>
            </w:r>
          </w:p>
        </w:tc>
        <w:tc>
          <w:tcPr>
            <w:tcW w:w="8554" w:type="dxa"/>
            <w:tcBorders/>
            <w:vAlign w:val="center"/>
          </w:tcPr>
          <w:p>
            <w:pPr>
              <w:pStyle w:val="TableContents"/>
              <w:bidi w:val="0"/>
              <w:spacing w:before="0" w:after="283"/>
              <w:ind w:left="0" w:right="0" w:firstLine="720"/>
              <w:jc w:val="both"/>
              <w:rPr/>
            </w:pPr>
            <w:r>
              <w:rPr/>
              <w:t> </w:t>
            </w:r>
          </w:p>
        </w:tc>
      </w:tr>
      <w:tr>
        <w:trPr/>
        <w:tc>
          <w:tcPr>
            <w:tcW w:w="1651" w:type="dxa"/>
            <w:tcBorders/>
            <w:vAlign w:val="center"/>
          </w:tcPr>
          <w:p>
            <w:pPr>
              <w:pStyle w:val="TableContents"/>
              <w:bidi w:val="0"/>
              <w:spacing w:before="0" w:after="283"/>
              <w:jc w:val="left"/>
              <w:rPr/>
            </w:pPr>
            <w:r>
              <w:rPr/>
              <w:t> </w:t>
            </w:r>
          </w:p>
        </w:tc>
        <w:tc>
          <w:tcPr>
            <w:tcW w:w="8554" w:type="dxa"/>
            <w:tcBorders/>
            <w:vAlign w:val="center"/>
          </w:tcPr>
          <w:p>
            <w:pPr>
              <w:pStyle w:val="TableContents"/>
              <w:bidi w:val="0"/>
              <w:spacing w:before="0" w:after="283"/>
              <w:ind w:left="0" w:right="0" w:firstLine="720"/>
              <w:jc w:val="both"/>
              <w:rPr/>
            </w:pPr>
            <w:r>
              <w:rPr/>
              <w:t> </w:t>
            </w:r>
          </w:p>
        </w:tc>
      </w:tr>
      <w:tr>
        <w:trPr/>
        <w:tc>
          <w:tcPr>
            <w:tcW w:w="1651" w:type="dxa"/>
            <w:tcBorders/>
            <w:vAlign w:val="center"/>
          </w:tcPr>
          <w:p>
            <w:pPr>
              <w:pStyle w:val="TableContents"/>
              <w:bidi w:val="0"/>
              <w:spacing w:before="0" w:after="283"/>
              <w:jc w:val="left"/>
              <w:rPr/>
            </w:pPr>
            <w:r>
              <w:rPr/>
              <w:t>Expiration Time:</w:t>
            </w:r>
          </w:p>
        </w:tc>
        <w:tc>
          <w:tcPr>
            <w:tcW w:w="8554" w:type="dxa"/>
            <w:tcBorders/>
            <w:vAlign w:val="center"/>
          </w:tcPr>
          <w:p>
            <w:pPr>
              <w:pStyle w:val="TableContents"/>
              <w:bidi w:val="0"/>
              <w:spacing w:before="0" w:after="283"/>
              <w:ind w:left="0" w:right="0" w:firstLine="720"/>
              <w:jc w:val="both"/>
              <w:rPr/>
            </w:pPr>
            <w:r>
              <w:rPr/>
              <w:t>The Valuation Time</w:t>
            </w:r>
          </w:p>
        </w:tc>
      </w:tr>
      <w:tr>
        <w:trPr/>
        <w:tc>
          <w:tcPr>
            <w:tcW w:w="1651" w:type="dxa"/>
            <w:tcBorders/>
            <w:vAlign w:val="center"/>
          </w:tcPr>
          <w:p>
            <w:pPr>
              <w:pStyle w:val="TableContents"/>
              <w:bidi w:val="0"/>
              <w:spacing w:before="0" w:after="283"/>
              <w:jc w:val="left"/>
              <w:rPr/>
            </w:pPr>
            <w:r>
              <w:rPr/>
              <w:t> </w:t>
            </w:r>
          </w:p>
        </w:tc>
        <w:tc>
          <w:tcPr>
            <w:tcW w:w="8554" w:type="dxa"/>
            <w:tcBorders/>
            <w:vAlign w:val="center"/>
          </w:tcPr>
          <w:p>
            <w:pPr>
              <w:pStyle w:val="TableContents"/>
              <w:bidi w:val="0"/>
              <w:spacing w:before="0" w:after="283"/>
              <w:ind w:left="0" w:right="0" w:firstLine="720"/>
              <w:jc w:val="both"/>
              <w:rPr/>
            </w:pPr>
            <w:r>
              <w:rPr/>
              <w:t> </w:t>
            </w:r>
          </w:p>
        </w:tc>
      </w:tr>
      <w:tr>
        <w:trPr/>
        <w:tc>
          <w:tcPr>
            <w:tcW w:w="1651" w:type="dxa"/>
            <w:tcBorders/>
            <w:vAlign w:val="center"/>
          </w:tcPr>
          <w:p>
            <w:pPr>
              <w:pStyle w:val="TableContents"/>
              <w:bidi w:val="0"/>
              <w:spacing w:before="0" w:after="283"/>
              <w:jc w:val="left"/>
              <w:rPr/>
            </w:pPr>
            <w:r>
              <w:rPr/>
              <w:t>Expiration Date:</w:t>
            </w:r>
          </w:p>
        </w:tc>
        <w:tc>
          <w:tcPr>
            <w:tcW w:w="8554" w:type="dxa"/>
            <w:tcBorders/>
            <w:vAlign w:val="center"/>
          </w:tcPr>
          <w:p>
            <w:pPr>
              <w:pStyle w:val="TableContents"/>
              <w:bidi w:val="0"/>
              <w:spacing w:before="0" w:after="283"/>
              <w:ind w:left="0" w:right="0" w:firstLine="720"/>
              <w:jc w:val="both"/>
              <w:rPr/>
            </w:pPr>
            <w:r>
              <w:rPr/>
              <w:t xml:space="preserve">For any Component, as provided in </w:t>
            </w:r>
            <w:r>
              <w:rPr>
                <w:u w:val="single"/>
              </w:rPr>
              <w:t>Annex A</w:t>
            </w:r>
            <w:r>
              <w:rPr/>
              <w:t xml:space="preserve"> to this Confirmation (or, if such date is not a Scheduled Valid Day, the next following Scheduled Valid Day that is not already an Expiration Date for another Component); </w:t>
            </w:r>
            <w:r>
              <w:rPr>
                <w:i/>
              </w:rPr>
              <w:t>provided</w:t>
            </w:r>
            <w:r>
              <w:rPr/>
              <w:t xml:space="preserve"> that if that date is a Disrupted Day, the Expiration Date for such Component shall be the first succeeding Scheduled Valid Day that is not a Disrupted Day and is not or is not deemed to be an Expiration Date in respect of any other Component of the Transaction hereunder; and </w:t>
            </w:r>
            <w:r>
              <w:rPr>
                <w:i/>
              </w:rPr>
              <w:t>provided further</w:t>
            </w:r>
            <w:r>
              <w:rPr/>
              <w:t xml:space="preserve"> that in no event shall the Expiration Date be postponed to a date later than the Final Termination Date and, notwithstanding anything to the contrary in this Confirmation or the Equity Definitions, if the Expiration Date occurring on the Final Termination Date is a Disrupted Day, the Relevant Price for such Expiration Date shall be the prevailing market value per Share determined by the Calculation Agent in good faith and in a commercially reasonable manner. Notwithstanding the foregoing and anything to the contrary in the Equity Definitions, if a Market Disruption Event occurs on any Expiration Date, the Calculation Agent may determine in good faith and in a commercially reasonable manner that such Expiration Date is a Disrupted Day only in part, in which case the Calculation Agent shall make commercially reasonable adjustments to the Number of Options for the relevant Component for which such day shall be the Expiration Date, shall designate the Scheduled Valid Day determined in the manner described in the immediately preceding sentence as the Expiration Date for the remaining Options for such Component and may determine the Relevant Price based on transactions in the Shares on such Disrupted Day taking into account the nature and duration of such Market Disruption Event on such day. Any Scheduled Valid Day on which, as of the date hereof, the Exchange is scheduled to close prior to its normal close of trading shall be deemed not to be a Scheduled Valid Day; if a closure of the Exchange prior to its normal close of trading on any Scheduled Valid Day is scheduled following the date hereof, then such Scheduled Valid Day shall be deemed to be a Disrupted Day in full</w:t>
            </w:r>
            <w:r>
              <w:rPr>
                <w:b/>
              </w:rPr>
              <w:t>.</w:t>
            </w:r>
            <w:r>
              <w:rPr/>
              <w:t xml:space="preserve"> Section 6.6 of the Equity Definitions shall not apply to any Valuation Date occurring on an Expiration Date.</w:t>
            </w:r>
          </w:p>
        </w:tc>
      </w:tr>
      <w:tr>
        <w:trPr/>
        <w:tc>
          <w:tcPr>
            <w:tcW w:w="1651" w:type="dxa"/>
            <w:tcBorders/>
            <w:vAlign w:val="center"/>
          </w:tcPr>
          <w:p>
            <w:pPr>
              <w:pStyle w:val="TableContents"/>
              <w:bidi w:val="0"/>
              <w:spacing w:before="0" w:after="283"/>
              <w:jc w:val="left"/>
              <w:rPr/>
            </w:pPr>
            <w:r>
              <w:rPr/>
              <w:t> </w:t>
            </w:r>
          </w:p>
        </w:tc>
        <w:tc>
          <w:tcPr>
            <w:tcW w:w="8554" w:type="dxa"/>
            <w:tcBorders/>
            <w:vAlign w:val="center"/>
          </w:tcPr>
          <w:p>
            <w:pPr>
              <w:pStyle w:val="TableContents"/>
              <w:bidi w:val="0"/>
              <w:spacing w:before="0" w:after="283"/>
              <w:ind w:left="0" w:right="0" w:firstLine="720"/>
              <w:jc w:val="both"/>
              <w:rPr/>
            </w:pPr>
            <w:r>
              <w:rPr/>
              <w:t> </w:t>
            </w:r>
          </w:p>
        </w:tc>
      </w:tr>
      <w:tr>
        <w:trPr/>
        <w:tc>
          <w:tcPr>
            <w:tcW w:w="1651" w:type="dxa"/>
            <w:tcBorders/>
            <w:vAlign w:val="center"/>
          </w:tcPr>
          <w:p>
            <w:pPr>
              <w:pStyle w:val="TableContents"/>
              <w:bidi w:val="0"/>
              <w:spacing w:before="0" w:after="283"/>
              <w:jc w:val="left"/>
              <w:rPr/>
            </w:pPr>
            <w:r>
              <w:rPr/>
              <w:t>Final Termination Date:</w:t>
            </w:r>
          </w:p>
        </w:tc>
        <w:tc>
          <w:tcPr>
            <w:tcW w:w="8554" w:type="dxa"/>
            <w:tcBorders/>
            <w:vAlign w:val="center"/>
          </w:tcPr>
          <w:p>
            <w:pPr>
              <w:pStyle w:val="TableContents"/>
              <w:bidi w:val="0"/>
              <w:spacing w:before="0" w:after="283"/>
              <w:jc w:val="both"/>
              <w:rPr/>
            </w:pPr>
            <w:r>
              <w:rPr/>
              <w:t>[_____________]</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889"/>
        <w:gridCol w:w="8316"/>
      </w:tblGrid>
      <w:tr>
        <w:trPr/>
        <w:tc>
          <w:tcPr>
            <w:tcW w:w="1889" w:type="dxa"/>
            <w:tcBorders/>
            <w:vAlign w:val="center"/>
          </w:tcPr>
          <w:p>
            <w:pPr>
              <w:pStyle w:val="TableContents"/>
              <w:bidi w:val="0"/>
              <w:spacing w:before="0" w:after="283"/>
              <w:ind w:left="0" w:right="0" w:firstLine="720"/>
              <w:jc w:val="left"/>
              <w:rPr/>
            </w:pPr>
            <w:r>
              <w:rPr/>
              <w:t>Automatic Exercise:</w:t>
            </w:r>
          </w:p>
        </w:tc>
        <w:tc>
          <w:tcPr>
            <w:tcW w:w="8316" w:type="dxa"/>
            <w:tcBorders/>
            <w:vAlign w:val="center"/>
          </w:tcPr>
          <w:p>
            <w:pPr>
              <w:pStyle w:val="TableContents"/>
              <w:bidi w:val="0"/>
              <w:spacing w:before="0" w:after="283"/>
              <w:ind w:left="0" w:right="0" w:firstLine="720"/>
              <w:jc w:val="both"/>
              <w:rPr/>
            </w:pPr>
            <w:r>
              <w:rPr/>
              <w:t>Applicable; and means that the Number of Options for the relevant Component will be deemed to be automatically exercised at the Expiration Time on the Expiration Date for such Component if at such time such Component is In-the-Money, unless Buyer notifies Seller (in writing) prior to the Expiration Time on such Expiration Date that it does not wish Automatic Exercise to occur with respect to such Component, in which case Automatic Exercise will not apply with respect to such Component. “</w:t>
            </w:r>
            <w:r>
              <w:rPr>
                <w:b/>
              </w:rPr>
              <w:t>In-the-Money</w:t>
            </w:r>
            <w:r>
              <w:rPr/>
              <w:t>” means, in respect of any Component, that the Relevant Price on the Expiration Date for such Component is greater than the Strike Price for such Component.</w:t>
            </w:r>
          </w:p>
        </w:tc>
      </w:tr>
      <w:tr>
        <w:trPr/>
        <w:tc>
          <w:tcPr>
            <w:tcW w:w="1889" w:type="dxa"/>
            <w:tcBorders/>
            <w:vAlign w:val="center"/>
          </w:tcPr>
          <w:p>
            <w:pPr>
              <w:pStyle w:val="TableContents"/>
              <w:bidi w:val="0"/>
              <w:spacing w:before="0" w:after="283"/>
              <w:jc w:val="left"/>
              <w:rPr/>
            </w:pPr>
            <w:r>
              <w:rPr/>
              <w:t> </w:t>
            </w:r>
          </w:p>
        </w:tc>
        <w:tc>
          <w:tcPr>
            <w:tcW w:w="8316" w:type="dxa"/>
            <w:tcBorders/>
            <w:vAlign w:val="center"/>
          </w:tcPr>
          <w:p>
            <w:pPr>
              <w:pStyle w:val="TableContents"/>
              <w:bidi w:val="0"/>
              <w:spacing w:before="0" w:after="283"/>
              <w:ind w:left="0" w:right="0" w:firstLine="720"/>
              <w:jc w:val="both"/>
              <w:rPr/>
            </w:pPr>
            <w:r>
              <w:rPr/>
              <w:t> </w:t>
            </w:r>
          </w:p>
        </w:tc>
      </w:tr>
      <w:tr>
        <w:trPr/>
        <w:tc>
          <w:tcPr>
            <w:tcW w:w="1889" w:type="dxa"/>
            <w:tcBorders/>
            <w:vAlign w:val="center"/>
          </w:tcPr>
          <w:p>
            <w:pPr>
              <w:pStyle w:val="TableContents"/>
              <w:bidi w:val="0"/>
              <w:spacing w:before="0" w:after="283"/>
              <w:jc w:val="left"/>
              <w:rPr/>
            </w:pPr>
            <w:r>
              <w:rPr/>
              <w:t>Valuation Time:</w:t>
            </w:r>
          </w:p>
        </w:tc>
        <w:tc>
          <w:tcPr>
            <w:tcW w:w="8316" w:type="dxa"/>
            <w:tcBorders/>
            <w:vAlign w:val="center"/>
          </w:tcPr>
          <w:p>
            <w:pPr>
              <w:pStyle w:val="TableContents"/>
              <w:bidi w:val="0"/>
              <w:spacing w:before="0" w:after="283"/>
              <w:ind w:left="0" w:right="0" w:firstLine="720"/>
              <w:jc w:val="both"/>
              <w:rPr/>
            </w:pPr>
            <w:r>
              <w:rPr/>
              <w:t xml:space="preserve">At the close of trading of the regular trading session on the Exchange; </w:t>
            </w:r>
            <w:r>
              <w:rPr>
                <w:i/>
              </w:rPr>
              <w:t>provided</w:t>
            </w:r>
            <w:r>
              <w:rPr/>
              <w:t xml:space="preserve"> that if the principal trading session is extended, the Calculation Agent shall determine the Valuation Time in good faith and in a commercially reasonable manner.</w:t>
            </w:r>
          </w:p>
        </w:tc>
      </w:tr>
      <w:tr>
        <w:trPr/>
        <w:tc>
          <w:tcPr>
            <w:tcW w:w="1889" w:type="dxa"/>
            <w:tcBorders/>
            <w:vAlign w:val="center"/>
          </w:tcPr>
          <w:p>
            <w:pPr>
              <w:pStyle w:val="TableContents"/>
              <w:bidi w:val="0"/>
              <w:spacing w:before="0" w:after="283"/>
              <w:jc w:val="left"/>
              <w:rPr/>
            </w:pPr>
            <w:r>
              <w:rPr/>
              <w:t> </w:t>
            </w:r>
          </w:p>
        </w:tc>
        <w:tc>
          <w:tcPr>
            <w:tcW w:w="8316" w:type="dxa"/>
            <w:tcBorders/>
            <w:vAlign w:val="center"/>
          </w:tcPr>
          <w:p>
            <w:pPr>
              <w:pStyle w:val="TableContents"/>
              <w:bidi w:val="0"/>
              <w:spacing w:before="0" w:after="283"/>
              <w:ind w:left="0" w:right="0" w:firstLine="720"/>
              <w:jc w:val="both"/>
              <w:rPr/>
            </w:pPr>
            <w:r>
              <w:rPr/>
              <w:t> </w:t>
            </w:r>
          </w:p>
        </w:tc>
      </w:tr>
      <w:tr>
        <w:trPr/>
        <w:tc>
          <w:tcPr>
            <w:tcW w:w="1889" w:type="dxa"/>
            <w:tcBorders/>
            <w:vAlign w:val="center"/>
          </w:tcPr>
          <w:p>
            <w:pPr>
              <w:pStyle w:val="TableContents"/>
              <w:bidi w:val="0"/>
              <w:spacing w:before="0" w:after="283"/>
              <w:jc w:val="left"/>
              <w:rPr/>
            </w:pPr>
            <w:r>
              <w:rPr/>
              <w:t>Valuation Date:</w:t>
            </w:r>
          </w:p>
        </w:tc>
        <w:tc>
          <w:tcPr>
            <w:tcW w:w="8316" w:type="dxa"/>
            <w:tcBorders/>
            <w:vAlign w:val="center"/>
          </w:tcPr>
          <w:p>
            <w:pPr>
              <w:pStyle w:val="TableContents"/>
              <w:bidi w:val="0"/>
              <w:spacing w:before="0" w:after="283"/>
              <w:ind w:left="0" w:right="0" w:firstLine="720"/>
              <w:jc w:val="both"/>
              <w:rPr/>
            </w:pPr>
            <w:r>
              <w:rPr/>
              <w:t>For any Component, the Expiration Date therefor.</w:t>
            </w:r>
          </w:p>
        </w:tc>
      </w:tr>
      <w:tr>
        <w:trPr/>
        <w:tc>
          <w:tcPr>
            <w:tcW w:w="1889" w:type="dxa"/>
            <w:tcBorders/>
            <w:vAlign w:val="center"/>
          </w:tcPr>
          <w:p>
            <w:pPr>
              <w:pStyle w:val="TableContents"/>
              <w:bidi w:val="0"/>
              <w:spacing w:before="0" w:after="283"/>
              <w:jc w:val="left"/>
              <w:rPr/>
            </w:pPr>
            <w:r>
              <w:rPr/>
              <w:t> </w:t>
            </w:r>
          </w:p>
        </w:tc>
        <w:tc>
          <w:tcPr>
            <w:tcW w:w="8316" w:type="dxa"/>
            <w:tcBorders/>
            <w:vAlign w:val="center"/>
          </w:tcPr>
          <w:p>
            <w:pPr>
              <w:pStyle w:val="TableContents"/>
              <w:bidi w:val="0"/>
              <w:spacing w:before="0" w:after="283"/>
              <w:ind w:left="0" w:right="0" w:firstLine="720"/>
              <w:jc w:val="both"/>
              <w:rPr/>
            </w:pPr>
            <w:r>
              <w:rPr/>
              <w:t> </w:t>
            </w:r>
          </w:p>
        </w:tc>
      </w:tr>
      <w:tr>
        <w:trPr/>
        <w:tc>
          <w:tcPr>
            <w:tcW w:w="1889" w:type="dxa"/>
            <w:tcBorders/>
            <w:vAlign w:val="center"/>
          </w:tcPr>
          <w:p>
            <w:pPr>
              <w:pStyle w:val="TableContents"/>
              <w:bidi w:val="0"/>
              <w:spacing w:before="0" w:after="283"/>
              <w:jc w:val="left"/>
              <w:rPr/>
            </w:pPr>
            <w:r>
              <w:rPr/>
              <w:t>Market Disruption Event:</w:t>
            </w:r>
          </w:p>
        </w:tc>
        <w:tc>
          <w:tcPr>
            <w:tcW w:w="831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6.3(a) of the Equity Definitions is hereby amended by deleting the words “during the one hour period that ends at the relevant Valuation Time, Latest Exercise Time, Knock-in Valuation Time or Knock-out Valuation Time, as the case may be,” in clause (ii) thereof.</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6.3(d) of the Equity Definitions is hereby amended by deleting the remainder of the provision following the term “Scheduled Closing Time” in the fourth line thereof.</w:t>
            </w:r>
          </w:p>
        </w:tc>
      </w:tr>
      <w:tr>
        <w:trPr/>
        <w:tc>
          <w:tcPr>
            <w:tcW w:w="1889" w:type="dxa"/>
            <w:tcBorders/>
            <w:vAlign w:val="center"/>
          </w:tcPr>
          <w:p>
            <w:pPr>
              <w:pStyle w:val="TableContents"/>
              <w:bidi w:val="0"/>
              <w:spacing w:before="0" w:after="283"/>
              <w:jc w:val="left"/>
              <w:rPr/>
            </w:pPr>
            <w:r>
              <w:rPr/>
              <w:t> </w:t>
            </w:r>
          </w:p>
        </w:tc>
        <w:tc>
          <w:tcPr>
            <w:tcW w:w="8316" w:type="dxa"/>
            <w:tcBorders/>
            <w:vAlign w:val="center"/>
          </w:tcPr>
          <w:p>
            <w:pPr>
              <w:pStyle w:val="TableContents"/>
              <w:bidi w:val="0"/>
              <w:spacing w:before="0" w:after="283"/>
              <w:jc w:val="both"/>
              <w:rPr/>
            </w:pPr>
            <w:r>
              <w:rPr/>
              <w:t> </w:t>
            </w:r>
          </w:p>
        </w:tc>
      </w:tr>
      <w:tr>
        <w:trPr/>
        <w:tc>
          <w:tcPr>
            <w:tcW w:w="1889" w:type="dxa"/>
            <w:tcBorders/>
            <w:vAlign w:val="center"/>
          </w:tcPr>
          <w:p>
            <w:pPr>
              <w:pStyle w:val="TableContents"/>
              <w:bidi w:val="0"/>
              <w:spacing w:before="0" w:after="283"/>
              <w:jc w:val="left"/>
              <w:rPr/>
            </w:pPr>
            <w:r>
              <w:rPr/>
              <w:t>Settlement Terms:</w:t>
            </w:r>
          </w:p>
        </w:tc>
        <w:tc>
          <w:tcPr>
            <w:tcW w:w="8316" w:type="dxa"/>
            <w:tcBorders/>
            <w:vAlign w:val="center"/>
          </w:tcPr>
          <w:p>
            <w:pPr>
              <w:pStyle w:val="TableContents"/>
              <w:bidi w:val="0"/>
              <w:spacing w:before="0" w:after="283"/>
              <w:ind w:left="0" w:right="0" w:firstLine="720"/>
              <w:jc w:val="both"/>
              <w:rPr/>
            </w:pPr>
            <w:r>
              <w:rPr/>
              <w:t> </w:t>
            </w:r>
          </w:p>
        </w:tc>
      </w:tr>
      <w:tr>
        <w:trPr/>
        <w:tc>
          <w:tcPr>
            <w:tcW w:w="1889" w:type="dxa"/>
            <w:tcBorders/>
            <w:vAlign w:val="center"/>
          </w:tcPr>
          <w:p>
            <w:pPr>
              <w:pStyle w:val="TableContents"/>
              <w:bidi w:val="0"/>
              <w:spacing w:before="0" w:after="283"/>
              <w:jc w:val="left"/>
              <w:rPr/>
            </w:pPr>
            <w:r>
              <w:rPr/>
              <w:t> </w:t>
            </w:r>
          </w:p>
        </w:tc>
        <w:tc>
          <w:tcPr>
            <w:tcW w:w="8316" w:type="dxa"/>
            <w:tcBorders/>
            <w:vAlign w:val="center"/>
          </w:tcPr>
          <w:p>
            <w:pPr>
              <w:pStyle w:val="TableContents"/>
              <w:bidi w:val="0"/>
              <w:spacing w:before="0" w:after="283"/>
              <w:ind w:left="0" w:right="0" w:firstLine="720"/>
              <w:jc w:val="both"/>
              <w:rPr/>
            </w:pPr>
            <w:r>
              <w:rPr/>
              <w:t> </w:t>
            </w:r>
          </w:p>
        </w:tc>
      </w:tr>
      <w:tr>
        <w:trPr/>
        <w:tc>
          <w:tcPr>
            <w:tcW w:w="1889" w:type="dxa"/>
            <w:tcBorders/>
            <w:vAlign w:val="center"/>
          </w:tcPr>
          <w:p>
            <w:pPr>
              <w:pStyle w:val="TableContents"/>
              <w:bidi w:val="0"/>
              <w:spacing w:before="0" w:after="283"/>
              <w:jc w:val="left"/>
              <w:rPr/>
            </w:pPr>
            <w:r>
              <w:rPr/>
              <w:t>Settlement Method Election:</w:t>
            </w:r>
          </w:p>
        </w:tc>
        <w:tc>
          <w:tcPr>
            <w:tcW w:w="831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Applicable;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Section 7.1 of the Equity Definitions is hereby amended by replacing the term “Physical Settlement” with the term “Net Share Settlement or Combination Settlement”, (b) Counterparty must make a single irrevocable election for all Components and (c) if Counterparty is electing Cash Settlement or Combination Settlement, such Settlement Method Election will be effective only if Counterparty represents and warrants to Dealer in writing on the date of such Settlement Method Election that (i) Counterparty is not in possession of any material non-public information regarding Counterparty or the Shares, and (ii) such election is being made in good faith and not as part of a plan or scheme to evade compliance with the federal securities laws.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Counterparty is electing Combination Settlement, Counterparty shall also specify a specified dollar amount (the “</w:t>
            </w:r>
            <w:r>
              <w:rPr>
                <w:rFonts w:ascii="Times New Roman;Times;Serif" w:hAnsi="Times New Roman;Times;Serif"/>
                <w:b/>
                <w:i w:val="false"/>
                <w:caps w:val="false"/>
                <w:smallCaps w:val="false"/>
                <w:sz w:val="20"/>
              </w:rPr>
              <w:t>Specified Cash Amount</w:t>
            </w:r>
            <w:r>
              <w:rPr>
                <w:rFonts w:ascii="Times New Roman;Times;Serif" w:hAnsi="Times New Roman;Times;Serif"/>
                <w:b w:val="false"/>
                <w:i w:val="false"/>
                <w:caps w:val="false"/>
                <w:smallCaps w:val="false"/>
                <w:sz w:val="20"/>
              </w:rPr>
              <w:t>”) in the notice specifying its election of Combination Settlement.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generality of the foregoing, Counterparty acknowledges its responsibilities under applicable securities laws, and in particular Sections 9 and 10(b)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and the rules and regulations promulgated thereunder in respect of such election.</w:t>
            </w:r>
          </w:p>
        </w:tc>
      </w:tr>
      <w:tr>
        <w:trPr/>
        <w:tc>
          <w:tcPr>
            <w:tcW w:w="1889" w:type="dxa"/>
            <w:tcBorders/>
            <w:vAlign w:val="center"/>
          </w:tcPr>
          <w:p>
            <w:pPr>
              <w:pStyle w:val="TableContents"/>
              <w:bidi w:val="0"/>
              <w:spacing w:before="0" w:after="283"/>
              <w:jc w:val="left"/>
              <w:rPr/>
            </w:pPr>
            <w:r>
              <w:rPr/>
              <w:t> </w:t>
            </w:r>
          </w:p>
        </w:tc>
        <w:tc>
          <w:tcPr>
            <w:tcW w:w="8316" w:type="dxa"/>
            <w:tcBorders/>
            <w:vAlign w:val="center"/>
          </w:tcPr>
          <w:p>
            <w:pPr>
              <w:pStyle w:val="TableContents"/>
              <w:bidi w:val="0"/>
              <w:spacing w:before="0" w:after="283"/>
              <w:ind w:left="0" w:right="0" w:firstLine="720"/>
              <w:jc w:val="both"/>
              <w:rPr/>
            </w:pPr>
            <w:r>
              <w:rPr/>
              <w:t> </w:t>
            </w:r>
          </w:p>
        </w:tc>
      </w:tr>
      <w:tr>
        <w:trPr/>
        <w:tc>
          <w:tcPr>
            <w:tcW w:w="1889" w:type="dxa"/>
            <w:tcBorders/>
            <w:vAlign w:val="center"/>
          </w:tcPr>
          <w:p>
            <w:pPr>
              <w:pStyle w:val="TableContents"/>
              <w:bidi w:val="0"/>
              <w:spacing w:before="0" w:after="283"/>
              <w:jc w:val="left"/>
              <w:rPr/>
            </w:pPr>
            <w:r>
              <w:rPr/>
              <w:t>Electing Party:</w:t>
            </w:r>
          </w:p>
        </w:tc>
        <w:tc>
          <w:tcPr>
            <w:tcW w:w="8316" w:type="dxa"/>
            <w:tcBorders/>
            <w:vAlign w:val="center"/>
          </w:tcPr>
          <w:p>
            <w:pPr>
              <w:pStyle w:val="TableContents"/>
              <w:bidi w:val="0"/>
              <w:spacing w:before="0" w:after="283"/>
              <w:ind w:left="0" w:right="0" w:firstLine="720"/>
              <w:jc w:val="both"/>
              <w:rPr/>
            </w:pPr>
            <w:r>
              <w:rPr/>
              <w:t>Counterparty</w:t>
            </w:r>
          </w:p>
        </w:tc>
      </w:tr>
      <w:tr>
        <w:trPr/>
        <w:tc>
          <w:tcPr>
            <w:tcW w:w="1889" w:type="dxa"/>
            <w:tcBorders/>
            <w:vAlign w:val="center"/>
          </w:tcPr>
          <w:p>
            <w:pPr>
              <w:pStyle w:val="TableContents"/>
              <w:bidi w:val="0"/>
              <w:spacing w:before="0" w:after="283"/>
              <w:jc w:val="left"/>
              <w:rPr/>
            </w:pPr>
            <w:r>
              <w:rPr/>
              <w:t> </w:t>
            </w:r>
          </w:p>
        </w:tc>
        <w:tc>
          <w:tcPr>
            <w:tcW w:w="8316" w:type="dxa"/>
            <w:tcBorders/>
            <w:vAlign w:val="center"/>
          </w:tcPr>
          <w:p>
            <w:pPr>
              <w:pStyle w:val="TableContents"/>
              <w:bidi w:val="0"/>
              <w:spacing w:before="0" w:after="283"/>
              <w:ind w:left="0" w:right="0" w:firstLine="720"/>
              <w:jc w:val="both"/>
              <w:rPr/>
            </w:pPr>
            <w:r>
              <w:rPr/>
              <w:t> </w:t>
            </w:r>
          </w:p>
        </w:tc>
      </w:tr>
      <w:tr>
        <w:trPr/>
        <w:tc>
          <w:tcPr>
            <w:tcW w:w="1889" w:type="dxa"/>
            <w:tcBorders/>
            <w:vAlign w:val="center"/>
          </w:tcPr>
          <w:p>
            <w:pPr>
              <w:pStyle w:val="TableContents"/>
              <w:bidi w:val="0"/>
              <w:spacing w:before="0" w:after="283"/>
              <w:jc w:val="left"/>
              <w:rPr/>
            </w:pPr>
            <w:r>
              <w:rPr/>
              <w:t>Settlement Method Election Date:</w:t>
            </w:r>
          </w:p>
        </w:tc>
        <w:tc>
          <w:tcPr>
            <w:tcW w:w="8316" w:type="dxa"/>
            <w:tcBorders/>
            <w:vAlign w:val="center"/>
          </w:tcPr>
          <w:p>
            <w:pPr>
              <w:pStyle w:val="TableContents"/>
              <w:bidi w:val="0"/>
              <w:spacing w:before="0" w:after="283"/>
              <w:ind w:left="0" w:right="0" w:firstLine="720"/>
              <w:jc w:val="both"/>
              <w:rPr/>
            </w:pPr>
            <w:r>
              <w:rPr/>
              <w:t>The second Scheduled Valid Day prior to the scheduled Expiration Date for the Component with the earliest scheduled Expiration Date.</w:t>
            </w:r>
          </w:p>
        </w:tc>
      </w:tr>
      <w:tr>
        <w:trPr/>
        <w:tc>
          <w:tcPr>
            <w:tcW w:w="1889" w:type="dxa"/>
            <w:tcBorders/>
            <w:vAlign w:val="center"/>
          </w:tcPr>
          <w:p>
            <w:pPr>
              <w:pStyle w:val="TableContents"/>
              <w:bidi w:val="0"/>
              <w:spacing w:before="0" w:after="283"/>
              <w:jc w:val="left"/>
              <w:rPr/>
            </w:pPr>
            <w:r>
              <w:rPr/>
              <w:t> </w:t>
            </w:r>
          </w:p>
        </w:tc>
        <w:tc>
          <w:tcPr>
            <w:tcW w:w="8316" w:type="dxa"/>
            <w:tcBorders/>
            <w:vAlign w:val="center"/>
          </w:tcPr>
          <w:p>
            <w:pPr>
              <w:pStyle w:val="TableContents"/>
              <w:bidi w:val="0"/>
              <w:spacing w:before="0" w:after="283"/>
              <w:ind w:left="0" w:right="0" w:firstLine="720"/>
              <w:jc w:val="both"/>
              <w:rPr/>
            </w:pPr>
            <w:r>
              <w:rPr/>
              <w:t> </w:t>
            </w:r>
          </w:p>
        </w:tc>
      </w:tr>
      <w:tr>
        <w:trPr/>
        <w:tc>
          <w:tcPr>
            <w:tcW w:w="1889" w:type="dxa"/>
            <w:tcBorders/>
            <w:vAlign w:val="center"/>
          </w:tcPr>
          <w:p>
            <w:pPr>
              <w:pStyle w:val="TableContents"/>
              <w:bidi w:val="0"/>
              <w:spacing w:before="0" w:after="283"/>
              <w:jc w:val="left"/>
              <w:rPr/>
            </w:pPr>
            <w:r>
              <w:rPr/>
              <w:t>Default Settlement Method:</w:t>
            </w:r>
          </w:p>
        </w:tc>
        <w:tc>
          <w:tcPr>
            <w:tcW w:w="8316" w:type="dxa"/>
            <w:tcBorders/>
            <w:vAlign w:val="center"/>
          </w:tcPr>
          <w:p>
            <w:pPr>
              <w:pStyle w:val="TableContents"/>
              <w:bidi w:val="0"/>
              <w:spacing w:before="0" w:after="283"/>
              <w:jc w:val="both"/>
              <w:rPr/>
            </w:pPr>
            <w:r>
              <w:rPr/>
              <w:t>Net Share Settlement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118"/>
        <w:gridCol w:w="8087"/>
      </w:tblGrid>
      <w:tr>
        <w:trPr/>
        <w:tc>
          <w:tcPr>
            <w:tcW w:w="2118" w:type="dxa"/>
            <w:tcBorders/>
            <w:vAlign w:val="center"/>
          </w:tcPr>
          <w:p>
            <w:pPr>
              <w:pStyle w:val="TableContents"/>
              <w:bidi w:val="0"/>
              <w:spacing w:before="0" w:after="283"/>
              <w:ind w:left="0" w:right="0" w:firstLine="720"/>
              <w:jc w:val="left"/>
              <w:rPr/>
            </w:pPr>
            <w:r>
              <w:rPr/>
              <w:t>Net Share Settlement:</w:t>
            </w:r>
          </w:p>
        </w:tc>
        <w:tc>
          <w:tcPr>
            <w:tcW w:w="808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any Component, if Net Share Settlement is applicable to the Options exercised or deemed exercised hereunder, Dealer will deliver to Counterparty, on the Settlement Date, a number of Shares (the “</w:t>
            </w:r>
            <w:r>
              <w:rPr>
                <w:rFonts w:ascii="Times New Roman;Times;Serif" w:hAnsi="Times New Roman;Times;Serif"/>
                <w:b/>
                <w:i w:val="false"/>
                <w:caps w:val="false"/>
                <w:smallCaps w:val="false"/>
                <w:sz w:val="20"/>
              </w:rPr>
              <w:t>Net Share Settlement Amount</w:t>
            </w:r>
            <w:r>
              <w:rPr>
                <w:rFonts w:ascii="Times New Roman;Times;Serif" w:hAnsi="Times New Roman;Times;Serif"/>
                <w:b w:val="false"/>
                <w:i w:val="false"/>
                <w:caps w:val="false"/>
                <w:smallCaps w:val="false"/>
                <w:sz w:val="20"/>
              </w:rPr>
              <w:t xml:space="preserve">”) equal to (i) the Daily Option Value on the Expiration Date of such Component </w:t>
            </w:r>
            <w:r>
              <w:rPr>
                <w:rFonts w:ascii="Times New Roman;Times;Serif" w:hAnsi="Times New Roman;Times;Serif"/>
                <w:b w:val="false"/>
                <w:i/>
                <w:caps w:val="false"/>
                <w:smallCaps w:val="false"/>
                <w:sz w:val="20"/>
              </w:rPr>
              <w:t>divided by</w:t>
            </w:r>
            <w:r>
              <w:rPr>
                <w:rFonts w:ascii="Times New Roman;Times;Serif" w:hAnsi="Times New Roman;Times;Serif"/>
                <w:b w:val="false"/>
                <w:i w:val="false"/>
                <w:caps w:val="false"/>
                <w:smallCaps w:val="false"/>
                <w:sz w:val="20"/>
              </w:rPr>
              <w:t xml:space="preserve"> (ii) the Relevant Price on such Expiration Date.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 will deliver cash in lieu of any fractional Shares to be delivered with respect to any Net Share Settlement Amount valued at the Relevant Price for the Expiration Date of such Component.</w:t>
            </w:r>
          </w:p>
        </w:tc>
      </w:tr>
      <w:tr>
        <w:trPr/>
        <w:tc>
          <w:tcPr>
            <w:tcW w:w="2118" w:type="dxa"/>
            <w:tcBorders/>
            <w:vAlign w:val="center"/>
          </w:tcPr>
          <w:p>
            <w:pPr>
              <w:pStyle w:val="TableContents"/>
              <w:bidi w:val="0"/>
              <w:spacing w:before="0" w:after="283"/>
              <w:jc w:val="left"/>
              <w:rPr/>
            </w:pPr>
            <w:r>
              <w:rPr/>
              <w:t> </w:t>
            </w:r>
          </w:p>
        </w:tc>
        <w:tc>
          <w:tcPr>
            <w:tcW w:w="8087" w:type="dxa"/>
            <w:tcBorders/>
            <w:vAlign w:val="center"/>
          </w:tcPr>
          <w:p>
            <w:pPr>
              <w:pStyle w:val="TableContents"/>
              <w:bidi w:val="0"/>
              <w:spacing w:before="0" w:after="283"/>
              <w:ind w:left="0" w:right="0" w:firstLine="720"/>
              <w:jc w:val="both"/>
              <w:rPr/>
            </w:pPr>
            <w:r>
              <w:rPr/>
              <w:t> </w:t>
            </w:r>
          </w:p>
        </w:tc>
      </w:tr>
      <w:tr>
        <w:trPr/>
        <w:tc>
          <w:tcPr>
            <w:tcW w:w="2118" w:type="dxa"/>
            <w:tcBorders/>
            <w:vAlign w:val="center"/>
          </w:tcPr>
          <w:p>
            <w:pPr>
              <w:pStyle w:val="TableContents"/>
              <w:bidi w:val="0"/>
              <w:spacing w:before="0" w:after="283"/>
              <w:jc w:val="left"/>
              <w:rPr/>
            </w:pPr>
            <w:r>
              <w:rPr/>
              <w:t>Cash Settlement:</w:t>
            </w:r>
          </w:p>
        </w:tc>
        <w:tc>
          <w:tcPr>
            <w:tcW w:w="8087" w:type="dxa"/>
            <w:tcBorders/>
            <w:vAlign w:val="center"/>
          </w:tcPr>
          <w:p>
            <w:pPr>
              <w:pStyle w:val="TableContents"/>
              <w:bidi w:val="0"/>
              <w:spacing w:before="0" w:after="283"/>
              <w:ind w:left="0" w:right="0" w:firstLine="720"/>
              <w:jc w:val="both"/>
              <w:rPr/>
            </w:pPr>
            <w:r>
              <w:rPr/>
              <w:t>With respect to any Component, if Cash Settlement is applicable to the Options exercised or deemed exercised hereunder, in lieu of Section 8.1 of the Equity Definitions, Dealer will pay to Counterparty, on the Settlement Date, an amount of cash (the “</w:t>
            </w:r>
            <w:r>
              <w:rPr>
                <w:b/>
              </w:rPr>
              <w:t>Cash Settlement Amount</w:t>
            </w:r>
            <w:r>
              <w:rPr/>
              <w:t>”) equal to the Daily Option Value on the Expiration Date of such Component.</w:t>
            </w:r>
          </w:p>
        </w:tc>
      </w:tr>
      <w:tr>
        <w:trPr/>
        <w:tc>
          <w:tcPr>
            <w:tcW w:w="2118" w:type="dxa"/>
            <w:tcBorders/>
            <w:vAlign w:val="center"/>
          </w:tcPr>
          <w:p>
            <w:pPr>
              <w:pStyle w:val="TableContents"/>
              <w:bidi w:val="0"/>
              <w:spacing w:before="0" w:after="283"/>
              <w:jc w:val="left"/>
              <w:rPr/>
            </w:pPr>
            <w:r>
              <w:rPr/>
              <w:t> </w:t>
            </w:r>
          </w:p>
        </w:tc>
        <w:tc>
          <w:tcPr>
            <w:tcW w:w="8087" w:type="dxa"/>
            <w:tcBorders/>
            <w:vAlign w:val="center"/>
          </w:tcPr>
          <w:p>
            <w:pPr>
              <w:pStyle w:val="TableContents"/>
              <w:bidi w:val="0"/>
              <w:spacing w:before="0" w:after="283"/>
              <w:ind w:left="0" w:right="0" w:firstLine="720"/>
              <w:jc w:val="both"/>
              <w:rPr/>
            </w:pPr>
            <w:r>
              <w:rPr/>
              <w:t> </w:t>
            </w:r>
          </w:p>
        </w:tc>
      </w:tr>
      <w:tr>
        <w:trPr/>
        <w:tc>
          <w:tcPr>
            <w:tcW w:w="2118" w:type="dxa"/>
            <w:tcBorders/>
            <w:vAlign w:val="center"/>
          </w:tcPr>
          <w:p>
            <w:pPr>
              <w:pStyle w:val="TableContents"/>
              <w:bidi w:val="0"/>
              <w:spacing w:before="0" w:after="283"/>
              <w:ind w:left="0" w:right="0" w:firstLine="720"/>
              <w:jc w:val="left"/>
              <w:rPr/>
            </w:pPr>
            <w:r>
              <w:rPr/>
              <w:t>Combination Settlement:</w:t>
            </w:r>
          </w:p>
        </w:tc>
        <w:tc>
          <w:tcPr>
            <w:tcW w:w="808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any Component, if Combination Settlement is applicable to the Options exercised or deemed exercised hereunder, Dealer will pay or deliver, as the case may be, to Counterparty on the Settlement Date: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400" w:right="0" w:hanging="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 amount of cash (the “</w:t>
            </w:r>
            <w:r>
              <w:rPr>
                <w:rFonts w:ascii="Times New Roman;Times;Serif" w:hAnsi="Times New Roman;Times;Serif"/>
                <w:b/>
                <w:i w:val="false"/>
                <w:caps w:val="false"/>
                <w:smallCaps w:val="false"/>
                <w:sz w:val="20"/>
              </w:rPr>
              <w:t>Combination Settlement Cash Amount</w:t>
            </w:r>
            <w:r>
              <w:rPr>
                <w:rFonts w:ascii="Times New Roman;Times;Serif" w:hAnsi="Times New Roman;Times;Serif"/>
                <w:b w:val="false"/>
                <w:i w:val="false"/>
                <w:caps w:val="false"/>
                <w:smallCaps w:val="false"/>
                <w:sz w:val="20"/>
              </w:rPr>
              <w:t xml:space="preserve">”) equal to the lesser of (A) the Specified Cash Amount </w:t>
            </w:r>
            <w:r>
              <w:rPr>
                <w:rFonts w:ascii="Times New Roman;Times;Serif" w:hAnsi="Times New Roman;Times;Serif"/>
                <w:b w:val="false"/>
                <w:i/>
                <w:caps w:val="false"/>
                <w:smallCaps w:val="false"/>
                <w:sz w:val="20"/>
              </w:rPr>
              <w:t>divided by</w:t>
            </w:r>
            <w:r>
              <w:rPr>
                <w:rFonts w:ascii="Times New Roman;Times;Serif" w:hAnsi="Times New Roman;Times;Serif"/>
                <w:b w:val="false"/>
                <w:i w:val="false"/>
                <w:caps w:val="false"/>
                <w:smallCaps w:val="false"/>
                <w:sz w:val="20"/>
              </w:rPr>
              <w:t xml:space="preserve"> the number of Components for the Transaction and (B) the Daily Option Value on the Expiration Date of such Component; and</w:t>
            </w:r>
          </w:p>
          <w:p>
            <w:pPr>
              <w:pStyle w:val="TableContents"/>
              <w:bidi w:val="0"/>
              <w:spacing w:before="0" w:after="0"/>
              <w:ind w:left="400" w:right="0" w:hanging="400"/>
              <w:jc w:val="both"/>
              <w:rPr>
                <w:caps w:val="false"/>
                <w:smallCaps w:val="false"/>
              </w:rPr>
            </w:pPr>
            <w:r>
              <w:rPr>
                <w:caps w:val="false"/>
                <w:smallCaps w:val="false"/>
              </w:rPr>
              <w:t> </w:t>
            </w:r>
          </w:p>
          <w:p>
            <w:pPr>
              <w:pStyle w:val="TableContents"/>
              <w:bidi w:val="0"/>
              <w:spacing w:before="0" w:after="0"/>
              <w:ind w:left="400" w:right="0" w:hanging="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number of Shares (the “</w:t>
            </w:r>
            <w:r>
              <w:rPr>
                <w:rFonts w:ascii="Times New Roman;Times;Serif" w:hAnsi="Times New Roman;Times;Serif"/>
                <w:b/>
                <w:i w:val="false"/>
                <w:caps w:val="false"/>
                <w:smallCaps w:val="false"/>
                <w:sz w:val="20"/>
              </w:rPr>
              <w:t>Combination Settlement Share Amount</w:t>
            </w:r>
            <w:r>
              <w:rPr>
                <w:rFonts w:ascii="Times New Roman;Times;Serif" w:hAnsi="Times New Roman;Times;Serif"/>
                <w:b w:val="false"/>
                <w:i w:val="false"/>
                <w:caps w:val="false"/>
                <w:smallCaps w:val="false"/>
                <w:sz w:val="20"/>
              </w:rPr>
              <w:t>” and, together with the Combination Settlement Cash Amount, the “</w:t>
            </w:r>
            <w:r>
              <w:rPr>
                <w:rFonts w:ascii="Times New Roman;Times;Serif" w:hAnsi="Times New Roman;Times;Serif"/>
                <w:b/>
                <w:i w:val="false"/>
                <w:caps w:val="false"/>
                <w:smallCaps w:val="false"/>
                <w:sz w:val="20"/>
              </w:rPr>
              <w:t>Combination Settlement Amount</w:t>
            </w:r>
            <w:r>
              <w:rPr>
                <w:rFonts w:ascii="Times New Roman;Times;Serif" w:hAnsi="Times New Roman;Times;Serif"/>
                <w:b w:val="false"/>
                <w:i w:val="false"/>
                <w:caps w:val="false"/>
                <w:smallCaps w:val="false"/>
                <w:sz w:val="20"/>
              </w:rPr>
              <w:t xml:space="preserve">”) equal to (A) the excess of (1) the Daily Option Value on the Expiration Date of such Component over the (2) the Specified Cash Amount </w:t>
            </w:r>
            <w:r>
              <w:rPr>
                <w:rFonts w:ascii="Times New Roman;Times;Serif" w:hAnsi="Times New Roman;Times;Serif"/>
                <w:b w:val="false"/>
                <w:i/>
                <w:caps w:val="false"/>
                <w:smallCaps w:val="false"/>
                <w:sz w:val="20"/>
              </w:rPr>
              <w:t>divided by</w:t>
            </w:r>
            <w:r>
              <w:rPr>
                <w:rFonts w:ascii="Times New Roman;Times;Serif" w:hAnsi="Times New Roman;Times;Serif"/>
                <w:b w:val="false"/>
                <w:i w:val="false"/>
                <w:caps w:val="false"/>
                <w:smallCaps w:val="false"/>
                <w:sz w:val="20"/>
              </w:rPr>
              <w:t xml:space="preserve"> the number of Components for the Transaction, </w:t>
            </w:r>
            <w:r>
              <w:rPr>
                <w:rFonts w:ascii="Times New Roman;Times;Serif" w:hAnsi="Times New Roman;Times;Serif"/>
                <w:b w:val="false"/>
                <w:i/>
                <w:caps w:val="false"/>
                <w:smallCaps w:val="false"/>
                <w:sz w:val="20"/>
              </w:rPr>
              <w:t>divided by</w:t>
            </w:r>
            <w:r>
              <w:rPr>
                <w:rFonts w:ascii="Times New Roman;Times;Serif" w:hAnsi="Times New Roman;Times;Serif"/>
                <w:b w:val="false"/>
                <w:i w:val="false"/>
                <w:caps w:val="false"/>
                <w:smallCaps w:val="false"/>
                <w:sz w:val="20"/>
              </w:rPr>
              <w:t xml:space="preserve"> (B) the Relevant Price on such Expiration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calculation in sub-clause (A) above results in zero or a negative number for any Expiration Date, the Combination Settlement Share Amount for such Expiration Date shall be deemed to be zero.</w:t>
            </w:r>
          </w:p>
          <w:p>
            <w:pPr>
              <w:pStyle w:val="TableContents"/>
              <w:bidi w:val="0"/>
              <w:spacing w:before="0" w:after="0"/>
              <w:ind w:left="400" w:right="0" w:hanging="40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 will deliver cash in lieu of any fractional Shares to be delivered with respect to any Combination Settlement Share Amount valued at the Relevant Price for the Expiration Date of such Component.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delivery of the Net Share Settlement Amount or Combination Settlement Share Amount, as the case may be, by Dealer to Counterparty shall be effected by way of share repurchase by Counterparty or by share surrender for no consideration by Dealer as a matter of Cayman Islands law.</w:t>
            </w:r>
          </w:p>
        </w:tc>
      </w:tr>
      <w:tr>
        <w:trPr/>
        <w:tc>
          <w:tcPr>
            <w:tcW w:w="2118" w:type="dxa"/>
            <w:tcBorders/>
            <w:vAlign w:val="center"/>
          </w:tcPr>
          <w:p>
            <w:pPr>
              <w:pStyle w:val="TableContents"/>
              <w:bidi w:val="0"/>
              <w:spacing w:before="0" w:after="283"/>
              <w:jc w:val="left"/>
              <w:rPr/>
            </w:pPr>
            <w:r>
              <w:rPr/>
              <w:t> </w:t>
            </w:r>
          </w:p>
        </w:tc>
        <w:tc>
          <w:tcPr>
            <w:tcW w:w="8087" w:type="dxa"/>
            <w:tcBorders/>
            <w:vAlign w:val="center"/>
          </w:tcPr>
          <w:p>
            <w:pPr>
              <w:pStyle w:val="TableContents"/>
              <w:bidi w:val="0"/>
              <w:spacing w:before="0" w:after="283"/>
              <w:ind w:left="0" w:right="0" w:firstLine="720"/>
              <w:jc w:val="both"/>
              <w:rPr/>
            </w:pPr>
            <w:r>
              <w:rPr/>
              <w:t> </w:t>
            </w:r>
          </w:p>
        </w:tc>
      </w:tr>
      <w:tr>
        <w:trPr/>
        <w:tc>
          <w:tcPr>
            <w:tcW w:w="2118" w:type="dxa"/>
            <w:tcBorders/>
            <w:vAlign w:val="center"/>
          </w:tcPr>
          <w:p>
            <w:pPr>
              <w:pStyle w:val="TableContents"/>
              <w:bidi w:val="0"/>
              <w:spacing w:before="0" w:after="283"/>
              <w:jc w:val="left"/>
              <w:rPr/>
            </w:pPr>
            <w:r>
              <w:rPr/>
              <w:t>Delivery Obligation:</w:t>
            </w:r>
          </w:p>
        </w:tc>
        <w:tc>
          <w:tcPr>
            <w:tcW w:w="8087" w:type="dxa"/>
            <w:tcBorders/>
            <w:vAlign w:val="center"/>
          </w:tcPr>
          <w:p>
            <w:pPr>
              <w:pStyle w:val="TableContents"/>
              <w:bidi w:val="0"/>
              <w:spacing w:before="0" w:after="283"/>
              <w:jc w:val="both"/>
              <w:rPr/>
            </w:pPr>
            <w:r>
              <w:rPr/>
              <w:t>The Net Share Settlement Amount, the Cash Settlement Amount or the Combination Settlement Amount payable or deliverable in respect of all Components on the Settlement Date.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21"/>
        <w:gridCol w:w="8684"/>
      </w:tblGrid>
      <w:tr>
        <w:trPr/>
        <w:tc>
          <w:tcPr>
            <w:tcW w:w="1521" w:type="dxa"/>
            <w:tcBorders/>
            <w:vAlign w:val="center"/>
          </w:tcPr>
          <w:p>
            <w:pPr>
              <w:pStyle w:val="TableContents"/>
              <w:bidi w:val="0"/>
              <w:spacing w:before="0" w:after="283"/>
              <w:ind w:left="0" w:right="0" w:firstLine="720"/>
              <w:jc w:val="left"/>
              <w:rPr/>
            </w:pPr>
            <w:r>
              <w:rPr/>
              <w:t>Daily Option Value:</w:t>
            </w:r>
          </w:p>
        </w:tc>
        <w:tc>
          <w:tcPr>
            <w:tcW w:w="8684" w:type="dxa"/>
            <w:tcBorders/>
            <w:vAlign w:val="center"/>
          </w:tcPr>
          <w:p>
            <w:pPr>
              <w:pStyle w:val="TableContents"/>
              <w:bidi w:val="0"/>
              <w:spacing w:before="0" w:after="283"/>
              <w:ind w:left="0" w:right="0" w:firstLine="720"/>
              <w:jc w:val="both"/>
              <w:rPr/>
            </w:pPr>
            <w:r>
              <w:rPr/>
              <w:t xml:space="preserve">For any Component, an amount equal to (i) the Number of Options in such Component, </w:t>
            </w:r>
            <w:r>
              <w:rPr>
                <w:i/>
              </w:rPr>
              <w:t>multiplied by</w:t>
            </w:r>
            <w:r>
              <w:rPr/>
              <w:t xml:space="preserve"> (ii) the Option Entitlement multiplied by (iii)(A) the lesser of the Relevant Price on the Expiration Date of such Component and the Cap Price, minus (B) the Strike Price on such Expiration Date; </w:t>
            </w:r>
            <w:r>
              <w:rPr>
                <w:i/>
              </w:rPr>
              <w:t>provided</w:t>
            </w:r>
            <w:r>
              <w:rPr/>
              <w:t xml:space="preserve"> that if the calculation contained in clause (iii) above results in a negative number, the Daily Option Value for such Component shall be deemed to be zero. In no event will the Daily Option Value be less than zero.</w:t>
            </w:r>
          </w:p>
        </w:tc>
      </w:tr>
      <w:tr>
        <w:trPr/>
        <w:tc>
          <w:tcPr>
            <w:tcW w:w="1521" w:type="dxa"/>
            <w:tcBorders/>
            <w:vAlign w:val="center"/>
          </w:tcPr>
          <w:p>
            <w:pPr>
              <w:pStyle w:val="TableContents"/>
              <w:bidi w:val="0"/>
              <w:spacing w:before="0" w:after="283"/>
              <w:jc w:val="left"/>
              <w:rPr/>
            </w:pPr>
            <w:r>
              <w:rPr/>
              <w:t> </w:t>
            </w:r>
          </w:p>
        </w:tc>
        <w:tc>
          <w:tcPr>
            <w:tcW w:w="8684" w:type="dxa"/>
            <w:tcBorders/>
            <w:vAlign w:val="center"/>
          </w:tcPr>
          <w:p>
            <w:pPr>
              <w:pStyle w:val="TableContents"/>
              <w:bidi w:val="0"/>
              <w:spacing w:before="0" w:after="283"/>
              <w:ind w:left="0" w:right="0" w:firstLine="720"/>
              <w:jc w:val="both"/>
              <w:rPr/>
            </w:pPr>
            <w:r>
              <w:rPr/>
              <w:t> </w:t>
            </w:r>
          </w:p>
        </w:tc>
      </w:tr>
      <w:tr>
        <w:trPr/>
        <w:tc>
          <w:tcPr>
            <w:tcW w:w="1521" w:type="dxa"/>
            <w:tcBorders/>
            <w:vAlign w:val="center"/>
          </w:tcPr>
          <w:p>
            <w:pPr>
              <w:pStyle w:val="TableContents"/>
              <w:bidi w:val="0"/>
              <w:spacing w:before="0" w:after="283"/>
              <w:jc w:val="left"/>
              <w:rPr/>
            </w:pPr>
            <w:r>
              <w:rPr/>
              <w:t>Valid Day:</w:t>
            </w:r>
          </w:p>
        </w:tc>
        <w:tc>
          <w:tcPr>
            <w:tcW w:w="8684" w:type="dxa"/>
            <w:tcBorders/>
            <w:vAlign w:val="center"/>
          </w:tcPr>
          <w:p>
            <w:pPr>
              <w:pStyle w:val="TableContents"/>
              <w:bidi w:val="0"/>
              <w:spacing w:before="0" w:after="283"/>
              <w:ind w:left="0" w:right="0" w:firstLine="720"/>
              <w:jc w:val="both"/>
              <w:rPr/>
            </w:pPr>
            <w:r>
              <w:rPr/>
              <w:t>A day on which (i) there is no Market Disruption Event and (ii) trading in the Shares generally occurs on the Exchange. If the Shares are not listed, quoted or traded on any U.S. securities exchange or any other market, “</w:t>
            </w:r>
            <w:r>
              <w:rPr>
                <w:b/>
              </w:rPr>
              <w:t>Valid Day</w:t>
            </w:r>
            <w:r>
              <w:rPr/>
              <w:t>” means a Business Day.</w:t>
            </w:r>
          </w:p>
        </w:tc>
      </w:tr>
      <w:tr>
        <w:trPr/>
        <w:tc>
          <w:tcPr>
            <w:tcW w:w="1521" w:type="dxa"/>
            <w:tcBorders/>
            <w:vAlign w:val="center"/>
          </w:tcPr>
          <w:p>
            <w:pPr>
              <w:pStyle w:val="TableContents"/>
              <w:bidi w:val="0"/>
              <w:spacing w:before="0" w:after="283"/>
              <w:jc w:val="left"/>
              <w:rPr/>
            </w:pPr>
            <w:r>
              <w:rPr/>
              <w:t> </w:t>
            </w:r>
          </w:p>
        </w:tc>
        <w:tc>
          <w:tcPr>
            <w:tcW w:w="8684" w:type="dxa"/>
            <w:tcBorders/>
            <w:vAlign w:val="center"/>
          </w:tcPr>
          <w:p>
            <w:pPr>
              <w:pStyle w:val="TableContents"/>
              <w:bidi w:val="0"/>
              <w:spacing w:before="0" w:after="283"/>
              <w:ind w:left="0" w:right="0" w:firstLine="720"/>
              <w:jc w:val="both"/>
              <w:rPr/>
            </w:pPr>
            <w:r>
              <w:rPr/>
              <w:t> </w:t>
            </w:r>
          </w:p>
        </w:tc>
      </w:tr>
      <w:tr>
        <w:trPr/>
        <w:tc>
          <w:tcPr>
            <w:tcW w:w="1521" w:type="dxa"/>
            <w:tcBorders/>
            <w:vAlign w:val="center"/>
          </w:tcPr>
          <w:p>
            <w:pPr>
              <w:pStyle w:val="TableContents"/>
              <w:bidi w:val="0"/>
              <w:spacing w:before="0" w:after="283"/>
              <w:jc w:val="left"/>
              <w:rPr/>
            </w:pPr>
            <w:r>
              <w:rPr/>
              <w:t>Scheduled Valid Day:</w:t>
            </w:r>
          </w:p>
        </w:tc>
        <w:tc>
          <w:tcPr>
            <w:tcW w:w="8684" w:type="dxa"/>
            <w:tcBorders/>
            <w:vAlign w:val="center"/>
          </w:tcPr>
          <w:p>
            <w:pPr>
              <w:pStyle w:val="TableContents"/>
              <w:bidi w:val="0"/>
              <w:spacing w:before="0" w:after="283"/>
              <w:ind w:left="0" w:right="0" w:firstLine="720"/>
              <w:jc w:val="both"/>
              <w:rPr/>
            </w:pPr>
            <w:r>
              <w:rPr/>
              <w:t>A day that is scheduled to be a Valid Day on the Exchange. If the Shares are not listed, quoted or traded on any U.S. securities exchange or any other market, “</w:t>
            </w:r>
            <w:r>
              <w:rPr>
                <w:b/>
              </w:rPr>
              <w:t>Scheduled Valid Day</w:t>
            </w:r>
            <w:r>
              <w:rPr/>
              <w:t>” means a Business Day.</w:t>
            </w:r>
          </w:p>
        </w:tc>
      </w:tr>
      <w:tr>
        <w:trPr/>
        <w:tc>
          <w:tcPr>
            <w:tcW w:w="1521" w:type="dxa"/>
            <w:tcBorders/>
            <w:vAlign w:val="center"/>
          </w:tcPr>
          <w:p>
            <w:pPr>
              <w:pStyle w:val="TableContents"/>
              <w:bidi w:val="0"/>
              <w:spacing w:before="0" w:after="283"/>
              <w:jc w:val="left"/>
              <w:rPr/>
            </w:pPr>
            <w:r>
              <w:rPr/>
              <w:t> </w:t>
            </w:r>
          </w:p>
        </w:tc>
        <w:tc>
          <w:tcPr>
            <w:tcW w:w="8684" w:type="dxa"/>
            <w:tcBorders/>
            <w:vAlign w:val="center"/>
          </w:tcPr>
          <w:p>
            <w:pPr>
              <w:pStyle w:val="TableContents"/>
              <w:bidi w:val="0"/>
              <w:spacing w:before="0" w:after="283"/>
              <w:ind w:left="0" w:right="0" w:firstLine="720"/>
              <w:jc w:val="both"/>
              <w:rPr/>
            </w:pPr>
            <w:r>
              <w:rPr/>
              <w:t> </w:t>
            </w:r>
          </w:p>
        </w:tc>
      </w:tr>
      <w:tr>
        <w:trPr/>
        <w:tc>
          <w:tcPr>
            <w:tcW w:w="1521" w:type="dxa"/>
            <w:tcBorders/>
            <w:vAlign w:val="center"/>
          </w:tcPr>
          <w:p>
            <w:pPr>
              <w:pStyle w:val="TableContents"/>
              <w:bidi w:val="0"/>
              <w:spacing w:before="0" w:after="283"/>
              <w:jc w:val="left"/>
              <w:rPr/>
            </w:pPr>
            <w:r>
              <w:rPr/>
              <w:t>Business Day:</w:t>
            </w:r>
          </w:p>
        </w:tc>
        <w:tc>
          <w:tcPr>
            <w:tcW w:w="8684" w:type="dxa"/>
            <w:tcBorders/>
            <w:vAlign w:val="center"/>
          </w:tcPr>
          <w:p>
            <w:pPr>
              <w:pStyle w:val="TableContents"/>
              <w:bidi w:val="0"/>
              <w:spacing w:before="0" w:after="283"/>
              <w:ind w:left="0" w:right="0" w:firstLine="720"/>
              <w:jc w:val="both"/>
              <w:rPr/>
            </w:pPr>
            <w:r>
              <w:rPr/>
              <w:t>Any day other than a Saturday, a Sunday or other day on which banking institutions are authorized or required by law, regulation or executive order to close or be closed in the State of New York.</w:t>
            </w:r>
          </w:p>
        </w:tc>
      </w:tr>
      <w:tr>
        <w:trPr/>
        <w:tc>
          <w:tcPr>
            <w:tcW w:w="1521" w:type="dxa"/>
            <w:tcBorders/>
            <w:vAlign w:val="center"/>
          </w:tcPr>
          <w:p>
            <w:pPr>
              <w:pStyle w:val="TableContents"/>
              <w:bidi w:val="0"/>
              <w:spacing w:before="0" w:after="283"/>
              <w:jc w:val="left"/>
              <w:rPr/>
            </w:pPr>
            <w:r>
              <w:rPr/>
              <w:t> </w:t>
            </w:r>
          </w:p>
        </w:tc>
        <w:tc>
          <w:tcPr>
            <w:tcW w:w="8684" w:type="dxa"/>
            <w:tcBorders/>
            <w:vAlign w:val="center"/>
          </w:tcPr>
          <w:p>
            <w:pPr>
              <w:pStyle w:val="TableContents"/>
              <w:bidi w:val="0"/>
              <w:spacing w:before="0" w:after="283"/>
              <w:ind w:left="0" w:right="0" w:firstLine="720"/>
              <w:jc w:val="both"/>
              <w:rPr/>
            </w:pPr>
            <w:r>
              <w:rPr/>
              <w:t> </w:t>
            </w:r>
          </w:p>
        </w:tc>
      </w:tr>
      <w:tr>
        <w:trPr/>
        <w:tc>
          <w:tcPr>
            <w:tcW w:w="1521" w:type="dxa"/>
            <w:tcBorders/>
            <w:vAlign w:val="center"/>
          </w:tcPr>
          <w:p>
            <w:pPr>
              <w:pStyle w:val="TableContents"/>
              <w:bidi w:val="0"/>
              <w:spacing w:before="0" w:after="283"/>
              <w:jc w:val="left"/>
              <w:rPr/>
            </w:pPr>
            <w:r>
              <w:rPr/>
              <w:t>Relevant Price:</w:t>
            </w:r>
          </w:p>
        </w:tc>
        <w:tc>
          <w:tcPr>
            <w:tcW w:w="8684" w:type="dxa"/>
            <w:tcBorders/>
            <w:vAlign w:val="center"/>
          </w:tcPr>
          <w:p>
            <w:pPr>
              <w:pStyle w:val="TableContents"/>
              <w:bidi w:val="0"/>
              <w:spacing w:before="0" w:after="283"/>
              <w:ind w:left="0" w:right="0" w:firstLine="720"/>
              <w:jc w:val="both"/>
              <w:rPr/>
            </w:pPr>
            <w:r>
              <w:rPr/>
              <w:t>On any Valid Day, the per Share volume-weighted average price as displayed under the heading “Bloomberg VWAP” on Bloomberg page “BTDR &lt;equity&gt; AQR” (or its equivalent successor if such page is not available) (the “</w:t>
            </w:r>
            <w:r>
              <w:rPr>
                <w:b/>
              </w:rPr>
              <w:t>VWAP</w:t>
            </w:r>
            <w:r>
              <w:rPr/>
              <w:t>”) in respect of the period from the scheduled open of trading until the scheduled close of trading of the primary trading session on such Valid Day (or if such volume-weighted average price is unavailable at such time, the market value of one Share on such Valid Day, as determined by the Calculation Agent in good faith and in a commercially reasonable manner using, if practicable, a volume-weighted average method substantially similar to the method for determining the VWAP). The Relevant Price will be determined without regard to after-hours trading or any other trading outside of the regular trading session trading hours.</w:t>
            </w:r>
          </w:p>
        </w:tc>
      </w:tr>
      <w:tr>
        <w:trPr/>
        <w:tc>
          <w:tcPr>
            <w:tcW w:w="1521" w:type="dxa"/>
            <w:tcBorders/>
            <w:vAlign w:val="center"/>
          </w:tcPr>
          <w:p>
            <w:pPr>
              <w:pStyle w:val="TableContents"/>
              <w:bidi w:val="0"/>
              <w:spacing w:before="0" w:after="283"/>
              <w:jc w:val="left"/>
              <w:rPr/>
            </w:pPr>
            <w:r>
              <w:rPr/>
              <w:t> </w:t>
            </w:r>
          </w:p>
        </w:tc>
        <w:tc>
          <w:tcPr>
            <w:tcW w:w="8684" w:type="dxa"/>
            <w:tcBorders/>
            <w:vAlign w:val="center"/>
          </w:tcPr>
          <w:p>
            <w:pPr>
              <w:pStyle w:val="TableContents"/>
              <w:bidi w:val="0"/>
              <w:spacing w:before="0" w:after="283"/>
              <w:ind w:left="0" w:right="0" w:firstLine="720"/>
              <w:jc w:val="both"/>
              <w:rPr/>
            </w:pPr>
            <w:r>
              <w:rPr/>
              <w:t> </w:t>
            </w:r>
          </w:p>
        </w:tc>
      </w:tr>
      <w:tr>
        <w:trPr/>
        <w:tc>
          <w:tcPr>
            <w:tcW w:w="1521" w:type="dxa"/>
            <w:tcBorders/>
            <w:vAlign w:val="center"/>
          </w:tcPr>
          <w:p>
            <w:pPr>
              <w:pStyle w:val="TableContents"/>
              <w:bidi w:val="0"/>
              <w:spacing w:before="0" w:after="283"/>
              <w:jc w:val="left"/>
              <w:rPr/>
            </w:pPr>
            <w:r>
              <w:rPr/>
              <w:t>Settlement Date:</w:t>
            </w:r>
          </w:p>
        </w:tc>
        <w:tc>
          <w:tcPr>
            <w:tcW w:w="8684" w:type="dxa"/>
            <w:tcBorders/>
            <w:vAlign w:val="center"/>
          </w:tcPr>
          <w:p>
            <w:pPr>
              <w:pStyle w:val="TableContents"/>
              <w:bidi w:val="0"/>
              <w:spacing w:before="0" w:after="283"/>
              <w:ind w:left="0" w:right="0" w:firstLine="720"/>
              <w:jc w:val="both"/>
              <w:rPr/>
            </w:pPr>
            <w:r>
              <w:rPr/>
              <w:t>For all Components of the Transaction, the date that is two Exchange Business Days immediately following the Expiration Date for the Component with the latest Expiration Date.</w:t>
            </w:r>
          </w:p>
        </w:tc>
      </w:tr>
      <w:tr>
        <w:trPr/>
        <w:tc>
          <w:tcPr>
            <w:tcW w:w="1521" w:type="dxa"/>
            <w:tcBorders/>
            <w:vAlign w:val="center"/>
          </w:tcPr>
          <w:p>
            <w:pPr>
              <w:pStyle w:val="TableContents"/>
              <w:bidi w:val="0"/>
              <w:spacing w:before="0" w:after="283"/>
              <w:jc w:val="left"/>
              <w:rPr/>
            </w:pPr>
            <w:r>
              <w:rPr/>
              <w:t> </w:t>
            </w:r>
          </w:p>
        </w:tc>
        <w:tc>
          <w:tcPr>
            <w:tcW w:w="8684" w:type="dxa"/>
            <w:tcBorders/>
            <w:vAlign w:val="center"/>
          </w:tcPr>
          <w:p>
            <w:pPr>
              <w:pStyle w:val="TableContents"/>
              <w:bidi w:val="0"/>
              <w:spacing w:before="0" w:after="283"/>
              <w:ind w:left="0" w:right="0" w:firstLine="720"/>
              <w:jc w:val="both"/>
              <w:rPr/>
            </w:pPr>
            <w:r>
              <w:rPr/>
              <w:t> </w:t>
            </w:r>
          </w:p>
        </w:tc>
      </w:tr>
      <w:tr>
        <w:trPr/>
        <w:tc>
          <w:tcPr>
            <w:tcW w:w="1521" w:type="dxa"/>
            <w:tcBorders/>
            <w:vAlign w:val="center"/>
          </w:tcPr>
          <w:p>
            <w:pPr>
              <w:pStyle w:val="TableContents"/>
              <w:bidi w:val="0"/>
              <w:spacing w:before="0" w:after="283"/>
              <w:jc w:val="left"/>
              <w:rPr/>
            </w:pPr>
            <w:r>
              <w:rPr/>
              <w:t>Settlement Currency:</w:t>
            </w:r>
          </w:p>
        </w:tc>
        <w:tc>
          <w:tcPr>
            <w:tcW w:w="8684" w:type="dxa"/>
            <w:tcBorders/>
            <w:vAlign w:val="center"/>
          </w:tcPr>
          <w:p>
            <w:pPr>
              <w:pStyle w:val="TableContents"/>
              <w:bidi w:val="0"/>
              <w:spacing w:before="0" w:after="283"/>
              <w:ind w:left="0" w:right="0" w:firstLine="720"/>
              <w:jc w:val="both"/>
              <w:rPr/>
            </w:pPr>
            <w:r>
              <w:rPr/>
              <w:t>USD</w:t>
            </w:r>
          </w:p>
        </w:tc>
      </w:tr>
      <w:tr>
        <w:trPr/>
        <w:tc>
          <w:tcPr>
            <w:tcW w:w="1521" w:type="dxa"/>
            <w:tcBorders/>
            <w:vAlign w:val="center"/>
          </w:tcPr>
          <w:p>
            <w:pPr>
              <w:pStyle w:val="TableContents"/>
              <w:bidi w:val="0"/>
              <w:spacing w:before="0" w:after="283"/>
              <w:jc w:val="left"/>
              <w:rPr/>
            </w:pPr>
            <w:r>
              <w:rPr/>
              <w:t> </w:t>
            </w:r>
          </w:p>
        </w:tc>
        <w:tc>
          <w:tcPr>
            <w:tcW w:w="8684" w:type="dxa"/>
            <w:tcBorders/>
            <w:vAlign w:val="center"/>
          </w:tcPr>
          <w:p>
            <w:pPr>
              <w:pStyle w:val="TableContents"/>
              <w:bidi w:val="0"/>
              <w:spacing w:before="0" w:after="283"/>
              <w:ind w:left="0" w:right="0" w:firstLine="720"/>
              <w:jc w:val="both"/>
              <w:rPr/>
            </w:pPr>
            <w:r>
              <w:rPr/>
              <w:t> </w:t>
            </w:r>
          </w:p>
        </w:tc>
      </w:tr>
      <w:tr>
        <w:trPr/>
        <w:tc>
          <w:tcPr>
            <w:tcW w:w="1521" w:type="dxa"/>
            <w:tcBorders/>
            <w:vAlign w:val="center"/>
          </w:tcPr>
          <w:p>
            <w:pPr>
              <w:pStyle w:val="TableContents"/>
              <w:bidi w:val="0"/>
              <w:spacing w:before="0" w:after="283"/>
              <w:jc w:val="left"/>
              <w:rPr/>
            </w:pPr>
            <w:r>
              <w:rPr/>
              <w:t>Other Applicable Provisions:</w:t>
            </w:r>
          </w:p>
        </w:tc>
        <w:tc>
          <w:tcPr>
            <w:tcW w:w="8684" w:type="dxa"/>
            <w:tcBorders/>
            <w:vAlign w:val="center"/>
          </w:tcPr>
          <w:p>
            <w:pPr>
              <w:pStyle w:val="TableContents"/>
              <w:bidi w:val="0"/>
              <w:spacing w:before="0" w:after="283"/>
              <w:jc w:val="both"/>
              <w:rPr/>
            </w:pPr>
            <w:r>
              <w:rPr/>
              <w:t>The provisions of Sections 9.1(c), 9.8, 9.9, 9.11 and 9.12 of the Equity Definitions will be applicable, except that all references in Section 9.1 to “Physical Settlement” shall be read as references to “Net Share Settlement” or “Combination Settlement”, as applicable.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254"/>
        <w:gridCol w:w="7951"/>
      </w:tblGrid>
      <w:tr>
        <w:trPr/>
        <w:tc>
          <w:tcPr>
            <w:tcW w:w="2254" w:type="dxa"/>
            <w:tcBorders/>
            <w:vAlign w:val="center"/>
          </w:tcPr>
          <w:p>
            <w:pPr>
              <w:pStyle w:val="TableContents"/>
              <w:bidi w:val="0"/>
              <w:spacing w:before="0" w:after="283"/>
              <w:ind w:left="0" w:right="0" w:firstLine="720"/>
              <w:jc w:val="left"/>
              <w:rPr/>
            </w:pPr>
            <w:r>
              <w:rPr/>
              <w:t>Representation and Agreement:</w:t>
            </w:r>
          </w:p>
        </w:tc>
        <w:tc>
          <w:tcPr>
            <w:tcW w:w="7951" w:type="dxa"/>
            <w:tcBorders/>
            <w:vAlign w:val="center"/>
          </w:tcPr>
          <w:p>
            <w:pPr>
              <w:pStyle w:val="TableContents"/>
              <w:bidi w:val="0"/>
              <w:spacing w:before="0" w:after="283"/>
              <w:ind w:left="0" w:right="0" w:firstLine="720"/>
              <w:jc w:val="both"/>
              <w:rPr/>
            </w:pPr>
            <w:r>
              <w:rPr/>
              <w:t>Notwithstanding anything to the contrary in the Equity Definitions (including, but not limited to, Section 9.11 thereof), the parties acknowledge that (i) any Shares delivered to Counterparty shall be, upon delivery, subject to restrictions, obligations and limitations arising from Counterparty's status as issuer of the Shares under applicable securities laws, (ii) Dealer may deliver any Shares required to be delivered hereunder in certificated form in lieu of delivery through the Clearance System and (iii) any Shares delivered to Counterparty may be “restricted securities” (as defined in Rule 144 under the Securities Act of 1933, as amended (the “</w:t>
            </w:r>
            <w:r>
              <w:rPr>
                <w:b/>
              </w:rPr>
              <w:t>Securities Act</w:t>
            </w:r>
            <w:r>
              <w:rPr/>
              <w:t>”)).</w:t>
            </w:r>
          </w:p>
        </w:tc>
      </w:tr>
      <w:tr>
        <w:trPr/>
        <w:tc>
          <w:tcPr>
            <w:tcW w:w="2254" w:type="dxa"/>
            <w:tcBorders/>
            <w:vAlign w:val="center"/>
          </w:tcPr>
          <w:p>
            <w:pPr>
              <w:pStyle w:val="TableContents"/>
              <w:bidi w:val="0"/>
              <w:spacing w:before="0" w:after="283"/>
              <w:jc w:val="left"/>
              <w:rPr/>
            </w:pPr>
            <w:r>
              <w:rPr/>
              <w:t> </w:t>
            </w:r>
          </w:p>
        </w:tc>
        <w:tc>
          <w:tcPr>
            <w:tcW w:w="7951" w:type="dxa"/>
            <w:tcBorders/>
            <w:vAlign w:val="center"/>
          </w:tcPr>
          <w:p>
            <w:pPr>
              <w:pStyle w:val="TableContents"/>
              <w:bidi w:val="0"/>
              <w:spacing w:before="0" w:after="283"/>
              <w:jc w:val="both"/>
              <w:rPr/>
            </w:pPr>
            <w:r>
              <w:rPr/>
              <w:t> </w:t>
            </w:r>
          </w:p>
        </w:tc>
      </w:tr>
      <w:tr>
        <w:trPr/>
        <w:tc>
          <w:tcPr>
            <w:tcW w:w="2254" w:type="dxa"/>
            <w:tcBorders/>
            <w:vAlign w:val="center"/>
          </w:tcPr>
          <w:p>
            <w:pPr>
              <w:pStyle w:val="TableContents"/>
              <w:bidi w:val="0"/>
              <w:spacing w:before="0" w:after="283"/>
              <w:jc w:val="left"/>
              <w:rPr/>
            </w:pPr>
            <w:r>
              <w:rPr/>
              <w:t>Adjustments:</w:t>
            </w:r>
          </w:p>
        </w:tc>
        <w:tc>
          <w:tcPr>
            <w:tcW w:w="7951" w:type="dxa"/>
            <w:tcBorders/>
            <w:vAlign w:val="center"/>
          </w:tcPr>
          <w:p>
            <w:pPr>
              <w:pStyle w:val="TableContents"/>
              <w:bidi w:val="0"/>
              <w:spacing w:before="0" w:after="283"/>
              <w:ind w:left="0" w:right="0" w:firstLine="720"/>
              <w:jc w:val="both"/>
              <w:rPr/>
            </w:pPr>
            <w:r>
              <w:rPr/>
              <w:t> </w:t>
            </w:r>
          </w:p>
        </w:tc>
      </w:tr>
      <w:tr>
        <w:trPr/>
        <w:tc>
          <w:tcPr>
            <w:tcW w:w="2254" w:type="dxa"/>
            <w:tcBorders/>
            <w:vAlign w:val="center"/>
          </w:tcPr>
          <w:p>
            <w:pPr>
              <w:pStyle w:val="TableContents"/>
              <w:bidi w:val="0"/>
              <w:spacing w:before="0" w:after="283"/>
              <w:jc w:val="left"/>
              <w:rPr/>
            </w:pPr>
            <w:r>
              <w:rPr/>
              <w:t> </w:t>
            </w:r>
          </w:p>
        </w:tc>
        <w:tc>
          <w:tcPr>
            <w:tcW w:w="7951" w:type="dxa"/>
            <w:tcBorders/>
            <w:vAlign w:val="center"/>
          </w:tcPr>
          <w:p>
            <w:pPr>
              <w:pStyle w:val="TableContents"/>
              <w:bidi w:val="0"/>
              <w:spacing w:before="0" w:after="283"/>
              <w:ind w:left="0" w:right="0" w:firstLine="720"/>
              <w:jc w:val="both"/>
              <w:rPr/>
            </w:pPr>
            <w:r>
              <w:rPr/>
              <w:t> </w:t>
            </w:r>
          </w:p>
        </w:tc>
      </w:tr>
      <w:tr>
        <w:trPr/>
        <w:tc>
          <w:tcPr>
            <w:tcW w:w="2254" w:type="dxa"/>
            <w:tcBorders/>
            <w:vAlign w:val="center"/>
          </w:tcPr>
          <w:p>
            <w:pPr>
              <w:pStyle w:val="TableContents"/>
              <w:bidi w:val="0"/>
              <w:spacing w:before="0" w:after="283"/>
              <w:jc w:val="left"/>
              <w:rPr/>
            </w:pPr>
            <w:r>
              <w:rPr/>
              <w:t>Method of Adjustment:</w:t>
            </w:r>
          </w:p>
        </w:tc>
        <w:tc>
          <w:tcPr>
            <w:tcW w:w="7951" w:type="dxa"/>
            <w:tcBorders/>
            <w:vAlign w:val="center"/>
          </w:tcPr>
          <w:p>
            <w:pPr>
              <w:pStyle w:val="TableContents"/>
              <w:bidi w:val="0"/>
              <w:spacing w:before="0" w:after="283"/>
              <w:jc w:val="both"/>
              <w:rPr/>
            </w:pPr>
            <w:r>
              <w:rPr/>
              <w:t xml:space="preserve">Calculation Agent Adjustment; </w:t>
            </w:r>
            <w:r>
              <w:rPr>
                <w:i/>
              </w:rPr>
              <w:t>provided</w:t>
            </w:r>
            <w:r>
              <w:rPr/>
              <w:t xml:space="preserve"> that the parties agree that (x) Share repurchases through a dealer pursuant to accelerated share repurchases, forward contracts or similar transactions that are entered into at prevailing market prices (including, without limitation, any discount to average VWAP prices) and in accordance with customary market terms for Share repurchase transactions of such type and (y) open market Share repurchases at prevailing market prices pursuant to Rule 10b-18 of the Exchange Act (“</w:t>
            </w:r>
            <w:r>
              <w:rPr>
                <w:b/>
              </w:rPr>
              <w:t>Rule 10b-18</w:t>
            </w:r>
            <w:r>
              <w:rPr/>
              <w:t xml:space="preserve">”) shall not be considered Potential Adjustment Events so long as, after giving effect to such transactions, the aggregate number of Shares repurchased pursuant to all such transactions described in clauses (x) and (y) during the term of the Transaction pursuant to all such transactions would not reduce the number of Shares outstanding to below [ ] Shares, as determined by the Calculation Agent and as adjusted by the Calculation Agent in a commercially reasonable manner to account for any subdivision or combination with respect to the Shares. </w:t>
            </w:r>
          </w:p>
        </w:tc>
      </w:tr>
      <w:tr>
        <w:trPr/>
        <w:tc>
          <w:tcPr>
            <w:tcW w:w="2254" w:type="dxa"/>
            <w:tcBorders/>
            <w:vAlign w:val="center"/>
          </w:tcPr>
          <w:p>
            <w:pPr>
              <w:pStyle w:val="TableContents"/>
              <w:bidi w:val="0"/>
              <w:spacing w:before="0" w:after="283"/>
              <w:jc w:val="left"/>
              <w:rPr/>
            </w:pPr>
            <w:r>
              <w:rPr/>
              <w:t>Extraordinary Events:</w:t>
            </w:r>
          </w:p>
        </w:tc>
        <w:tc>
          <w:tcPr>
            <w:tcW w:w="7951" w:type="dxa"/>
            <w:tcBorders/>
            <w:vAlign w:val="center"/>
          </w:tcPr>
          <w:p>
            <w:pPr>
              <w:pStyle w:val="TableContents"/>
              <w:bidi w:val="0"/>
              <w:spacing w:before="0" w:after="283"/>
              <w:ind w:left="0" w:right="0" w:firstLine="720"/>
              <w:jc w:val="both"/>
              <w:rPr/>
            </w:pPr>
            <w:r>
              <w:rPr/>
              <w:t> </w:t>
            </w:r>
          </w:p>
        </w:tc>
      </w:tr>
      <w:tr>
        <w:trPr/>
        <w:tc>
          <w:tcPr>
            <w:tcW w:w="2254" w:type="dxa"/>
            <w:tcBorders/>
            <w:vAlign w:val="center"/>
          </w:tcPr>
          <w:p>
            <w:pPr>
              <w:pStyle w:val="TableContents"/>
              <w:bidi w:val="0"/>
              <w:spacing w:before="0" w:after="283"/>
              <w:jc w:val="left"/>
              <w:rPr/>
            </w:pPr>
            <w:r>
              <w:rPr/>
              <w:t>New Shares:</w:t>
            </w:r>
          </w:p>
        </w:tc>
        <w:tc>
          <w:tcPr>
            <w:tcW w:w="7951" w:type="dxa"/>
            <w:tcBorders/>
            <w:vAlign w:val="center"/>
          </w:tcPr>
          <w:p>
            <w:pPr>
              <w:pStyle w:val="TableContents"/>
              <w:bidi w:val="0"/>
              <w:spacing w:before="0" w:after="283"/>
              <w:ind w:left="0" w:right="0" w:firstLine="720"/>
              <w:jc w:val="both"/>
              <w:rPr/>
            </w:pPr>
            <w:r>
              <w:rPr/>
              <w:t>In the definition of New Shares in Section 12.1(i) of the Equity Definitions, the text in clause (i) thereof shall be deleted in its entirety and replaced with “publicly quoted, traded or listed on any of The New York Stock Exchange, The Nasdaq Global Market, The Nasdaq Global Select Market, The Nasdaq Capital Market (or their respective successors) and of a corporation organized under the laws of the United States, any State thereof, the District of Columbia or a company organized under the laws of the Cayman Islands” (x) also becomes the Counterparty under the Transaction or (y) agrees to be subject to Sections 8(d) and 8(e) of the Confirmation governing the Transaction, in either case, following such Merger Event or Tender Offer.</w:t>
            </w:r>
          </w:p>
        </w:tc>
      </w:tr>
      <w:tr>
        <w:trPr/>
        <w:tc>
          <w:tcPr>
            <w:tcW w:w="2254" w:type="dxa"/>
            <w:tcBorders/>
            <w:vAlign w:val="center"/>
          </w:tcPr>
          <w:p>
            <w:pPr>
              <w:pStyle w:val="TableContents"/>
              <w:bidi w:val="0"/>
              <w:spacing w:before="0" w:after="283"/>
              <w:jc w:val="left"/>
              <w:rPr/>
            </w:pPr>
            <w:r>
              <w:rPr/>
              <w:t> </w:t>
            </w:r>
          </w:p>
        </w:tc>
        <w:tc>
          <w:tcPr>
            <w:tcW w:w="7951" w:type="dxa"/>
            <w:tcBorders/>
            <w:vAlign w:val="center"/>
          </w:tcPr>
          <w:p>
            <w:pPr>
              <w:pStyle w:val="TableContents"/>
              <w:bidi w:val="0"/>
              <w:spacing w:before="0" w:after="283"/>
              <w:ind w:left="0" w:right="0" w:firstLine="720"/>
              <w:jc w:val="both"/>
              <w:rPr/>
            </w:pPr>
            <w:r>
              <w:rPr/>
              <w:t> </w:t>
            </w:r>
          </w:p>
        </w:tc>
      </w:tr>
      <w:tr>
        <w:trPr/>
        <w:tc>
          <w:tcPr>
            <w:tcW w:w="2254" w:type="dxa"/>
            <w:tcBorders/>
            <w:vAlign w:val="center"/>
          </w:tcPr>
          <w:p>
            <w:pPr>
              <w:pStyle w:val="TableContents"/>
              <w:bidi w:val="0"/>
              <w:spacing w:before="0" w:after="283"/>
              <w:jc w:val="left"/>
              <w:rPr/>
            </w:pPr>
            <w:r>
              <w:rPr/>
              <w:t>Merger Events:</w:t>
            </w:r>
          </w:p>
        </w:tc>
        <w:tc>
          <w:tcPr>
            <w:tcW w:w="7951" w:type="dxa"/>
            <w:tcBorders/>
            <w:vAlign w:val="center"/>
          </w:tcPr>
          <w:p>
            <w:pPr>
              <w:pStyle w:val="TableContents"/>
              <w:bidi w:val="0"/>
              <w:spacing w:before="0" w:after="283"/>
              <w:ind w:left="0" w:right="0" w:firstLine="720"/>
              <w:jc w:val="both"/>
              <w:rPr/>
            </w:pPr>
            <w:r>
              <w:rPr/>
              <w:t>Applicable</w:t>
            </w:r>
          </w:p>
        </w:tc>
      </w:tr>
      <w:tr>
        <w:trPr/>
        <w:tc>
          <w:tcPr>
            <w:tcW w:w="2254" w:type="dxa"/>
            <w:tcBorders/>
            <w:vAlign w:val="center"/>
          </w:tcPr>
          <w:p>
            <w:pPr>
              <w:pStyle w:val="TableContents"/>
              <w:bidi w:val="0"/>
              <w:spacing w:before="0" w:after="283"/>
              <w:jc w:val="left"/>
              <w:rPr/>
            </w:pPr>
            <w:r>
              <w:rPr/>
              <w:t> </w:t>
            </w:r>
          </w:p>
        </w:tc>
        <w:tc>
          <w:tcPr>
            <w:tcW w:w="7951" w:type="dxa"/>
            <w:tcBorders/>
            <w:vAlign w:val="center"/>
          </w:tcPr>
          <w:p>
            <w:pPr>
              <w:pStyle w:val="TableContents"/>
              <w:bidi w:val="0"/>
              <w:spacing w:before="0" w:after="283"/>
              <w:ind w:left="0" w:right="0" w:firstLine="720"/>
              <w:jc w:val="both"/>
              <w:rPr/>
            </w:pPr>
            <w:r>
              <w:rPr/>
              <w:t> </w:t>
            </w:r>
          </w:p>
        </w:tc>
      </w:tr>
      <w:tr>
        <w:trPr/>
        <w:tc>
          <w:tcPr>
            <w:tcW w:w="2254" w:type="dxa"/>
            <w:tcBorders/>
            <w:vAlign w:val="center"/>
          </w:tcPr>
          <w:p>
            <w:pPr>
              <w:pStyle w:val="TableContents"/>
              <w:bidi w:val="0"/>
              <w:spacing w:before="0" w:after="283"/>
              <w:jc w:val="left"/>
              <w:rPr/>
            </w:pPr>
            <w:r>
              <w:rPr/>
              <w:t>Consequences of Merger Events:</w:t>
            </w:r>
          </w:p>
        </w:tc>
        <w:tc>
          <w:tcPr>
            <w:tcW w:w="7951" w:type="dxa"/>
            <w:tcBorders/>
            <w:vAlign w:val="center"/>
          </w:tcPr>
          <w:p>
            <w:pPr>
              <w:pStyle w:val="TableContents"/>
              <w:bidi w:val="0"/>
              <w:spacing w:before="0" w:after="283"/>
              <w:ind w:left="0" w:right="0" w:firstLine="720"/>
              <w:jc w:val="both"/>
              <w:rPr/>
            </w:pPr>
            <w:r>
              <w:rPr/>
              <w:t> </w:t>
            </w:r>
          </w:p>
        </w:tc>
      </w:tr>
      <w:tr>
        <w:trPr/>
        <w:tc>
          <w:tcPr>
            <w:tcW w:w="2254" w:type="dxa"/>
            <w:tcBorders/>
            <w:vAlign w:val="center"/>
          </w:tcPr>
          <w:p>
            <w:pPr>
              <w:pStyle w:val="TableContents"/>
              <w:bidi w:val="0"/>
              <w:spacing w:before="0" w:after="283"/>
              <w:jc w:val="left"/>
              <w:rPr/>
            </w:pPr>
            <w:r>
              <w:rPr/>
              <w:t> </w:t>
            </w:r>
          </w:p>
        </w:tc>
        <w:tc>
          <w:tcPr>
            <w:tcW w:w="7951" w:type="dxa"/>
            <w:tcBorders/>
            <w:vAlign w:val="center"/>
          </w:tcPr>
          <w:p>
            <w:pPr>
              <w:pStyle w:val="TableContents"/>
              <w:bidi w:val="0"/>
              <w:spacing w:before="0" w:after="283"/>
              <w:ind w:left="0" w:right="0" w:firstLine="720"/>
              <w:jc w:val="both"/>
              <w:rPr/>
            </w:pPr>
            <w:r>
              <w:rPr/>
              <w:t> </w:t>
            </w:r>
          </w:p>
        </w:tc>
      </w:tr>
      <w:tr>
        <w:trPr/>
        <w:tc>
          <w:tcPr>
            <w:tcW w:w="2254" w:type="dxa"/>
            <w:tcBorders/>
            <w:vAlign w:val="center"/>
          </w:tcPr>
          <w:p>
            <w:pPr>
              <w:pStyle w:val="TableContents"/>
              <w:bidi w:val="0"/>
              <w:spacing w:before="0" w:after="283"/>
              <w:jc w:val="left"/>
              <w:rPr/>
            </w:pPr>
            <w:r>
              <w:rPr/>
              <w:t>(a) Share-for-Share:</w:t>
            </w:r>
          </w:p>
        </w:tc>
        <w:tc>
          <w:tcPr>
            <w:tcW w:w="7951" w:type="dxa"/>
            <w:tcBorders/>
            <w:vAlign w:val="center"/>
          </w:tcPr>
          <w:p>
            <w:pPr>
              <w:pStyle w:val="TableContents"/>
              <w:bidi w:val="0"/>
              <w:spacing w:before="0" w:after="283"/>
              <w:ind w:left="0" w:right="0" w:firstLine="720"/>
              <w:jc w:val="both"/>
              <w:rPr/>
            </w:pPr>
            <w:r>
              <w:rPr/>
              <w:t>Modified Calculation Agent Adjustment</w:t>
            </w:r>
          </w:p>
        </w:tc>
      </w:tr>
      <w:tr>
        <w:trPr/>
        <w:tc>
          <w:tcPr>
            <w:tcW w:w="2254" w:type="dxa"/>
            <w:tcBorders/>
            <w:vAlign w:val="center"/>
          </w:tcPr>
          <w:p>
            <w:pPr>
              <w:pStyle w:val="TableContents"/>
              <w:bidi w:val="0"/>
              <w:spacing w:before="0" w:after="283"/>
              <w:jc w:val="left"/>
              <w:rPr/>
            </w:pPr>
            <w:r>
              <w:rPr/>
              <w:t> </w:t>
            </w:r>
          </w:p>
        </w:tc>
        <w:tc>
          <w:tcPr>
            <w:tcW w:w="7951" w:type="dxa"/>
            <w:tcBorders/>
            <w:vAlign w:val="center"/>
          </w:tcPr>
          <w:p>
            <w:pPr>
              <w:pStyle w:val="TableContents"/>
              <w:bidi w:val="0"/>
              <w:spacing w:before="0" w:after="283"/>
              <w:ind w:left="0" w:right="0" w:firstLine="720"/>
              <w:jc w:val="both"/>
              <w:rPr/>
            </w:pPr>
            <w:r>
              <w:rPr/>
              <w:t> </w:t>
            </w:r>
          </w:p>
        </w:tc>
      </w:tr>
      <w:tr>
        <w:trPr/>
        <w:tc>
          <w:tcPr>
            <w:tcW w:w="2254" w:type="dxa"/>
            <w:tcBorders/>
            <w:vAlign w:val="center"/>
          </w:tcPr>
          <w:p>
            <w:pPr>
              <w:pStyle w:val="TableContents"/>
              <w:bidi w:val="0"/>
              <w:spacing w:before="0" w:after="283"/>
              <w:jc w:val="left"/>
              <w:rPr/>
            </w:pPr>
            <w:r>
              <w:rPr/>
              <w:t>(b) Share-for-Other:</w:t>
            </w:r>
          </w:p>
        </w:tc>
        <w:tc>
          <w:tcPr>
            <w:tcW w:w="7951" w:type="dxa"/>
            <w:tcBorders/>
            <w:vAlign w:val="center"/>
          </w:tcPr>
          <w:p>
            <w:pPr>
              <w:pStyle w:val="TableContents"/>
              <w:bidi w:val="0"/>
              <w:spacing w:before="0" w:after="283"/>
              <w:ind w:left="0" w:right="0" w:firstLine="720"/>
              <w:jc w:val="both"/>
              <w:rPr/>
            </w:pPr>
            <w:r>
              <w:rPr/>
              <w:t>Cancellation and Payment (Calculation Agent Determination)</w:t>
            </w:r>
          </w:p>
        </w:tc>
      </w:tr>
      <w:tr>
        <w:trPr/>
        <w:tc>
          <w:tcPr>
            <w:tcW w:w="2254" w:type="dxa"/>
            <w:tcBorders/>
            <w:vAlign w:val="center"/>
          </w:tcPr>
          <w:p>
            <w:pPr>
              <w:pStyle w:val="TableContents"/>
              <w:bidi w:val="0"/>
              <w:spacing w:before="0" w:after="283"/>
              <w:jc w:val="left"/>
              <w:rPr/>
            </w:pPr>
            <w:r>
              <w:rPr/>
              <w:t> </w:t>
            </w:r>
          </w:p>
        </w:tc>
        <w:tc>
          <w:tcPr>
            <w:tcW w:w="7951" w:type="dxa"/>
            <w:tcBorders/>
            <w:vAlign w:val="center"/>
          </w:tcPr>
          <w:p>
            <w:pPr>
              <w:pStyle w:val="TableContents"/>
              <w:bidi w:val="0"/>
              <w:spacing w:before="0" w:after="283"/>
              <w:ind w:left="0" w:right="0" w:firstLine="720"/>
              <w:jc w:val="both"/>
              <w:rPr/>
            </w:pPr>
            <w:r>
              <w:rPr/>
              <w:t> </w:t>
            </w:r>
          </w:p>
        </w:tc>
      </w:tr>
      <w:tr>
        <w:trPr/>
        <w:tc>
          <w:tcPr>
            <w:tcW w:w="2254" w:type="dxa"/>
            <w:tcBorders/>
            <w:vAlign w:val="center"/>
          </w:tcPr>
          <w:p>
            <w:pPr>
              <w:pStyle w:val="TableContents"/>
              <w:bidi w:val="0"/>
              <w:spacing w:before="0" w:after="283"/>
              <w:jc w:val="left"/>
              <w:rPr/>
            </w:pPr>
            <w:r>
              <w:rPr/>
              <w:t>(c) Share-for-Combined:</w:t>
            </w:r>
          </w:p>
        </w:tc>
        <w:tc>
          <w:tcPr>
            <w:tcW w:w="7951" w:type="dxa"/>
            <w:tcBorders/>
            <w:vAlign w:val="center"/>
          </w:tcPr>
          <w:p>
            <w:pPr>
              <w:pStyle w:val="TableContents"/>
              <w:bidi w:val="0"/>
              <w:spacing w:before="0" w:after="283"/>
              <w:ind w:left="0" w:right="0" w:firstLine="720"/>
              <w:jc w:val="both"/>
              <w:rPr/>
            </w:pPr>
            <w:r>
              <w:rPr/>
              <w:t xml:space="preserve">Cancellation and Payment (Calculation Agent Determination); </w:t>
            </w:r>
            <w:r>
              <w:rPr>
                <w:i/>
              </w:rPr>
              <w:t>provided</w:t>
            </w:r>
            <w:r>
              <w:rPr/>
              <w:t xml:space="preserve"> that the Calculation Agent may elect Component Adjustment for all or part of the Transaction</w:t>
            </w:r>
          </w:p>
        </w:tc>
      </w:tr>
      <w:tr>
        <w:trPr/>
        <w:tc>
          <w:tcPr>
            <w:tcW w:w="2254" w:type="dxa"/>
            <w:tcBorders/>
            <w:vAlign w:val="center"/>
          </w:tcPr>
          <w:p>
            <w:pPr>
              <w:pStyle w:val="TableContents"/>
              <w:bidi w:val="0"/>
              <w:spacing w:before="0" w:after="283"/>
              <w:jc w:val="left"/>
              <w:rPr/>
            </w:pPr>
            <w:r>
              <w:rPr/>
              <w:t> </w:t>
            </w:r>
          </w:p>
        </w:tc>
        <w:tc>
          <w:tcPr>
            <w:tcW w:w="7951" w:type="dxa"/>
            <w:tcBorders/>
            <w:vAlign w:val="center"/>
          </w:tcPr>
          <w:p>
            <w:pPr>
              <w:pStyle w:val="TableContents"/>
              <w:bidi w:val="0"/>
              <w:spacing w:before="0" w:after="283"/>
              <w:ind w:left="0" w:right="0" w:firstLine="720"/>
              <w:jc w:val="both"/>
              <w:rPr/>
            </w:pPr>
            <w:r>
              <w:rPr/>
              <w:t> </w:t>
            </w:r>
          </w:p>
        </w:tc>
      </w:tr>
      <w:tr>
        <w:trPr/>
        <w:tc>
          <w:tcPr>
            <w:tcW w:w="2254" w:type="dxa"/>
            <w:tcBorders/>
            <w:vAlign w:val="center"/>
          </w:tcPr>
          <w:p>
            <w:pPr>
              <w:pStyle w:val="TableContents"/>
              <w:bidi w:val="0"/>
              <w:spacing w:before="0" w:after="283"/>
              <w:jc w:val="left"/>
              <w:rPr/>
            </w:pPr>
            <w:r>
              <w:rPr/>
              <w:t>Tender Offer:</w:t>
            </w:r>
          </w:p>
        </w:tc>
        <w:tc>
          <w:tcPr>
            <w:tcW w:w="7951" w:type="dxa"/>
            <w:tcBorders/>
            <w:vAlign w:val="center"/>
          </w:tcPr>
          <w:p>
            <w:pPr>
              <w:pStyle w:val="TableContents"/>
              <w:bidi w:val="0"/>
              <w:spacing w:before="0" w:after="283"/>
              <w:ind w:left="0" w:right="0" w:firstLine="720"/>
              <w:jc w:val="both"/>
              <w:rPr/>
            </w:pPr>
            <w:r>
              <w:rPr/>
              <w:t xml:space="preserve">Applicable; </w:t>
            </w:r>
            <w:r>
              <w:rPr>
                <w:i/>
              </w:rPr>
              <w:t>provided</w:t>
            </w:r>
            <w:r>
              <w:rPr/>
              <w:t xml:space="preserve"> that the definition of “Tender Offer” in Section 12.1(d) of the Equity Definitions will be amended by replacing the phrase “greater than 10% and less than 100% of the outstanding voting shares of the Issuer” in the third and fourth line thereof with “(a) greater than 20% and less than 100% of the outstanding Shares”. In addition, Section 12.1(e) of the Equity Definitions shall be amended by replacing “voting shares” in the first line thereof with “Shares”, and Section 12.1(l) of the Equity Definitions shall be amended by replacing “voting shares” in the fifth line thereof with “Shares”</w:t>
            </w:r>
          </w:p>
        </w:tc>
      </w:tr>
      <w:tr>
        <w:trPr/>
        <w:tc>
          <w:tcPr>
            <w:tcW w:w="2254" w:type="dxa"/>
            <w:tcBorders/>
            <w:vAlign w:val="center"/>
          </w:tcPr>
          <w:p>
            <w:pPr>
              <w:pStyle w:val="TableContents"/>
              <w:bidi w:val="0"/>
              <w:spacing w:before="0" w:after="283"/>
              <w:jc w:val="left"/>
              <w:rPr/>
            </w:pPr>
            <w:r>
              <w:rPr/>
              <w:t> </w:t>
            </w:r>
          </w:p>
        </w:tc>
        <w:tc>
          <w:tcPr>
            <w:tcW w:w="7951" w:type="dxa"/>
            <w:tcBorders/>
            <w:vAlign w:val="center"/>
          </w:tcPr>
          <w:p>
            <w:pPr>
              <w:pStyle w:val="TableContents"/>
              <w:bidi w:val="0"/>
              <w:spacing w:before="0" w:after="283"/>
              <w:ind w:left="0" w:right="0" w:firstLine="720"/>
              <w:jc w:val="both"/>
              <w:rPr/>
            </w:pPr>
            <w:r>
              <w:rPr/>
              <w:t> </w:t>
            </w:r>
          </w:p>
        </w:tc>
      </w:tr>
      <w:tr>
        <w:trPr/>
        <w:tc>
          <w:tcPr>
            <w:tcW w:w="2254" w:type="dxa"/>
            <w:tcBorders/>
            <w:vAlign w:val="center"/>
          </w:tcPr>
          <w:p>
            <w:pPr>
              <w:pStyle w:val="TableContents"/>
              <w:bidi w:val="0"/>
              <w:spacing w:before="0" w:after="283"/>
              <w:jc w:val="left"/>
              <w:rPr/>
            </w:pPr>
            <w:r>
              <w:rPr/>
              <w:t>Consequences of Tender Offers:</w:t>
            </w:r>
          </w:p>
        </w:tc>
        <w:tc>
          <w:tcPr>
            <w:tcW w:w="7951" w:type="dxa"/>
            <w:tcBorders/>
            <w:vAlign w:val="center"/>
          </w:tcPr>
          <w:p>
            <w:pPr>
              <w:pStyle w:val="TableContents"/>
              <w:bidi w:val="0"/>
              <w:spacing w:before="0" w:after="283"/>
              <w:ind w:left="0" w:right="0" w:firstLine="720"/>
              <w:jc w:val="both"/>
              <w:rPr/>
            </w:pPr>
            <w:r>
              <w:rPr/>
              <w:t> </w:t>
            </w:r>
          </w:p>
        </w:tc>
      </w:tr>
      <w:tr>
        <w:trPr/>
        <w:tc>
          <w:tcPr>
            <w:tcW w:w="2254" w:type="dxa"/>
            <w:tcBorders/>
            <w:vAlign w:val="center"/>
          </w:tcPr>
          <w:p>
            <w:pPr>
              <w:pStyle w:val="TableContents"/>
              <w:bidi w:val="0"/>
              <w:spacing w:before="0" w:after="283"/>
              <w:jc w:val="left"/>
              <w:rPr/>
            </w:pPr>
            <w:r>
              <w:rPr/>
              <w:t> </w:t>
            </w:r>
          </w:p>
        </w:tc>
        <w:tc>
          <w:tcPr>
            <w:tcW w:w="7951" w:type="dxa"/>
            <w:tcBorders/>
            <w:vAlign w:val="center"/>
          </w:tcPr>
          <w:p>
            <w:pPr>
              <w:pStyle w:val="TableContents"/>
              <w:bidi w:val="0"/>
              <w:spacing w:before="0" w:after="283"/>
              <w:ind w:left="0" w:right="0" w:firstLine="720"/>
              <w:jc w:val="both"/>
              <w:rPr/>
            </w:pPr>
            <w:r>
              <w:rPr/>
              <w:t> </w:t>
            </w:r>
          </w:p>
        </w:tc>
      </w:tr>
      <w:tr>
        <w:trPr/>
        <w:tc>
          <w:tcPr>
            <w:tcW w:w="2254" w:type="dxa"/>
            <w:tcBorders/>
            <w:vAlign w:val="center"/>
          </w:tcPr>
          <w:p>
            <w:pPr>
              <w:pStyle w:val="TableContents"/>
              <w:bidi w:val="0"/>
              <w:spacing w:before="0" w:after="283"/>
              <w:jc w:val="left"/>
              <w:rPr/>
            </w:pPr>
            <w:r>
              <w:rPr/>
              <w:t>(a) Share-for-Share:</w:t>
            </w:r>
          </w:p>
        </w:tc>
        <w:tc>
          <w:tcPr>
            <w:tcW w:w="7951" w:type="dxa"/>
            <w:tcBorders/>
            <w:vAlign w:val="center"/>
          </w:tcPr>
          <w:p>
            <w:pPr>
              <w:pStyle w:val="TableContents"/>
              <w:bidi w:val="0"/>
              <w:spacing w:before="0" w:after="283"/>
              <w:ind w:left="0" w:right="0" w:firstLine="720"/>
              <w:jc w:val="both"/>
              <w:rPr/>
            </w:pPr>
            <w:r>
              <w:rPr/>
              <w:t xml:space="preserve">Modified Calculation Agent Adjustment </w:t>
            </w:r>
          </w:p>
        </w:tc>
      </w:tr>
      <w:tr>
        <w:trPr/>
        <w:tc>
          <w:tcPr>
            <w:tcW w:w="2254" w:type="dxa"/>
            <w:tcBorders/>
            <w:vAlign w:val="center"/>
          </w:tcPr>
          <w:p>
            <w:pPr>
              <w:pStyle w:val="TableContents"/>
              <w:bidi w:val="0"/>
              <w:spacing w:before="0" w:after="283"/>
              <w:jc w:val="left"/>
              <w:rPr/>
            </w:pPr>
            <w:r>
              <w:rPr/>
              <w:t> </w:t>
            </w:r>
          </w:p>
        </w:tc>
        <w:tc>
          <w:tcPr>
            <w:tcW w:w="7951" w:type="dxa"/>
            <w:tcBorders/>
            <w:vAlign w:val="center"/>
          </w:tcPr>
          <w:p>
            <w:pPr>
              <w:pStyle w:val="TableContents"/>
              <w:bidi w:val="0"/>
              <w:spacing w:before="0" w:after="283"/>
              <w:ind w:left="0" w:right="0" w:firstLine="720"/>
              <w:jc w:val="both"/>
              <w:rPr/>
            </w:pPr>
            <w:r>
              <w:rPr/>
              <w:t> </w:t>
            </w:r>
          </w:p>
        </w:tc>
      </w:tr>
      <w:tr>
        <w:trPr/>
        <w:tc>
          <w:tcPr>
            <w:tcW w:w="2254" w:type="dxa"/>
            <w:tcBorders/>
            <w:vAlign w:val="center"/>
          </w:tcPr>
          <w:p>
            <w:pPr>
              <w:pStyle w:val="TableContents"/>
              <w:bidi w:val="0"/>
              <w:spacing w:before="0" w:after="283"/>
              <w:jc w:val="left"/>
              <w:rPr/>
            </w:pPr>
            <w:r>
              <w:rPr/>
              <w:t>(b) Share-for-Other:</w:t>
            </w:r>
          </w:p>
        </w:tc>
        <w:tc>
          <w:tcPr>
            <w:tcW w:w="7951" w:type="dxa"/>
            <w:tcBorders/>
            <w:vAlign w:val="center"/>
          </w:tcPr>
          <w:p>
            <w:pPr>
              <w:pStyle w:val="TableContents"/>
              <w:bidi w:val="0"/>
              <w:spacing w:before="0" w:after="283"/>
              <w:ind w:left="0" w:right="0" w:firstLine="720"/>
              <w:jc w:val="both"/>
              <w:rPr/>
            </w:pPr>
            <w:r>
              <w:rPr/>
              <w:t>Modified Calculation Agent Adjustment</w:t>
            </w:r>
          </w:p>
        </w:tc>
      </w:tr>
      <w:tr>
        <w:trPr/>
        <w:tc>
          <w:tcPr>
            <w:tcW w:w="2254" w:type="dxa"/>
            <w:tcBorders/>
            <w:vAlign w:val="center"/>
          </w:tcPr>
          <w:p>
            <w:pPr>
              <w:pStyle w:val="TableContents"/>
              <w:bidi w:val="0"/>
              <w:spacing w:before="0" w:after="283"/>
              <w:jc w:val="left"/>
              <w:rPr/>
            </w:pPr>
            <w:r>
              <w:rPr/>
              <w:t> </w:t>
            </w:r>
          </w:p>
        </w:tc>
        <w:tc>
          <w:tcPr>
            <w:tcW w:w="7951" w:type="dxa"/>
            <w:tcBorders/>
            <w:vAlign w:val="center"/>
          </w:tcPr>
          <w:p>
            <w:pPr>
              <w:pStyle w:val="TableContents"/>
              <w:bidi w:val="0"/>
              <w:spacing w:before="0" w:after="283"/>
              <w:ind w:left="0" w:right="0" w:firstLine="720"/>
              <w:jc w:val="both"/>
              <w:rPr/>
            </w:pPr>
            <w:r>
              <w:rPr/>
              <w:t> </w:t>
            </w:r>
          </w:p>
        </w:tc>
      </w:tr>
      <w:tr>
        <w:trPr/>
        <w:tc>
          <w:tcPr>
            <w:tcW w:w="2254" w:type="dxa"/>
            <w:tcBorders/>
            <w:vAlign w:val="center"/>
          </w:tcPr>
          <w:p>
            <w:pPr>
              <w:pStyle w:val="TableContents"/>
              <w:bidi w:val="0"/>
              <w:spacing w:before="0" w:after="283"/>
              <w:jc w:val="left"/>
              <w:rPr/>
            </w:pPr>
            <w:r>
              <w:rPr/>
              <w:t>(c) Share-for-Combined:</w:t>
            </w:r>
          </w:p>
        </w:tc>
        <w:tc>
          <w:tcPr>
            <w:tcW w:w="7951" w:type="dxa"/>
            <w:tcBorders/>
            <w:vAlign w:val="center"/>
          </w:tcPr>
          <w:p>
            <w:pPr>
              <w:pStyle w:val="TableContents"/>
              <w:bidi w:val="0"/>
              <w:spacing w:before="0" w:after="283"/>
              <w:jc w:val="both"/>
              <w:rPr/>
            </w:pPr>
            <w:r>
              <w:rPr/>
              <w:t>Modified Calculation Agent Adjustment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49"/>
        <w:gridCol w:w="8656"/>
      </w:tblGrid>
      <w:tr>
        <w:trPr/>
        <w:tc>
          <w:tcPr>
            <w:tcW w:w="1549" w:type="dxa"/>
            <w:tcBorders/>
            <w:vAlign w:val="center"/>
          </w:tcPr>
          <w:p>
            <w:pPr>
              <w:pStyle w:val="TableContents"/>
              <w:bidi w:val="0"/>
              <w:spacing w:before="0" w:after="283"/>
              <w:ind w:left="0" w:right="0" w:hanging="0"/>
              <w:jc w:val="left"/>
              <w:rPr/>
            </w:pPr>
            <w:r>
              <w:rPr/>
              <w:t>Consequences of Announcement Events:</w:t>
            </w:r>
          </w:p>
        </w:tc>
        <w:tc>
          <w:tcPr>
            <w:tcW w:w="8656" w:type="dxa"/>
            <w:tcBorders/>
            <w:vAlign w:val="center"/>
          </w:tcPr>
          <w:p>
            <w:pPr>
              <w:pStyle w:val="TableContents"/>
              <w:bidi w:val="0"/>
              <w:spacing w:before="0" w:after="283"/>
              <w:ind w:left="0" w:right="0" w:hanging="0"/>
              <w:jc w:val="both"/>
              <w:rPr/>
            </w:pPr>
            <w:r>
              <w:rPr/>
              <w:t xml:space="preserve">Modified Calculation Agent Adjustment as set forth in Section 12.3(d) of the Equity Definitions; </w:t>
            </w:r>
            <w:r>
              <w:rPr>
                <w:i/>
              </w:rPr>
              <w:t>provided</w:t>
            </w:r>
            <w:r>
              <w:rPr/>
              <w:t xml:space="preserve"> that, in respect of an Announcement Event, (x) references to “Tender Offer” shall be replaced by references to “Announcement Event” and references to “Tender Offer Date” shall be replaced by references to “date of such Announcement Event”, (y) the phrase “exercise, settlement, payment or any other terms of the Transaction (including, without limitation, the spread)” shall be replaced with the phrase “Cap Price (</w:t>
            </w:r>
            <w:r>
              <w:rPr>
                <w:i/>
              </w:rPr>
              <w:t>provided</w:t>
            </w:r>
            <w:r>
              <w:rPr/>
              <w:t xml:space="preserve"> that in no event shall the Cap Price be less than the Strike Price)” and the words “whether within a commercially reasonable (as determined by the Calculation Agent) period of time prior to or after the Announcement Event” shall be inserted prior to the word “which” in the seventh line, and (z) for the avoidance of doubt, the Calculation Agent shall, in good faith and a commercially reasonable manner, determine whether the relevant Announcement Event has had a material economic effect on the Transaction and, if so, shall adjust the Cap Price accordingly to take into account such economic effect on one or more occasions on or after the date of the Announcement Event up to, and including, the related Expiration Date, any Early Termination Date and/or any other date of cancellation, it being understood that any adjustment in respect of an Announcement Event shall take into account any earlier adjustment relating to the same Announcement Event and shall not be duplicative with any other adjustment or cancellation valuation made pursuant to this Confirmation, the Equity Definitions or the Agreement; </w:t>
            </w:r>
            <w:r>
              <w:rPr>
                <w:i/>
              </w:rPr>
              <w:t>provided</w:t>
            </w:r>
            <w:r>
              <w:rPr/>
              <w:t xml:space="preserve"> that in no event shall the Cap Price be adjusted to be less than the Strike Price, </w:t>
            </w:r>
            <w:r>
              <w:rPr>
                <w:i/>
              </w:rPr>
              <w:t>provided further</w:t>
            </w:r>
            <w:r>
              <w:rPr/>
              <w:t xml:space="preserve"> that such adjustments may be made to account solely for changes in volatility, expected dividends, stock loan rate or liquidity relative to the relevant Shares or such Transaction and assuming Dealer maintains a commercially reasonable hedge position. An Announcement Event shall be an “Extraordinary Event” for purposes of the Equity Definitions, to which Article 12 of the Equity Definitions is applicable; </w:t>
            </w:r>
            <w:r>
              <w:rPr>
                <w:i/>
              </w:rPr>
              <w:t>provided further</w:t>
            </w:r>
            <w:r>
              <w:rPr/>
              <w:t xml:space="preserve"> that upon the Calculation Agent making an adjustment, determined in a commercially reasonable manner, to the Cap Price upon any Announcement Event, then any subsequent public announcement by a Relevant Party (as defined below) regarding the abandonment of the event or transaction that gave rise to the original Announcement Event shall be deemed to have a material economic effect on the Transaction and the Calculation Agent shall make a commercially reasonable adjustment to the Cap Price to account for such economic effect in accordance with this paragraph; </w:t>
            </w:r>
            <w:r>
              <w:rPr>
                <w:i/>
              </w:rPr>
              <w:t>provided</w:t>
            </w:r>
            <w:r>
              <w:rPr/>
              <w:t xml:space="preserve"> that in no event shall the Cap Price be less than the Strike Price; </w:t>
            </w:r>
            <w:r>
              <w:rPr>
                <w:i/>
              </w:rPr>
              <w:t>provided further</w:t>
            </w:r>
            <w:r>
              <w:rPr/>
              <w:t xml:space="preserve"> that such adjustments may be made to account solely for changes in volatility, expected dividends, stock loan rate or liquidity relevant to the Shares or to such Transaction and assuming Dealer maintains a commercially reasonable hedge position.</w:t>
            </w:r>
          </w:p>
        </w:tc>
      </w:tr>
      <w:tr>
        <w:trPr/>
        <w:tc>
          <w:tcPr>
            <w:tcW w:w="1549" w:type="dxa"/>
            <w:tcBorders/>
            <w:vAlign w:val="center"/>
          </w:tcPr>
          <w:p>
            <w:pPr>
              <w:pStyle w:val="TableContents"/>
              <w:bidi w:val="0"/>
              <w:spacing w:before="0" w:after="283"/>
              <w:jc w:val="left"/>
              <w:rPr/>
            </w:pPr>
            <w:r>
              <w:rPr/>
              <w:t> </w:t>
            </w:r>
          </w:p>
        </w:tc>
        <w:tc>
          <w:tcPr>
            <w:tcW w:w="8656" w:type="dxa"/>
            <w:tcBorders/>
            <w:vAlign w:val="center"/>
          </w:tcPr>
          <w:p>
            <w:pPr>
              <w:pStyle w:val="TableContents"/>
              <w:bidi w:val="0"/>
              <w:spacing w:before="0" w:after="283"/>
              <w:ind w:left="0" w:right="0" w:firstLine="720"/>
              <w:jc w:val="both"/>
              <w:rPr/>
            </w:pPr>
            <w:r>
              <w:rPr/>
              <w:t> </w:t>
            </w:r>
          </w:p>
        </w:tc>
      </w:tr>
      <w:tr>
        <w:trPr/>
        <w:tc>
          <w:tcPr>
            <w:tcW w:w="1549" w:type="dxa"/>
            <w:tcBorders/>
            <w:vAlign w:val="center"/>
          </w:tcPr>
          <w:p>
            <w:pPr>
              <w:pStyle w:val="TableContents"/>
              <w:bidi w:val="0"/>
              <w:spacing w:before="0" w:after="283"/>
              <w:jc w:val="left"/>
              <w:rPr/>
            </w:pPr>
            <w:r>
              <w:rPr/>
              <w:t>Announcement Event:</w:t>
            </w:r>
          </w:p>
        </w:tc>
        <w:tc>
          <w:tcPr>
            <w:tcW w:w="8656" w:type="dxa"/>
            <w:tcBorders/>
            <w:vAlign w:val="center"/>
          </w:tcPr>
          <w:p>
            <w:pPr>
              <w:pStyle w:val="TableContents"/>
              <w:bidi w:val="0"/>
              <w:spacing w:before="0" w:after="283"/>
              <w:jc w:val="both"/>
              <w:rPr/>
            </w:pPr>
            <w:r>
              <w:rPr/>
              <w:t>(i) The public announcement by Counterparty, any representative or agent of Counterparty, any affiliate of Counterparty or a Valid Third Party Entity (any such person or entity, a “</w:t>
            </w:r>
            <w:r>
              <w:rPr>
                <w:b/>
              </w:rPr>
              <w:t>Relevant Party</w:t>
            </w:r>
            <w:r>
              <w:rPr/>
              <w:t>”) of any transaction or event that, if completed, would constitute a Merger Event or Tender Offer, or the public announcement by a Relevant Party of any intention to enter into a Merger Event or Tender Offer, (ii) the public announcement by a Relevant Party of an intention by Counterparty or other Relevant Party to solicit or enter into, or to explore strategic alternatives or other similar undertaking that may include, a Merger Event or Tender Offer, (iii) there occurs a public announcement by a Relevant Party of any potential acquisition or disposition by Counterparty and/or its subsidiaries where the consideration (excluding, for the avoidance of doubt, any consideration in the form of earn-outs or bona fide other arrangements for consideration payable post-closing of such acquisition or disposition contingent upon the satisfaction of specified facts or conditions) exceeds 35% of the market capitalization of Counterparty as of the date of such announcement, or (iv) any subsequent public announcement by a Relevant Party of a change to a transaction or intention that is the subject of an announcement of the type described in clause (i), (ii) or (iii) of this sentence (including, without limitation, a new announcement relating to such a transaction or intention or the announcement of a withdrawal from, or the abandonment or discontinuation of, such a transaction or intention); provided that, for the avoidance of doubt, the occurrence of an Announcement Event with respect to any transaction or intention shall not preclude the occurrence of a later Announcement Event with respect to such transaction or intention. For purposes of this definition of “Announcement Event,” “Merger Event” shall have the meaning set forth in Section 12.1(b) of the Equity Definitions; provided that the portion of such definition following the definition of “Reverse Merger” shall be disregarded.</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690"/>
        <w:gridCol w:w="8515"/>
      </w:tblGrid>
      <w:tr>
        <w:trPr/>
        <w:tc>
          <w:tcPr>
            <w:tcW w:w="1690" w:type="dxa"/>
            <w:tcBorders/>
            <w:vAlign w:val="center"/>
          </w:tcPr>
          <w:p>
            <w:pPr>
              <w:pStyle w:val="TableContents"/>
              <w:bidi w:val="0"/>
              <w:spacing w:before="0" w:after="283"/>
              <w:ind w:left="0" w:right="0" w:firstLine="720"/>
              <w:jc w:val="left"/>
              <w:rPr/>
            </w:pPr>
            <w:r>
              <w:rPr/>
              <w:t>Valid Third Party Entity:</w:t>
            </w:r>
          </w:p>
        </w:tc>
        <w:tc>
          <w:tcPr>
            <w:tcW w:w="8515" w:type="dxa"/>
            <w:tcBorders/>
            <w:vAlign w:val="center"/>
          </w:tcPr>
          <w:p>
            <w:pPr>
              <w:pStyle w:val="TableContents"/>
              <w:bidi w:val="0"/>
              <w:spacing w:before="0" w:after="283"/>
              <w:ind w:left="0" w:right="0" w:firstLine="720"/>
              <w:jc w:val="both"/>
              <w:rPr/>
            </w:pPr>
            <w:r>
              <w:rPr/>
              <w:t>In respect of any transaction or event, any third party or its affiliate that has a bona fide intent to enter into or consummate such transaction or event (it being understood and agreed that in determining whether such third party has such a bona fide intent, the Calculation Agent shall take into consideration the effect of the relevant announcement by such third party on the Shares and/or options relating to the Shares).</w:t>
            </w:r>
          </w:p>
        </w:tc>
      </w:tr>
      <w:tr>
        <w:trPr/>
        <w:tc>
          <w:tcPr>
            <w:tcW w:w="1690" w:type="dxa"/>
            <w:tcBorders/>
            <w:vAlign w:val="center"/>
          </w:tcPr>
          <w:p>
            <w:pPr>
              <w:pStyle w:val="TableContents"/>
              <w:bidi w:val="0"/>
              <w:spacing w:before="0" w:after="283"/>
              <w:jc w:val="left"/>
              <w:rPr/>
            </w:pPr>
            <w:r>
              <w:rPr/>
              <w:t> </w:t>
            </w:r>
          </w:p>
        </w:tc>
        <w:tc>
          <w:tcPr>
            <w:tcW w:w="8515" w:type="dxa"/>
            <w:tcBorders/>
            <w:vAlign w:val="center"/>
          </w:tcPr>
          <w:p>
            <w:pPr>
              <w:pStyle w:val="TableContents"/>
              <w:bidi w:val="0"/>
              <w:spacing w:before="0" w:after="283"/>
              <w:ind w:left="0" w:right="0" w:hanging="0"/>
              <w:jc w:val="both"/>
              <w:rPr/>
            </w:pPr>
            <w:r>
              <w:rPr/>
              <w:t> </w:t>
            </w:r>
          </w:p>
        </w:tc>
      </w:tr>
      <w:tr>
        <w:trPr/>
        <w:tc>
          <w:tcPr>
            <w:tcW w:w="1690" w:type="dxa"/>
            <w:tcBorders/>
            <w:vAlign w:val="center"/>
          </w:tcPr>
          <w:p>
            <w:pPr>
              <w:pStyle w:val="TableContents"/>
              <w:bidi w:val="0"/>
              <w:spacing w:before="0" w:after="283"/>
              <w:jc w:val="left"/>
              <w:rPr/>
            </w:pPr>
            <w:r>
              <w:rPr/>
              <w:t>Notice of Merger Consideration and Consequences:</w:t>
            </w:r>
          </w:p>
        </w:tc>
        <w:tc>
          <w:tcPr>
            <w:tcW w:w="8515" w:type="dxa"/>
            <w:tcBorders/>
            <w:vAlign w:val="center"/>
          </w:tcPr>
          <w:p>
            <w:pPr>
              <w:pStyle w:val="TableContents"/>
              <w:bidi w:val="0"/>
              <w:spacing w:before="0" w:after="283"/>
              <w:ind w:left="0" w:right="0" w:hanging="0"/>
              <w:jc w:val="both"/>
              <w:rPr/>
            </w:pPr>
            <w:r>
              <w:rPr/>
              <w:t>Upon the occurrence of a Merger Event that causes the Shares to be converted into the right to receive more than a single type of consideration (determined based in part upon any form of stockholder election), Counterparty shall reasonably promptly (but in any event prior to the relevant Merger Date) notify the Calculation Agent of (i) the type and amount of consideration that a holder of Shares would have been entitled to in the case of reclassifications, consolidations, mergers, sales or transfers of assets or other transactions that cause Shares to be converted into the right to receive more than a single type of consideration and (ii) the weighted average of the types and amounts of consideration to be received by the holders of Shares that affirmatively make such an election.</w:t>
            </w:r>
          </w:p>
        </w:tc>
      </w:tr>
      <w:tr>
        <w:trPr/>
        <w:tc>
          <w:tcPr>
            <w:tcW w:w="1690" w:type="dxa"/>
            <w:tcBorders/>
            <w:vAlign w:val="center"/>
          </w:tcPr>
          <w:p>
            <w:pPr>
              <w:pStyle w:val="TableContents"/>
              <w:bidi w:val="0"/>
              <w:spacing w:before="0" w:after="283"/>
              <w:jc w:val="left"/>
              <w:rPr/>
            </w:pPr>
            <w:r>
              <w:rPr/>
              <w:t> </w:t>
            </w:r>
          </w:p>
        </w:tc>
        <w:tc>
          <w:tcPr>
            <w:tcW w:w="8515" w:type="dxa"/>
            <w:tcBorders/>
            <w:vAlign w:val="center"/>
          </w:tcPr>
          <w:p>
            <w:pPr>
              <w:pStyle w:val="TableContents"/>
              <w:bidi w:val="0"/>
              <w:spacing w:before="0" w:after="283"/>
              <w:ind w:left="0" w:right="0" w:hanging="0"/>
              <w:jc w:val="both"/>
              <w:rPr/>
            </w:pPr>
            <w:r>
              <w:rPr/>
              <w:t> </w:t>
            </w:r>
          </w:p>
        </w:tc>
      </w:tr>
      <w:tr>
        <w:trPr/>
        <w:tc>
          <w:tcPr>
            <w:tcW w:w="1690" w:type="dxa"/>
            <w:tcBorders/>
            <w:vAlign w:val="center"/>
          </w:tcPr>
          <w:p>
            <w:pPr>
              <w:pStyle w:val="TableContents"/>
              <w:bidi w:val="0"/>
              <w:spacing w:before="0" w:after="283"/>
              <w:jc w:val="left"/>
              <w:rPr/>
            </w:pPr>
            <w:r>
              <w:rPr/>
              <w:t>Nationalization, Insolvency or Delisting:</w:t>
            </w:r>
          </w:p>
        </w:tc>
        <w:tc>
          <w:tcPr>
            <w:tcW w:w="8515" w:type="dxa"/>
            <w:tcBorders/>
            <w:vAlign w:val="center"/>
          </w:tcPr>
          <w:p>
            <w:pPr>
              <w:pStyle w:val="TableContents"/>
              <w:bidi w:val="0"/>
              <w:spacing w:before="0" w:after="283"/>
              <w:ind w:left="0" w:right="0" w:hanging="0"/>
              <w:jc w:val="both"/>
              <w:rPr/>
            </w:pPr>
            <w:r>
              <w:rPr/>
              <w:t xml:space="preserve">Cancellation and Payment (Calculation Agent Determination); </w:t>
            </w:r>
            <w:r>
              <w:rPr>
                <w:i/>
              </w:rPr>
              <w:t>provided</w:t>
            </w:r>
            <w:r>
              <w:rPr/>
              <w:t xml:space="preserve"> that in addition to the provisions of Section 12.6(a)(iii) of the Equity Definitions, it will also constitute a Delisting if the Shares are not immediately re-listed, re-traded or re-quoted on any of the New York Stock Exchange, The Nasdaq Global Select Market or The Nasdaq Global Market (or their respective successors); if the Shares are immediately re-listed, re-traded or re-quoted on any such exchange or quotation system, such exchange or quotation system shall thereafter be deemed to be the Exchange.</w:t>
            </w:r>
          </w:p>
        </w:tc>
      </w:tr>
      <w:tr>
        <w:trPr/>
        <w:tc>
          <w:tcPr>
            <w:tcW w:w="1690" w:type="dxa"/>
            <w:tcBorders/>
            <w:vAlign w:val="center"/>
          </w:tcPr>
          <w:p>
            <w:pPr>
              <w:pStyle w:val="TableContents"/>
              <w:bidi w:val="0"/>
              <w:spacing w:before="0" w:after="283"/>
              <w:jc w:val="left"/>
              <w:rPr/>
            </w:pPr>
            <w:r>
              <w:rPr/>
              <w:t> </w:t>
            </w:r>
          </w:p>
        </w:tc>
        <w:tc>
          <w:tcPr>
            <w:tcW w:w="8515" w:type="dxa"/>
            <w:tcBorders/>
            <w:vAlign w:val="center"/>
          </w:tcPr>
          <w:p>
            <w:pPr>
              <w:pStyle w:val="TableContents"/>
              <w:bidi w:val="0"/>
              <w:spacing w:before="0" w:after="283"/>
              <w:jc w:val="both"/>
              <w:rPr/>
            </w:pPr>
            <w:r>
              <w:rPr/>
              <w:t> </w:t>
            </w:r>
          </w:p>
        </w:tc>
      </w:tr>
      <w:tr>
        <w:trPr/>
        <w:tc>
          <w:tcPr>
            <w:tcW w:w="1690" w:type="dxa"/>
            <w:tcBorders/>
            <w:vAlign w:val="center"/>
          </w:tcPr>
          <w:p>
            <w:pPr>
              <w:pStyle w:val="TableContents"/>
              <w:bidi w:val="0"/>
              <w:spacing w:before="0" w:after="283"/>
              <w:jc w:val="left"/>
              <w:rPr/>
            </w:pPr>
            <w:r>
              <w:rPr/>
              <w:t>Additional Disruption Events:</w:t>
            </w:r>
          </w:p>
        </w:tc>
        <w:tc>
          <w:tcPr>
            <w:tcW w:w="8515" w:type="dxa"/>
            <w:tcBorders/>
            <w:vAlign w:val="center"/>
          </w:tcPr>
          <w:p>
            <w:pPr>
              <w:pStyle w:val="TableContents"/>
              <w:bidi w:val="0"/>
              <w:spacing w:before="0" w:after="283"/>
              <w:ind w:left="0" w:right="0" w:firstLine="720"/>
              <w:jc w:val="both"/>
              <w:rPr/>
            </w:pPr>
            <w:r>
              <w:rPr/>
              <w:t> </w:t>
            </w:r>
          </w:p>
        </w:tc>
      </w:tr>
      <w:tr>
        <w:trPr/>
        <w:tc>
          <w:tcPr>
            <w:tcW w:w="1690" w:type="dxa"/>
            <w:tcBorders/>
            <w:vAlign w:val="center"/>
          </w:tcPr>
          <w:p>
            <w:pPr>
              <w:pStyle w:val="TableContents"/>
              <w:bidi w:val="0"/>
              <w:spacing w:before="0" w:after="283"/>
              <w:jc w:val="left"/>
              <w:rPr/>
            </w:pPr>
            <w:r>
              <w:rPr/>
              <w:t> </w:t>
            </w:r>
          </w:p>
        </w:tc>
        <w:tc>
          <w:tcPr>
            <w:tcW w:w="8515" w:type="dxa"/>
            <w:tcBorders/>
            <w:vAlign w:val="center"/>
          </w:tcPr>
          <w:p>
            <w:pPr>
              <w:pStyle w:val="TableContents"/>
              <w:bidi w:val="0"/>
              <w:spacing w:before="0" w:after="283"/>
              <w:ind w:left="0" w:right="0" w:firstLine="720"/>
              <w:jc w:val="both"/>
              <w:rPr/>
            </w:pPr>
            <w:r>
              <w:rPr/>
              <w:t> </w:t>
            </w:r>
          </w:p>
        </w:tc>
      </w:tr>
      <w:tr>
        <w:trPr/>
        <w:tc>
          <w:tcPr>
            <w:tcW w:w="1690" w:type="dxa"/>
            <w:tcBorders/>
            <w:vAlign w:val="center"/>
          </w:tcPr>
          <w:p>
            <w:pPr>
              <w:pStyle w:val="TableContents"/>
              <w:bidi w:val="0"/>
              <w:spacing w:before="0" w:after="283"/>
              <w:jc w:val="left"/>
              <w:rPr/>
            </w:pPr>
            <w:r>
              <w:rPr/>
              <w:t>(a) Change in Law:</w:t>
            </w:r>
          </w:p>
        </w:tc>
        <w:tc>
          <w:tcPr>
            <w:tcW w:w="8515" w:type="dxa"/>
            <w:tcBorders/>
            <w:vAlign w:val="center"/>
          </w:tcPr>
          <w:p>
            <w:pPr>
              <w:pStyle w:val="TableContents"/>
              <w:bidi w:val="0"/>
              <w:spacing w:before="0" w:after="283"/>
              <w:ind w:left="0" w:right="0" w:firstLine="720"/>
              <w:jc w:val="both"/>
              <w:rPr/>
            </w:pPr>
            <w:r>
              <w:rPr/>
              <w:t xml:space="preserve">Applicable; </w:t>
            </w:r>
            <w:r>
              <w:rPr>
                <w:i/>
              </w:rPr>
              <w:t>provided</w:t>
            </w:r>
            <w:r>
              <w:rPr/>
              <w:t xml:space="preserve"> that Section 12.9(a)(ii) of the Equity Definitions is hereby amended by (i) replacing the phrase “the interpretation” in the third line thereof with the phrase “, or public announcement of, the formal or informal interpretation”, (ii) adding the phrase “and/or Hedge Position” after the word “Shares” in clause (X) thereof, (iii) immediately following the word “Transaction” in clause (X) thereof, adding the phrase “in the manner contemplated by the Hedging Party on the Trade Date assuming the Hedging Party maintains a commercially reasonable hedge position” and (iv) adding the words “provided that, in the case of clause (Y) hereof and any law, regulation or interpretation, the consequence of such law, regulation or interpretation is applied consistently in good faith and in a commercially reasonable manner by Dealer to all of its similarly situated counterparties and/or similar transactions” after the semi-colon in the last line thereof”; and </w:t>
            </w:r>
            <w:r>
              <w:rPr>
                <w:i/>
              </w:rPr>
              <w:t>provided further</w:t>
            </w:r>
            <w:r>
              <w:rPr/>
              <w:t xml:space="preserve"> that Section 12.9(a)(ii) of the Equity Definitions is hereby amended by (i) replacing the parenthetical beginning after the word “regulation” in the second line thereof with the words “(including, for the avoidance of doubt and without limitation, (x) any tax law or (y) adoption or promulgation of new regulations authorized or mandated by existing statute)” and (ii) adding the words “, or holding, acquiring or disposing of Shares or any Hedge Positions relating to,” after the words “obligations under” in clause (Y) thereof.</w:t>
            </w:r>
          </w:p>
        </w:tc>
      </w:tr>
      <w:tr>
        <w:trPr/>
        <w:tc>
          <w:tcPr>
            <w:tcW w:w="1690" w:type="dxa"/>
            <w:tcBorders/>
            <w:vAlign w:val="center"/>
          </w:tcPr>
          <w:p>
            <w:pPr>
              <w:pStyle w:val="TableContents"/>
              <w:bidi w:val="0"/>
              <w:spacing w:before="0" w:after="283"/>
              <w:jc w:val="left"/>
              <w:rPr/>
            </w:pPr>
            <w:r>
              <w:rPr/>
              <w:t> </w:t>
            </w:r>
          </w:p>
        </w:tc>
        <w:tc>
          <w:tcPr>
            <w:tcW w:w="8515" w:type="dxa"/>
            <w:tcBorders/>
            <w:vAlign w:val="center"/>
          </w:tcPr>
          <w:p>
            <w:pPr>
              <w:pStyle w:val="TableContents"/>
              <w:bidi w:val="0"/>
              <w:spacing w:before="0" w:after="283"/>
              <w:ind w:left="0" w:right="0" w:firstLine="720"/>
              <w:jc w:val="both"/>
              <w:rPr/>
            </w:pPr>
            <w:r>
              <w:rPr/>
              <w:t> </w:t>
            </w:r>
          </w:p>
        </w:tc>
      </w:tr>
      <w:tr>
        <w:trPr/>
        <w:tc>
          <w:tcPr>
            <w:tcW w:w="1690" w:type="dxa"/>
            <w:tcBorders/>
            <w:vAlign w:val="center"/>
          </w:tcPr>
          <w:p>
            <w:pPr>
              <w:pStyle w:val="TableContents"/>
              <w:bidi w:val="0"/>
              <w:spacing w:before="0" w:after="283"/>
              <w:jc w:val="left"/>
              <w:rPr/>
            </w:pPr>
            <w:r>
              <w:rPr/>
              <w:t>(b) Failure to Deliver:</w:t>
            </w:r>
          </w:p>
        </w:tc>
        <w:tc>
          <w:tcPr>
            <w:tcW w:w="8515" w:type="dxa"/>
            <w:tcBorders/>
            <w:vAlign w:val="center"/>
          </w:tcPr>
          <w:p>
            <w:pPr>
              <w:pStyle w:val="TableContents"/>
              <w:bidi w:val="0"/>
              <w:spacing w:before="0" w:after="283"/>
              <w:ind w:left="0" w:right="0" w:firstLine="720"/>
              <w:jc w:val="both"/>
              <w:rPr/>
            </w:pPr>
            <w:r>
              <w:rPr/>
              <w:t>Applicable</w:t>
            </w:r>
          </w:p>
        </w:tc>
      </w:tr>
      <w:tr>
        <w:trPr/>
        <w:tc>
          <w:tcPr>
            <w:tcW w:w="1690" w:type="dxa"/>
            <w:tcBorders/>
            <w:vAlign w:val="center"/>
          </w:tcPr>
          <w:p>
            <w:pPr>
              <w:pStyle w:val="TableContents"/>
              <w:bidi w:val="0"/>
              <w:spacing w:before="0" w:after="283"/>
              <w:jc w:val="left"/>
              <w:rPr/>
            </w:pPr>
            <w:r>
              <w:rPr/>
              <w:t> </w:t>
            </w:r>
          </w:p>
        </w:tc>
        <w:tc>
          <w:tcPr>
            <w:tcW w:w="8515" w:type="dxa"/>
            <w:tcBorders/>
            <w:vAlign w:val="center"/>
          </w:tcPr>
          <w:p>
            <w:pPr>
              <w:pStyle w:val="TableContents"/>
              <w:bidi w:val="0"/>
              <w:spacing w:before="0" w:after="283"/>
              <w:ind w:left="0" w:right="0" w:firstLine="720"/>
              <w:jc w:val="both"/>
              <w:rPr/>
            </w:pPr>
            <w:r>
              <w:rPr/>
              <w:t> </w:t>
            </w:r>
          </w:p>
        </w:tc>
      </w:tr>
      <w:tr>
        <w:trPr/>
        <w:tc>
          <w:tcPr>
            <w:tcW w:w="1690" w:type="dxa"/>
            <w:tcBorders/>
            <w:vAlign w:val="center"/>
          </w:tcPr>
          <w:p>
            <w:pPr>
              <w:pStyle w:val="TableContents"/>
              <w:bidi w:val="0"/>
              <w:spacing w:before="0" w:after="283"/>
              <w:jc w:val="left"/>
              <w:rPr/>
            </w:pPr>
            <w:r>
              <w:rPr/>
              <w:t>(c) Insolvency Filing:</w:t>
            </w:r>
          </w:p>
        </w:tc>
        <w:tc>
          <w:tcPr>
            <w:tcW w:w="8515" w:type="dxa"/>
            <w:tcBorders/>
            <w:vAlign w:val="center"/>
          </w:tcPr>
          <w:p>
            <w:pPr>
              <w:pStyle w:val="TableContents"/>
              <w:bidi w:val="0"/>
              <w:spacing w:before="0" w:after="283"/>
              <w:ind w:left="0" w:right="0" w:firstLine="720"/>
              <w:jc w:val="both"/>
              <w:rPr/>
            </w:pPr>
            <w:r>
              <w:rPr/>
              <w:t>Applicable</w:t>
            </w:r>
          </w:p>
        </w:tc>
      </w:tr>
      <w:tr>
        <w:trPr/>
        <w:tc>
          <w:tcPr>
            <w:tcW w:w="1690" w:type="dxa"/>
            <w:tcBorders/>
            <w:vAlign w:val="center"/>
          </w:tcPr>
          <w:p>
            <w:pPr>
              <w:pStyle w:val="TableContents"/>
              <w:bidi w:val="0"/>
              <w:spacing w:before="0" w:after="283"/>
              <w:jc w:val="left"/>
              <w:rPr/>
            </w:pPr>
            <w:r>
              <w:rPr/>
              <w:t> </w:t>
            </w:r>
          </w:p>
        </w:tc>
        <w:tc>
          <w:tcPr>
            <w:tcW w:w="8515" w:type="dxa"/>
            <w:tcBorders/>
            <w:vAlign w:val="center"/>
          </w:tcPr>
          <w:p>
            <w:pPr>
              <w:pStyle w:val="TableContents"/>
              <w:bidi w:val="0"/>
              <w:spacing w:before="0" w:after="283"/>
              <w:ind w:left="0" w:right="0" w:firstLine="720"/>
              <w:jc w:val="both"/>
              <w:rPr/>
            </w:pPr>
            <w:r>
              <w:rPr/>
              <w:t> </w:t>
            </w:r>
          </w:p>
        </w:tc>
      </w:tr>
      <w:tr>
        <w:trPr/>
        <w:tc>
          <w:tcPr>
            <w:tcW w:w="1690" w:type="dxa"/>
            <w:tcBorders/>
            <w:vAlign w:val="center"/>
          </w:tcPr>
          <w:p>
            <w:pPr>
              <w:pStyle w:val="TableContents"/>
              <w:bidi w:val="0"/>
              <w:spacing w:before="0" w:after="283"/>
              <w:jc w:val="left"/>
              <w:rPr/>
            </w:pPr>
            <w:r>
              <w:rPr/>
              <w:t>(d) Hedging Disruption:</w:t>
            </w:r>
          </w:p>
        </w:tc>
        <w:tc>
          <w:tcPr>
            <w:tcW w:w="851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Applicable;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Section 12.9(a)(v) of the Equity Definitions is hereby amended by inserting the following at the end of such Section: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provided that any such inability that is incurred solely due to the deterioration of the creditworthiness of the Hedging Party shall not be deemed a Hedging Disruption. “For the avoidance of doubt, (i) the term “equity price risk” shall be deemed to include, but shall not be limited to, stock price and volatility risk, and (ii) the transactions or assets referred to in phrases (A) or (B) above must be available on commercially reasonable pricing and other terms.”; and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Section 12.9(b)(iii) of the Equity Definitions is hereby amended by inserting in the third line thereof, after the words “to terminate the Transaction”, the words “or a portion of the Transaction affected by such Hedging Disruption”.</w:t>
            </w:r>
          </w:p>
        </w:tc>
      </w:tr>
      <w:tr>
        <w:trPr/>
        <w:tc>
          <w:tcPr>
            <w:tcW w:w="1690" w:type="dxa"/>
            <w:tcBorders/>
            <w:vAlign w:val="center"/>
          </w:tcPr>
          <w:p>
            <w:pPr>
              <w:pStyle w:val="TableContents"/>
              <w:bidi w:val="0"/>
              <w:spacing w:before="0" w:after="283"/>
              <w:jc w:val="left"/>
              <w:rPr/>
            </w:pPr>
            <w:r>
              <w:rPr/>
              <w:t> </w:t>
            </w:r>
          </w:p>
        </w:tc>
        <w:tc>
          <w:tcPr>
            <w:tcW w:w="8515" w:type="dxa"/>
            <w:tcBorders/>
            <w:vAlign w:val="center"/>
          </w:tcPr>
          <w:p>
            <w:pPr>
              <w:pStyle w:val="TableContents"/>
              <w:bidi w:val="0"/>
              <w:spacing w:before="0" w:after="283"/>
              <w:ind w:left="0" w:right="0" w:firstLine="720"/>
              <w:jc w:val="both"/>
              <w:rPr/>
            </w:pPr>
            <w:r>
              <w:rPr/>
              <w:t> </w:t>
            </w:r>
          </w:p>
        </w:tc>
      </w:tr>
      <w:tr>
        <w:trPr/>
        <w:tc>
          <w:tcPr>
            <w:tcW w:w="1690" w:type="dxa"/>
            <w:tcBorders/>
            <w:vAlign w:val="center"/>
          </w:tcPr>
          <w:p>
            <w:pPr>
              <w:pStyle w:val="TableContents"/>
              <w:bidi w:val="0"/>
              <w:spacing w:before="0" w:after="283"/>
              <w:jc w:val="left"/>
              <w:rPr/>
            </w:pPr>
            <w:r>
              <w:rPr/>
              <w:t>(e) Increased Cost of Hedging:</w:t>
            </w:r>
          </w:p>
        </w:tc>
        <w:tc>
          <w:tcPr>
            <w:tcW w:w="8515" w:type="dxa"/>
            <w:tcBorders/>
            <w:vAlign w:val="center"/>
          </w:tcPr>
          <w:p>
            <w:pPr>
              <w:pStyle w:val="TableContents"/>
              <w:bidi w:val="0"/>
              <w:spacing w:before="0" w:after="283"/>
              <w:ind w:left="0" w:right="0" w:firstLine="720"/>
              <w:jc w:val="both"/>
              <w:rPr/>
            </w:pPr>
            <w:r>
              <w:rPr/>
              <w:t>Not Applicable</w:t>
            </w:r>
          </w:p>
        </w:tc>
      </w:tr>
      <w:tr>
        <w:trPr/>
        <w:tc>
          <w:tcPr>
            <w:tcW w:w="1690" w:type="dxa"/>
            <w:tcBorders/>
            <w:vAlign w:val="center"/>
          </w:tcPr>
          <w:p>
            <w:pPr>
              <w:pStyle w:val="TableContents"/>
              <w:bidi w:val="0"/>
              <w:spacing w:before="0" w:after="283"/>
              <w:jc w:val="left"/>
              <w:rPr/>
            </w:pPr>
            <w:r>
              <w:rPr/>
              <w:t> </w:t>
            </w:r>
          </w:p>
        </w:tc>
        <w:tc>
          <w:tcPr>
            <w:tcW w:w="8515" w:type="dxa"/>
            <w:tcBorders/>
            <w:vAlign w:val="center"/>
          </w:tcPr>
          <w:p>
            <w:pPr>
              <w:pStyle w:val="TableContents"/>
              <w:bidi w:val="0"/>
              <w:spacing w:before="0" w:after="283"/>
              <w:jc w:val="both"/>
              <w:rPr/>
            </w:pPr>
            <w:r>
              <w:rPr/>
              <w:t> </w:t>
            </w:r>
          </w:p>
        </w:tc>
      </w:tr>
      <w:tr>
        <w:trPr/>
        <w:tc>
          <w:tcPr>
            <w:tcW w:w="1690" w:type="dxa"/>
            <w:tcBorders/>
            <w:vAlign w:val="center"/>
          </w:tcPr>
          <w:p>
            <w:pPr>
              <w:pStyle w:val="TableContents"/>
              <w:bidi w:val="0"/>
              <w:spacing w:before="0" w:after="283"/>
              <w:jc w:val="left"/>
              <w:rPr/>
            </w:pPr>
            <w:r>
              <w:rPr/>
              <w:t>Hedging Party:</w:t>
            </w:r>
          </w:p>
        </w:tc>
        <w:tc>
          <w:tcPr>
            <w:tcW w:w="8515" w:type="dxa"/>
            <w:tcBorders/>
            <w:vAlign w:val="center"/>
          </w:tcPr>
          <w:p>
            <w:pPr>
              <w:pStyle w:val="TableContents"/>
              <w:bidi w:val="0"/>
              <w:spacing w:before="0" w:after="283"/>
              <w:jc w:val="both"/>
              <w:rPr/>
            </w:pPr>
            <w:r>
              <w:rPr/>
              <w:t>Dealer</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121"/>
        <w:gridCol w:w="8084"/>
      </w:tblGrid>
      <w:tr>
        <w:trPr/>
        <w:tc>
          <w:tcPr>
            <w:tcW w:w="2121" w:type="dxa"/>
            <w:tcBorders/>
            <w:vAlign w:val="center"/>
          </w:tcPr>
          <w:p>
            <w:pPr>
              <w:pStyle w:val="TableContents"/>
              <w:bidi w:val="0"/>
              <w:spacing w:before="0" w:after="283"/>
              <w:jc w:val="left"/>
              <w:rPr/>
            </w:pPr>
            <w:r>
              <w:rPr/>
              <w:t>Determining Party:</w:t>
            </w:r>
          </w:p>
        </w:tc>
        <w:tc>
          <w:tcPr>
            <w:tcW w:w="8084" w:type="dxa"/>
            <w:tcBorders/>
            <w:vAlign w:val="center"/>
          </w:tcPr>
          <w:p>
            <w:pPr>
              <w:pStyle w:val="TableContents"/>
              <w:bidi w:val="0"/>
              <w:spacing w:before="0" w:after="283"/>
              <w:jc w:val="both"/>
              <w:rPr/>
            </w:pPr>
            <w:r>
              <w:rPr/>
              <w:t xml:space="preserve">For all applicable Extraordinary Events, Dealer; all calculations and determinations made by the Determining Party shall be made in good faith and in a commercially reasonable manner; </w:t>
            </w:r>
            <w:r>
              <w:rPr>
                <w:i/>
              </w:rPr>
              <w:t>provided</w:t>
            </w:r>
            <w:r>
              <w:rPr/>
              <w:t xml:space="preserve"> that, upon receipt of written request from Counterparty, the Determining Party shall promptly provide Counterparty with a written explanation describing in reasonable detail any calculation, adjustment or determination made by it (including any quotations, market data or information from internal or external sources used in making such calculation, adjustment or determination, as the case may be, in a commonly used file format for the storage and manipulation of financial data, but without disclosing Determining Party’s proprietary models or other information that may be proprietary or subject to contractual, legal or regulatory obligations to not disclose such information), and shall use commercially reasonable efforts to provide such written explanation within five (5) Exchange Business Days from the receipt of such request.</w:t>
            </w:r>
          </w:p>
        </w:tc>
      </w:tr>
      <w:tr>
        <w:trPr/>
        <w:tc>
          <w:tcPr>
            <w:tcW w:w="2121" w:type="dxa"/>
            <w:tcBorders/>
            <w:vAlign w:val="center"/>
          </w:tcPr>
          <w:p>
            <w:pPr>
              <w:pStyle w:val="TableContents"/>
              <w:bidi w:val="0"/>
              <w:spacing w:before="0" w:after="283"/>
              <w:jc w:val="left"/>
              <w:rPr/>
            </w:pPr>
            <w:r>
              <w:rPr/>
              <w:t> </w:t>
            </w:r>
          </w:p>
        </w:tc>
        <w:tc>
          <w:tcPr>
            <w:tcW w:w="8084" w:type="dxa"/>
            <w:tcBorders/>
            <w:vAlign w:val="center"/>
          </w:tcPr>
          <w:p>
            <w:pPr>
              <w:pStyle w:val="TableContents"/>
              <w:bidi w:val="0"/>
              <w:spacing w:before="0" w:after="283"/>
              <w:ind w:left="0" w:right="0" w:firstLine="720"/>
              <w:jc w:val="both"/>
              <w:rPr/>
            </w:pPr>
            <w:r>
              <w:rPr/>
              <w:t> </w:t>
            </w:r>
          </w:p>
        </w:tc>
      </w:tr>
      <w:tr>
        <w:trPr/>
        <w:tc>
          <w:tcPr>
            <w:tcW w:w="2121" w:type="dxa"/>
            <w:tcBorders/>
            <w:vAlign w:val="center"/>
          </w:tcPr>
          <w:p>
            <w:pPr>
              <w:pStyle w:val="TableContents"/>
              <w:bidi w:val="0"/>
              <w:spacing w:before="0" w:after="283"/>
              <w:jc w:val="left"/>
              <w:rPr/>
            </w:pPr>
            <w:r>
              <w:rPr/>
              <w:t>Non-Reliance:</w:t>
            </w:r>
          </w:p>
        </w:tc>
        <w:tc>
          <w:tcPr>
            <w:tcW w:w="8084" w:type="dxa"/>
            <w:tcBorders/>
            <w:vAlign w:val="center"/>
          </w:tcPr>
          <w:p>
            <w:pPr>
              <w:pStyle w:val="TableContents"/>
              <w:bidi w:val="0"/>
              <w:spacing w:before="0" w:after="283"/>
              <w:ind w:left="0" w:right="0" w:firstLine="720"/>
              <w:jc w:val="both"/>
              <w:rPr/>
            </w:pPr>
            <w:r>
              <w:rPr/>
              <w:t>Applicable</w:t>
            </w:r>
          </w:p>
        </w:tc>
      </w:tr>
      <w:tr>
        <w:trPr/>
        <w:tc>
          <w:tcPr>
            <w:tcW w:w="2121" w:type="dxa"/>
            <w:tcBorders/>
            <w:vAlign w:val="center"/>
          </w:tcPr>
          <w:p>
            <w:pPr>
              <w:pStyle w:val="TableContents"/>
              <w:bidi w:val="0"/>
              <w:spacing w:before="0" w:after="283"/>
              <w:jc w:val="left"/>
              <w:rPr/>
            </w:pPr>
            <w:r>
              <w:rPr/>
              <w:t> </w:t>
            </w:r>
          </w:p>
        </w:tc>
        <w:tc>
          <w:tcPr>
            <w:tcW w:w="8084" w:type="dxa"/>
            <w:tcBorders/>
            <w:vAlign w:val="center"/>
          </w:tcPr>
          <w:p>
            <w:pPr>
              <w:pStyle w:val="TableContents"/>
              <w:bidi w:val="0"/>
              <w:spacing w:before="0" w:after="283"/>
              <w:ind w:left="0" w:right="0" w:hanging="0"/>
              <w:jc w:val="both"/>
              <w:rPr/>
            </w:pPr>
            <w:r>
              <w:rPr/>
              <w:t> </w:t>
            </w:r>
          </w:p>
        </w:tc>
      </w:tr>
      <w:tr>
        <w:trPr/>
        <w:tc>
          <w:tcPr>
            <w:tcW w:w="2121" w:type="dxa"/>
            <w:tcBorders/>
            <w:vAlign w:val="center"/>
          </w:tcPr>
          <w:p>
            <w:pPr>
              <w:pStyle w:val="TableContents"/>
              <w:bidi w:val="0"/>
              <w:spacing w:before="0" w:after="283"/>
              <w:jc w:val="left"/>
              <w:rPr/>
            </w:pPr>
            <w:r>
              <w:rPr/>
              <w:t>Agreements and Acknowledgments Regarding Hedging Activities:</w:t>
            </w:r>
          </w:p>
        </w:tc>
        <w:tc>
          <w:tcPr>
            <w:tcW w:w="8084" w:type="dxa"/>
            <w:tcBorders/>
            <w:vAlign w:val="center"/>
          </w:tcPr>
          <w:p>
            <w:pPr>
              <w:pStyle w:val="TableContents"/>
              <w:bidi w:val="0"/>
              <w:spacing w:before="0" w:after="283"/>
              <w:ind w:left="0" w:right="0" w:firstLine="720"/>
              <w:jc w:val="both"/>
              <w:rPr/>
            </w:pPr>
            <w:r>
              <w:rPr/>
              <w:t>Applicable</w:t>
            </w:r>
          </w:p>
        </w:tc>
      </w:tr>
      <w:tr>
        <w:trPr/>
        <w:tc>
          <w:tcPr>
            <w:tcW w:w="2121" w:type="dxa"/>
            <w:tcBorders/>
            <w:vAlign w:val="center"/>
          </w:tcPr>
          <w:p>
            <w:pPr>
              <w:pStyle w:val="TableContents"/>
              <w:bidi w:val="0"/>
              <w:spacing w:before="0" w:after="283"/>
              <w:jc w:val="left"/>
              <w:rPr/>
            </w:pPr>
            <w:r>
              <w:rPr/>
              <w:t> </w:t>
            </w:r>
          </w:p>
        </w:tc>
        <w:tc>
          <w:tcPr>
            <w:tcW w:w="8084" w:type="dxa"/>
            <w:tcBorders/>
            <w:vAlign w:val="center"/>
          </w:tcPr>
          <w:p>
            <w:pPr>
              <w:pStyle w:val="TableContents"/>
              <w:bidi w:val="0"/>
              <w:spacing w:before="0" w:after="283"/>
              <w:ind w:left="0" w:right="0" w:firstLine="720"/>
              <w:jc w:val="both"/>
              <w:rPr/>
            </w:pPr>
            <w:r>
              <w:rPr/>
              <w:t> </w:t>
            </w:r>
          </w:p>
        </w:tc>
      </w:tr>
      <w:tr>
        <w:trPr/>
        <w:tc>
          <w:tcPr>
            <w:tcW w:w="2121" w:type="dxa"/>
            <w:tcBorders/>
            <w:vAlign w:val="center"/>
          </w:tcPr>
          <w:p>
            <w:pPr>
              <w:pStyle w:val="TableContents"/>
              <w:bidi w:val="0"/>
              <w:spacing w:before="0" w:after="283"/>
              <w:jc w:val="left"/>
              <w:rPr/>
            </w:pPr>
            <w:r>
              <w:rPr/>
              <w:t>Additional Acknowledgments:</w:t>
            </w:r>
          </w:p>
        </w:tc>
        <w:tc>
          <w:tcPr>
            <w:tcW w:w="8084" w:type="dxa"/>
            <w:tcBorders/>
            <w:vAlign w:val="center"/>
          </w:tcPr>
          <w:p>
            <w:pPr>
              <w:pStyle w:val="TableContents"/>
              <w:bidi w:val="0"/>
              <w:spacing w:before="0" w:after="283"/>
              <w:jc w:val="both"/>
              <w:rPr/>
            </w:pPr>
            <w:r>
              <w:rPr/>
              <w:t>Applicable</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Calculation Agent</w:t>
      </w:r>
      <w:r>
        <w:rPr>
          <w:rFonts w:ascii="Times New Roman;Times;Serif" w:hAnsi="Times New Roman;Times;Serif"/>
          <w:b w:val="false"/>
          <w:i w:val="false"/>
          <w:caps w:val="false"/>
          <w:smallCaps w:val="false"/>
          <w:sz w:val="20"/>
        </w:rPr>
        <w:t xml:space="preserve">: Dealer;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following the occurrence of an Event of Default of the type described in Section 5(a)(vii) of the Agreement with respect to which Dealer is the sole Defaulting Party, if the Calculation Agent fails to timely make any calculation, adjustment or determination required to be made by the Calculation Agent hereunder or to perform any obligation of the Calculation Agent hereunder and such failure continues for five (5) Exchange Business Days following notice to the Calculation Agent by Counterparty of such failure, Counterparty shall have the right to designate a nationally recognized third-party dealer in over-the-counter corporate equity derivatives to act, during the period commencing on the date such Event of Default occurred and ending on the Early Termination Date with respect to such Event of Default, as the Calculation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calculations, adjustments and determinations made by the Calculation Agent shall be made in good faith and in a commercially reasonable manner;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upon receipt of written request from Counterparty, the Calculation Agent shall promptly provide Counterparty with a written explanation describing in reasonable detail any calculation, adjustment or determination made by it (including any quotations, market data or information from internal or external sources used in making such calculation, adjustment or determination, as the case may be, but without disclosing Dealer's proprietary models or other information that may be proprietary or subject to contractual, legal or regulatory obligations to not disclose such information), and shall use commercially reasonable efforts to provide such written explanation within five (5) Exchange Business Days from the receipt of such request.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Account Details</w:t>
      </w: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 Payment Instructions:</w:t>
      </w:r>
    </w:p>
    <w:p>
      <w:pPr>
        <w:pStyle w:val="TextBody"/>
        <w:bidi w:val="0"/>
        <w:spacing w:before="0" w:after="0"/>
        <w:ind w:left="144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75"/>
        <w:gridCol w:w="1415"/>
        <w:gridCol w:w="1625"/>
      </w:tblGrid>
      <w:tr>
        <w:trPr/>
        <w:tc>
          <w:tcPr>
            <w:tcW w:w="75"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Bank:</w:t>
            </w:r>
          </w:p>
        </w:tc>
        <w:tc>
          <w:tcPr>
            <w:tcW w:w="1625" w:type="dxa"/>
            <w:tcBorders/>
            <w:vAlign w:val="center"/>
          </w:tcPr>
          <w:p>
            <w:pPr>
              <w:pStyle w:val="TableContents"/>
              <w:bidi w:val="0"/>
              <w:spacing w:before="0" w:after="283"/>
              <w:jc w:val="left"/>
              <w:rPr/>
            </w:pPr>
            <w:r>
              <w:rPr/>
              <w:t>[____________]</w:t>
            </w:r>
          </w:p>
        </w:tc>
      </w:tr>
      <w:tr>
        <w:trPr/>
        <w:tc>
          <w:tcPr>
            <w:tcW w:w="75"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SWIFT:</w:t>
            </w:r>
          </w:p>
        </w:tc>
        <w:tc>
          <w:tcPr>
            <w:tcW w:w="1625" w:type="dxa"/>
            <w:tcBorders/>
            <w:vAlign w:val="center"/>
          </w:tcPr>
          <w:p>
            <w:pPr>
              <w:pStyle w:val="TableContents"/>
              <w:bidi w:val="0"/>
              <w:spacing w:before="0" w:after="283"/>
              <w:jc w:val="left"/>
              <w:rPr/>
            </w:pPr>
            <w:r>
              <w:rPr/>
              <w:t>[____________]</w:t>
            </w:r>
          </w:p>
        </w:tc>
      </w:tr>
      <w:tr>
        <w:trPr/>
        <w:tc>
          <w:tcPr>
            <w:tcW w:w="75"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Bank Routing:</w:t>
            </w:r>
          </w:p>
        </w:tc>
        <w:tc>
          <w:tcPr>
            <w:tcW w:w="1625" w:type="dxa"/>
            <w:tcBorders/>
            <w:vAlign w:val="center"/>
          </w:tcPr>
          <w:p>
            <w:pPr>
              <w:pStyle w:val="TableContents"/>
              <w:bidi w:val="0"/>
              <w:spacing w:before="0" w:after="283"/>
              <w:jc w:val="left"/>
              <w:rPr/>
            </w:pPr>
            <w:r>
              <w:rPr/>
              <w:t>[____________]</w:t>
            </w:r>
          </w:p>
        </w:tc>
      </w:tr>
      <w:tr>
        <w:trPr/>
        <w:tc>
          <w:tcPr>
            <w:tcW w:w="75"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Acct Name:</w:t>
            </w:r>
          </w:p>
        </w:tc>
        <w:tc>
          <w:tcPr>
            <w:tcW w:w="1625" w:type="dxa"/>
            <w:tcBorders/>
            <w:vAlign w:val="center"/>
          </w:tcPr>
          <w:p>
            <w:pPr>
              <w:pStyle w:val="TableContents"/>
              <w:bidi w:val="0"/>
              <w:spacing w:before="0" w:after="283"/>
              <w:jc w:val="left"/>
              <w:rPr/>
            </w:pPr>
            <w:r>
              <w:rPr/>
              <w:t>[____________]</w:t>
            </w:r>
          </w:p>
        </w:tc>
      </w:tr>
      <w:tr>
        <w:trPr/>
        <w:tc>
          <w:tcPr>
            <w:tcW w:w="75"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Acct No.:</w:t>
            </w:r>
          </w:p>
        </w:tc>
        <w:tc>
          <w:tcPr>
            <w:tcW w:w="1625" w:type="dxa"/>
            <w:tcBorders/>
            <w:vAlign w:val="center"/>
          </w:tcPr>
          <w:p>
            <w:pPr>
              <w:pStyle w:val="TableContents"/>
              <w:bidi w:val="0"/>
              <w:spacing w:before="0" w:after="283"/>
              <w:jc w:val="left"/>
              <w:rPr/>
            </w:pPr>
            <w:r>
              <w:rPr/>
              <w:t>[____________]</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Counterparty Payment Instructions: To be advised.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Offices</w:t>
      </w: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 of Dealer for the Transaction is: [____________]</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Dealer’s Office Address</w:t>
      </w: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 of Counterparty for the Transaction is: Inapplicable, Counterparty is not a Multibranch Party.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For purposes of this Confirmation: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Address for notices or communications to Counterparty:</w:t>
      </w:r>
    </w:p>
    <w:p>
      <w:pPr>
        <w:pStyle w:val="TextBody"/>
        <w:bidi w:val="0"/>
        <w:spacing w:before="0" w:after="0"/>
        <w:ind w:left="2880" w:right="0" w:hanging="1350"/>
        <w:jc w:val="left"/>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75"/>
        <w:gridCol w:w="1505"/>
        <w:gridCol w:w="2735"/>
      </w:tblGrid>
      <w:tr>
        <w:trPr/>
        <w:tc>
          <w:tcPr>
            <w:tcW w:w="75"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pPr>
            <w:r>
              <w:rPr/>
              <w:t>To:</w:t>
            </w:r>
          </w:p>
        </w:tc>
        <w:tc>
          <w:tcPr>
            <w:tcW w:w="2735" w:type="dxa"/>
            <w:tcBorders/>
            <w:vAlign w:val="center"/>
          </w:tcPr>
          <w:p>
            <w:pPr>
              <w:pStyle w:val="TableContents"/>
              <w:bidi w:val="0"/>
              <w:spacing w:before="0" w:after="283"/>
              <w:jc w:val="left"/>
              <w:rPr/>
            </w:pPr>
            <w:r>
              <w:rPr/>
              <w:t>Bitdeer Technologies Group</w:t>
            </w:r>
          </w:p>
        </w:tc>
      </w:tr>
      <w:tr>
        <w:trPr/>
        <w:tc>
          <w:tcPr>
            <w:tcW w:w="75"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283"/>
              <w:jc w:val="left"/>
              <w:rPr/>
            </w:pPr>
            <w:r>
              <w:rPr/>
              <w:t>08 Kallang Avenue</w:t>
            </w:r>
          </w:p>
        </w:tc>
      </w:tr>
      <w:tr>
        <w:trPr/>
        <w:tc>
          <w:tcPr>
            <w:tcW w:w="75"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283"/>
              <w:jc w:val="left"/>
              <w:rPr/>
            </w:pPr>
            <w:r>
              <w:rPr/>
              <w:t>Aperia tower 1, #09-03/04</w:t>
            </w:r>
          </w:p>
        </w:tc>
      </w:tr>
      <w:tr>
        <w:trPr/>
        <w:tc>
          <w:tcPr>
            <w:tcW w:w="75"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283"/>
              <w:jc w:val="left"/>
              <w:rPr/>
            </w:pPr>
            <w:r>
              <w:rPr/>
              <w:t>Singapore 339509</w:t>
            </w:r>
          </w:p>
        </w:tc>
      </w:tr>
      <w:tr>
        <w:trPr/>
        <w:tc>
          <w:tcPr>
            <w:tcW w:w="75"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Attention:</w:t>
            </w:r>
          </w:p>
        </w:tc>
        <w:tc>
          <w:tcPr>
            <w:tcW w:w="27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Telephone No.:</w:t>
            </w:r>
          </w:p>
        </w:tc>
        <w:tc>
          <w:tcPr>
            <w:tcW w:w="27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Email:</w:t>
            </w:r>
          </w:p>
        </w:tc>
        <w:tc>
          <w:tcPr>
            <w:tcW w:w="27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0" w:type="dxa"/>
            <w:gridSpan w:val="2"/>
            <w:tcBorders/>
            <w:vAlign w:val="center"/>
          </w:tcPr>
          <w:p>
            <w:pPr>
              <w:pStyle w:val="TableContents"/>
              <w:bidi w:val="0"/>
              <w:spacing w:before="0" w:after="283"/>
              <w:jc w:val="left"/>
              <w:rPr/>
            </w:pPr>
            <w:r>
              <w:rPr/>
              <w:t>With a mandatory copy to: IR@bitdeer.com</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2880" w:right="0" w:hanging="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Address for notices or communications to Dealer:</w:t>
      </w:r>
    </w:p>
    <w:p>
      <w:pPr>
        <w:pStyle w:val="TextBody"/>
        <w:bidi w:val="0"/>
        <w:spacing w:before="0" w:after="0"/>
        <w:ind w:left="1440" w:right="0" w:hanging="0"/>
        <w:jc w:val="left"/>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75"/>
        <w:gridCol w:w="1085"/>
        <w:gridCol w:w="905"/>
      </w:tblGrid>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To:</w:t>
            </w:r>
          </w:p>
        </w:tc>
        <w:tc>
          <w:tcPr>
            <w:tcW w:w="9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Attention:</w:t>
            </w:r>
          </w:p>
        </w:tc>
        <w:tc>
          <w:tcPr>
            <w:tcW w:w="9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Telephone:</w:t>
            </w:r>
          </w:p>
        </w:tc>
        <w:tc>
          <w:tcPr>
            <w:tcW w:w="9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Facsimile:</w:t>
            </w:r>
          </w:p>
        </w:tc>
        <w:tc>
          <w:tcPr>
            <w:tcW w:w="9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Email:</w:t>
            </w:r>
          </w:p>
        </w:tc>
        <w:tc>
          <w:tcPr>
            <w:tcW w:w="90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 xml:space="preserve">Representations, Warranties and Agreements: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addition to the representations and warranties in the Agreement and those contained elsewhere herein, Counterparty represents and warrants to and for the benefit of, and agrees with, Dealer as follows:</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 the Trade Date (A) none of Counterparty and its officers and directors is aware of any material non-public information regarding Counterparty or the Shares, and (B) all reports and other documents filed by Counterparty with the Securities and Exchange Commission pursuant to the Exchange Act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 .</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On the Trade Date, Counterparty is not engaged in any “distribution,” as such term is defined in Regulation M under the Exchange Act (“</w:t>
      </w:r>
      <w:r>
        <w:rPr>
          <w:rFonts w:ascii="Times New Roman;Times;Serif" w:hAnsi="Times New Roman;Times;Serif"/>
          <w:b/>
          <w:i w:val="false"/>
          <w:caps w:val="false"/>
          <w:smallCaps w:val="false"/>
          <w:sz w:val="20"/>
        </w:rPr>
        <w:t>Regulation M</w:t>
      </w:r>
      <w:r>
        <w:rPr>
          <w:rFonts w:ascii="Times New Roman;Times;Serif" w:hAnsi="Times New Roman;Times;Serif"/>
          <w:b w:val="false"/>
          <w:i w:val="false"/>
          <w:caps w:val="false"/>
          <w:smallCaps w:val="false"/>
          <w:sz w:val="20"/>
        </w:rPr>
        <w:t>”), other than (i) a distribution meeting the requirements of the exceptions set forth in Rule 101(b)(10) and Rule 102(b)(7) or Rule 102(c)(1)(i) of Regulation M and (ii) the distribution of Shares by Counterparty concurrently with the distribution of the Convertible Notes (as defined below). Counterparty shall not, until the second Exchange Business Day immediately following the Trade Date, engage in any such distribution.</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[reserved].</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Without limiting the generality of Section 13.1 of the Equity Definitions, Counterparty acknowledges that neither Dealer nor any of its affiliates is making any representations or warranties or taking any position or expressing any view with respect to the treatment of the Transaction under any accounting standards including ASC Topic 260, </w:t>
      </w:r>
      <w:r>
        <w:rPr>
          <w:rFonts w:ascii="Times New Roman;Times;Serif" w:hAnsi="Times New Roman;Times;Serif"/>
          <w:b w:val="false"/>
          <w:i/>
          <w:caps w:val="false"/>
          <w:smallCaps w:val="false"/>
          <w:sz w:val="20"/>
        </w:rPr>
        <w:t>Earnings Per Share</w:t>
      </w:r>
      <w:r>
        <w:rPr>
          <w:rFonts w:ascii="Times New Roman;Times;Serif" w:hAnsi="Times New Roman;Times;Serif"/>
          <w:b w:val="false"/>
          <w:i w:val="false"/>
          <w:caps w:val="false"/>
          <w:smallCaps w:val="false"/>
          <w:sz w:val="20"/>
        </w:rPr>
        <w:t xml:space="preserve">, ASC Topic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caps w:val="false"/>
          <w:smallCaps w:val="false"/>
          <w:sz w:val="20"/>
        </w:rPr>
        <w:t>ASC Topic 480, Distinguishing Liabilities from Equity</w:t>
      </w:r>
      <w:r>
        <w:rPr>
          <w:rFonts w:ascii="Times New Roman;Times;Serif" w:hAnsi="Times New Roman;Times;Serif"/>
          <w:b w:val="false"/>
          <w:i w:val="false"/>
          <w:caps w:val="false"/>
          <w:smallCaps w:val="false"/>
          <w:sz w:val="20"/>
        </w:rPr>
        <w:t xml:space="preserve"> and ASC </w:t>
      </w:r>
      <w:r>
        <w:rPr>
          <w:rFonts w:ascii="Times New Roman;Times;Serif" w:hAnsi="Times New Roman;Times;Serif"/>
          <w:b w:val="false"/>
          <w:i/>
          <w:caps w:val="false"/>
          <w:smallCaps w:val="false"/>
          <w:sz w:val="20"/>
        </w:rPr>
        <w:t>815-40, Derivatives and Hedging</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caps w:val="false"/>
          <w:smallCaps w:val="false"/>
          <w:sz w:val="20"/>
        </w:rPr>
        <w:t>Contracts in Entity's Own Equity</w:t>
      </w:r>
      <w:r>
        <w:rPr>
          <w:rFonts w:ascii="Times New Roman;Times;Serif" w:hAnsi="Times New Roman;Times;Serif"/>
          <w:b w:val="false"/>
          <w:i w:val="false"/>
          <w:caps w:val="false"/>
          <w:smallCaps w:val="false"/>
          <w:sz w:val="20"/>
        </w:rPr>
        <w:t xml:space="preserve"> (or any successor issue statements).</w:t>
      </w:r>
    </w:p>
    <w:p>
      <w:pPr>
        <w:pStyle w:val="TextBody"/>
        <w:bidi w:val="0"/>
        <w:spacing w:before="0" w:after="0"/>
        <w:ind w:left="720" w:right="0" w:firstLine="360"/>
        <w:jc w:val="left"/>
        <w:rPr>
          <w:caps w:val="false"/>
          <w:smallCaps w:val="false"/>
        </w:rPr>
      </w:pPr>
      <w:r>
        <w:rPr>
          <w:caps w:val="false"/>
          <w:smallCaps w:val="false"/>
        </w:rPr>
        <w:t> </w:t>
      </w:r>
    </w:p>
    <w:p>
      <w:pPr>
        <w:pStyle w:val="TextBody"/>
        <w:bidi w:val="0"/>
        <w:spacing w:before="0" w:after="0"/>
        <w:ind w:left="72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720" w:right="0" w:firstLine="36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Without limiting the generality of Section 3(a)(iii) of the Agreement, the Transaction will not violate Rule 13e-1 or Rule 13e-4 under the Exchange Act.</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On or prior to the Trade Date, Counterparty shall deliver to Dealer a resolution of Counterparty’s board of directors authorizing the Transaction and approving the Transaction.</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Counterparty is not entering into this Confirmation to create actual or apparent trading activity in the Shares (or any security convertible into or exchangeable for Shares) or to manipulate the price of the Shares (or any security convertible into or exchangeable for Shares) or otherwise in violation of the Exchange Act.</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Counterparty is not, and after giving effect to the transactions contemplated hereby will not be, required to register as an “investment company,” as such term is defined in the Investment Company Act of 1940, as amended.</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On and immediately after each of the Trade Date and the Premium Payment Date, (A) the assets of Counterparty at their fair valuation exceed the liabilities of Counterparty, including contingent liabilities, (B) the capital of Counterparty is adequate to conduct the business of Counterparty, and Counterparty’s entry into the Transaction will not impair its capital, (C) Counterparty has the ability to pay its debts and obligations as such debts mature and does not intend to, or does not believe that it will, incur debt beyond its ability to pay as such debts mature, (D) Counterparty is not, and will not be, “insolvent” (as such term is defined under Section 101(32) of the U.S. Bankruptcy Code (Title 11 of the United States Code) (the “</w:t>
      </w:r>
      <w:r>
        <w:rPr>
          <w:rFonts w:ascii="Times New Roman;Times;Serif" w:hAnsi="Times New Roman;Times;Serif"/>
          <w:b/>
          <w:i w:val="false"/>
          <w:caps w:val="false"/>
          <w:smallCaps w:val="false"/>
          <w:sz w:val="20"/>
        </w:rPr>
        <w:t>Bankruptcy Code</w:t>
      </w:r>
      <w:r>
        <w:rPr>
          <w:rFonts w:ascii="Times New Roman;Times;Serif" w:hAnsi="Times New Roman;Times;Serif"/>
          <w:b w:val="false"/>
          <w:i w:val="false"/>
          <w:caps w:val="false"/>
          <w:smallCaps w:val="false"/>
          <w:sz w:val="20"/>
        </w:rPr>
        <w:t>”)), (E) Counterparty would be able to purchase the number of Shares with respect to the Transaction in compliance with the laws of the jurisdiction of Counterparty’s incorporation or organization, and (F) for the purposes of Cayman Islands law, Counterparty is able to pay its debts.</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To Counterparty’s knowledge, no state or local (including any non-U.S. jurisdiction’s)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such representation shall be made by Counterparty with respect to any rules and regulations applicable to Dealer (including the Financial Industry Regulatory Authority, Inc.) arising from Dealer’s status as a regulated entity under applicable law.</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Counterparty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(C) has total assets of at least USD 50 million; and (D) is acting for its own account, and it has made its own independent decisions to enter into the Transaction and as to whether the Transaction is appropriate or proper for it (including as to any legal, regulatory, tax, accounting or economic consequences arising from the Transaction) based upon its own judgment and upon advice from such advisers as it has deemed necessary (including legal, financial and accounting advisors).</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The Transaction (A) is suitable for Counterparty, for its commercial benefit and in its best interests, in light of its own investment objectives, financial condition and expertise and (B) has been duly approved and authorized by the Counterparty’s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after due consideration by the Board of the foregoing matters and those referred to Section 7(a)(xi) above.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Dealer and Counterparty agrees and represents that it is an “eligible contract participant” as defined in Section 1a(18) of the U.S. Commodity Exchange Act, as amended, and is entering into the Transaction as principal (and not as agent or in any other capacity, fiduciary or otherwise) and not for the benefit of any third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Dealer and Counterparty acknowledges that the offer and sale of the Transaction to it is intended to be exempt from registration under the Securities Act, by virtue of Section 4(a)(2) thereof. Accordingly, Counterparty represents and warrants to Dealer that (i) it has the financial ability to bear the economic risk of its investment in the Transaction and is able to bear a total loss of its investment and its investments in and liabilities in respect of the Transaction, which it understands are not readily marketable, are not disproportionate to its net worth, and it is able to bear any loss in connection with the Transaction, including the loss of its entire investment in the Transaction, (ii) it is an “accredited investor” as that term is defined in Regulation D as promulgated under the Securities Act, (iii) it is entering into the Transaction for its own account and without a view to the distribution or resale thereof, (iv) the assignment, transfer or other disposition of the Transaction has not been and will not be registered under the Securities Act and is restricted under this Confirmation, the Securities Act and state securities laws, and (v) its financial condition is such that it has no need for liquidity with respect to its investment in the Transaction and no need to dispose of any portion thereof to satisfy any existing or contemplated undertaking or indebtedness and is capable of assessing the merits of and understanding (on its own behalf or through independent professional advice), and understands and accepts, the terms, conditions and risks of the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of Dealer and Counterparty agrees and acknowledges that Dealer is a “financial institution,” “swap participant” and “financial participant” within the meaning of Sections 101(22), 101(53C) and 101(22A) of the Bankruptcy Code. The parties hereto further agree and acknowledge (A) that this Confirmation is (i) a “securities contract,” as such term is defined in Section 741(7) of the Bankruptcy Code, with respect to which each payment and delivery hereunder or in connection herewith is a “termination value,” “payment amount” or “other transfer obligation” within the meaning of Section 362 of the Bankruptcy Code and a “settlement payment” within the meaning of Section 546 of the Bankruptcy Code, and (ii) a “swap agreement,” as such term is defined in Section 101(53B) of the Bankruptcy Code, with respect to which each payment and delivery hereunder or in connection herewith is a “termination value,” “payment amount” or “other transfer obligation” within the meaning of Section 362 of the Bankruptcy Code and a “transfer” within the meaning of Section 546 of the Bankruptcy Code, and (B) that Dealer is entitled to the protections afforded by, among other sections, Sections 362(b)(6), 362(b)(17), 362(b)(27), 362(o), 546(e), 546(g), 546(j), 548(d)(2), 555, 560 and 561 of the Bankruptcy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a condition to the effectiveness of the Transaction, Counterparty shall deliver to Dealer (A) an opinion of U.S. counsel and (B) an opinion of Cayman counsel, each dated as of the Premium Payment Date, with respect to, collectively, the matters set forth in Sections 3(a)(i), (ii), (iii) and (iv) of the Agreement and Section 7(a)(viii) of this Confirmation, it being understood that such opinions of counsel shall be limited to the federal laws of the United States and the laws of the State of New York (in the case of clause (A) above) and the laws of the Cayman Islands (in the case of clause (B) above) and may contain customary limitations, exceptions and qualifications for transactions of the same type as the Transaction. Delivery of such opinions to Dealer shall be a condition precedent for the purpose of Section 2(a)(iii) of the Agreement with respect to each obligation of Dealer under Section 2(a)(i)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Counterparty understands that notwithstanding any other relationship between Counterparty and Dealer and its affiliates, in connection with the Transaction and any other over-the-counter derivative transactions between Counterparty and Dealer or its affiliates, Dealer or its affiliates is acting as principal and is not a fiduciary or advisor in respect of any such transaction, including any entry, exercise, amendment, unwind or termination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[Each party acknowledges and agrees to be bound by the Conduct Rules of the Financial Industry Regulatory Authority, Inc. applicable to transactions in options, and further agrees not to violate the position and exercise limits set forth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[Counterparty represents and warrants that it has received, read and understands the OTC Options Risk Disclosure Statement and a copy of the most recent disclosure pamphlet prepared by The Options Clearing Corporation entitled “Characteristics and Risks of Standardized Options”.]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Counterparty shall, to the extent practicable and permitted by applicable laws, provide a written notice to Dealer prior to the date that Counterparty ceases to qualify as a “foreign private issuer” as defined in Rule 3b-4 under the Exchange Act or the Shares otherwise become subject to the requirements of Section 16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Other Provisions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Right to Extend</w:t>
      </w:r>
      <w:r>
        <w:rPr>
          <w:rFonts w:ascii="Times New Roman;Times;Serif" w:hAnsi="Times New Roman;Times;Serif"/>
          <w:b w:val="false"/>
          <w:i w:val="false"/>
          <w:caps w:val="false"/>
          <w:smallCaps w:val="false"/>
          <w:sz w:val="20"/>
        </w:rPr>
        <w:t xml:space="preserve">. Dealer may divide any Component into additional Components and designate the Expiration Date and the Number of Options for each such Component if Dealer determines, (x) in good faith and a commercially reasonable manner, that such further division is necessary or advisable to preserve Dealer’s hedging or hedge unwind activity, assuming Dealer maintains a commercially reasonable hedge position, hereunder in light of existing liquidity conditions or (y) in good faith, based on the advice of counsel, that such further division is necessary or advisable to enable Dealer to effect purchases of Shares in connection with its commercially reasonable hedging, hedge unwind or settlement activity hereunder in a manner that would, if Dealer were Counterparty or an affiliated purchaser of Counterparty, be compliant and consistent with applicable legal, regulatory or self-regulatory requirements, generally applicable to transactions of the type of the Transaction or with related policies and procedures adopted by Dealer in good faith so long as such policies and procedures are generally applicable in similar situations and applied in a non-discriminatory manner;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no event shall any Expiration Date for any Component be postponed to a date later than the Final Termination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Additional Termination Events</w:t>
      </w:r>
      <w:r>
        <w:rPr>
          <w:rFonts w:ascii="Times New Roman;Times;Serif" w:hAnsi="Times New Roman;Times;Serif"/>
          <w:b w:val="false"/>
          <w:i w:val="false"/>
          <w:caps w:val="false"/>
          <w:smallCaps w:val="false"/>
          <w:sz w:val="20"/>
        </w:rPr>
        <w:t>. Promptly (but in any event within ten Scheduled Trading Days) following any repurchase, redemption, exchange or conversion of any of Counterparty’s [_____]% Convertible Senior Notes due 2032 (the “</w:t>
      </w:r>
      <w:r>
        <w:rPr>
          <w:rFonts w:ascii="Times New Roman;Times;Serif" w:hAnsi="Times New Roman;Times;Serif"/>
          <w:b/>
          <w:i w:val="false"/>
          <w:caps w:val="false"/>
          <w:smallCaps w:val="false"/>
          <w:sz w:val="20"/>
        </w:rPr>
        <w:t>Convertible Notes</w:t>
      </w:r>
      <w:r>
        <w:rPr>
          <w:rFonts w:ascii="Times New Roman;Times;Serif" w:hAnsi="Times New Roman;Times;Serif"/>
          <w:b w:val="false"/>
          <w:i w:val="false"/>
          <w:caps w:val="false"/>
          <w:smallCaps w:val="false"/>
          <w:sz w:val="20"/>
        </w:rPr>
        <w:t>”) issued pursuant to Counterparty’s indenture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to be dated February [__], 2026, between Counterparty and U.S. Bank Trust Company, National Association, as trustee, Counterparty may, but is not required to, notify Dealer in writing of such repurchase, redemption, exchange or conversion and the number of Convertible Notes so repurchased, redeemed, exchanged or converted, the number of Shares underlying such Convertible Notes and the number of Options as to which Counterparty elects to exercise its termination rights under this Section 8(b) (any such notice, a “</w:t>
      </w:r>
      <w:r>
        <w:rPr>
          <w:rFonts w:ascii="Times New Roman;Times;Serif" w:hAnsi="Times New Roman;Times;Serif"/>
          <w:b/>
          <w:i w:val="false"/>
          <w:caps w:val="false"/>
          <w:smallCaps w:val="false"/>
          <w:sz w:val="20"/>
        </w:rPr>
        <w:t>Repayment Notice</w:t>
      </w:r>
      <w:r>
        <w:rPr>
          <w:rFonts w:ascii="Times New Roman;Times;Serif" w:hAnsi="Times New Roman;Times;Serif"/>
          <w:b w:val="false"/>
          <w:i w:val="false"/>
          <w:caps w:val="false"/>
          <w:smallCaps w:val="false"/>
          <w:sz w:val="20"/>
        </w:rPr>
        <w:t>” and any such event, a “</w:t>
      </w:r>
      <w:r>
        <w:rPr>
          <w:rFonts w:ascii="Times New Roman;Times;Serif" w:hAnsi="Times New Roman;Times;Serif"/>
          <w:b/>
          <w:i w:val="false"/>
          <w:caps w:val="false"/>
          <w:smallCaps w:val="false"/>
          <w:sz w:val="20"/>
        </w:rPr>
        <w:t>Repayment Event</w:t>
      </w:r>
      <w:r>
        <w:rPr>
          <w:rFonts w:ascii="Times New Roman;Times;Serif" w:hAnsi="Times New Roman;Times;Serif"/>
          <w:b w:val="false"/>
          <w:i w:val="false"/>
          <w:caps w:val="false"/>
          <w:smallCaps w:val="false"/>
          <w:sz w:val="20"/>
        </w:rPr>
        <w:t>”)[; provided that any “Repayment Notice” delivered to Dealer pursuant to the Base Capped Call Transaction Confirmation letter agreement dated February [ ], 2026 between Dealer and Counterparty (the “</w:t>
      </w:r>
      <w:r>
        <w:rPr>
          <w:rFonts w:ascii="Times New Roman;Times;Serif" w:hAnsi="Times New Roman;Times;Serif"/>
          <w:b/>
          <w:i w:val="false"/>
          <w:caps w:val="false"/>
          <w:smallCaps w:val="false"/>
          <w:sz w:val="20"/>
        </w:rPr>
        <w:t>Base Capped Call Transaction Confirmation</w:t>
      </w:r>
      <w:r>
        <w:rPr>
          <w:rFonts w:ascii="Times New Roman;Times;Serif" w:hAnsi="Times New Roman;Times;Serif"/>
          <w:b w:val="false"/>
          <w:i w:val="false"/>
          <w:caps w:val="false"/>
          <w:smallCaps w:val="false"/>
          <w:sz w:val="20"/>
        </w:rPr>
        <w:t>”) shall be deemed to be a Repayment Notice pursuant to this Confirmation and the terms of such Repayment Notice shall apply, mutatis mutandis, to this Confirmation]. Notwithstanding anything to the contrary in this Confirmation, the receipt by Dealer from Counterparty of (x) any Repayment Notice, within the applicable time period set forth in the preceding sentence, (y) a written representation and warranty by Counterparty that, as of the date of such Repayment Notice, Counterparty is not in possession of any material non-public information regarding Counterparty or the Shares, and (z) a written representation and warranty by Counterparty that the aggregate Repayment Options, together with any options being terminated concurrently under other capped call entered into in connection with the issuance of the Convertible Notes, will not exceed the number of Shares underlying the Convertible Notes specified in such Repayment Notice divided by the Option Entitlement, shall constitute an Additional Termination Event as provided in this paragraph. Upon receipt of any such Repayment Notice and the related written representation and warranty, Dealer shall promptly designate an Exchange Business Day following receipt of such Repayment Notice as an Early Termination Date with respect to the portion of the Transaction corresponding to a number of Options (the “</w:t>
      </w:r>
      <w:r>
        <w:rPr>
          <w:rFonts w:ascii="Times New Roman;Times;Serif" w:hAnsi="Times New Roman;Times;Serif"/>
          <w:b/>
          <w:i w:val="false"/>
          <w:caps w:val="false"/>
          <w:smallCaps w:val="false"/>
          <w:sz w:val="20"/>
        </w:rPr>
        <w:t>Repayment Options</w:t>
      </w:r>
      <w:r>
        <w:rPr>
          <w:rFonts w:ascii="Times New Roman;Times;Serif" w:hAnsi="Times New Roman;Times;Serif"/>
          <w:b w:val="false"/>
          <w:i w:val="false"/>
          <w:caps w:val="false"/>
          <w:smallCaps w:val="false"/>
          <w:sz w:val="20"/>
        </w:rPr>
        <w:t xml:space="preserve">”) equal to the lesser of (A) the number of Options that is specified in such Repayment Notice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caps w:val="false"/>
          <w:smallCaps w:val="false"/>
          <w:sz w:val="20"/>
          <w:shd w:fill="FFFFFF" w:val="clear"/>
        </w:rPr>
        <w:t>minus</w:t>
      </w:r>
      <w:r>
        <w:rPr>
          <w:rFonts w:ascii="Times New Roman;Times;Serif" w:hAnsi="Times New Roman;Times;Serif"/>
          <w:b w:val="false"/>
          <w:i w:val="false"/>
          <w:caps w:val="false"/>
          <w:smallCaps w:val="false"/>
          <w:sz w:val="20"/>
          <w:shd w:fill="FFFFFF" w:val="clear"/>
        </w:rPr>
        <w:t xml:space="preserve"> the number of “Repayment Options” (as defined in the Base Capped Call Transaction Confirmation), if any, that relate to such Convertible Notes (and for purposes of determining whether any Options under this Confirmation or under the Base Capped Call Transaction Confirmation shall be among the Repayment Options hereunder or under, and as defined in, the Base Capped Call Transaction Confirmation, such Convertible Notes shall be allocated first to the Base Capped Call Transaction Confirmation until all Options thereunder are exercised or terminated)] </w:t>
      </w:r>
      <w:r>
        <w:rPr>
          <w:rFonts w:ascii="Times New Roman;Times;Serif" w:hAnsi="Times New Roman;Times;Serif"/>
          <w:b w:val="false"/>
          <w:i w:val="false"/>
          <w:caps w:val="false"/>
          <w:smallCaps w:val="false"/>
          <w:sz w:val="20"/>
        </w:rPr>
        <w:t>and (B) the aggregate Number of Options as of the date Dealer designates such Early Termination Date and, as of such date, the aggregate Number of Options shall be reduced by the number of Repayment Options on a pro rata basis across the Components for the Transaction, as determined by the Calculation Agent in a commercially reasonable manner. Any payment hereunder with respect to such termination shall be calculated pursuant to Section 6 of the Agreement as if (1) an Early Termination Date had been designated in respect of a Transaction having terms identical to the Transaction and an aggregate Number of Options equal to the number of Repayment Options, (2) Counterparty were the sole Affected Party with respect to such Additional Termination Event and (3) the terminated portion of the Transaction were the sole Affected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Alternative Calculations and Payment on Early Termination and on Certain Extraordinary Events</w:t>
      </w:r>
      <w:r>
        <w:rPr>
          <w:rFonts w:ascii="Times New Roman;Times;Serif" w:hAnsi="Times New Roman;Times;Serif"/>
          <w:b w:val="false"/>
          <w:i w:val="false"/>
          <w:caps w:val="false"/>
          <w:smallCaps w:val="false"/>
          <w:sz w:val="20"/>
        </w:rPr>
        <w:t>. If (a) an Early Termination Date (whether as a result of an Event of Default or a Termination Event) occurs or is designated with respect to the Transaction or (b) the Transaction is cancelled or terminated upon the occurrence of an Extraordinary Event (except as a result of (i) a Nationalization, Insolvency or Merger Event in which the consideration to be paid to all holders of Shares consists solely of cash, (ii) a Merger Event or Tender Offer that is within Counterparty's control, or (iii) an Event of Default in which Counterparty is the Defaulting Party or a Termination Event in which Counterparty is the Affected Party, which Event of Default or Termination Event resulted from an event or events within Counterparty's control), and if Dealer would owe any amount to Counterparty pursuant to Section 6(d)(ii) and 6(e) of the Agreement or any Cancellation Amount pursuant to Article 12 of the Equity Definitions (any such amount, a “</w:t>
      </w:r>
      <w:r>
        <w:rPr>
          <w:rFonts w:ascii="Times New Roman;Times;Serif" w:hAnsi="Times New Roman;Times;Serif"/>
          <w:b/>
          <w:i w:val="false"/>
          <w:caps w:val="false"/>
          <w:smallCaps w:val="false"/>
          <w:sz w:val="20"/>
        </w:rPr>
        <w:t xml:space="preserve">Payment Obligation”), </w:t>
      </w:r>
      <w:r>
        <w:rPr>
          <w:rFonts w:ascii="Times New Roman;Times;Serif" w:hAnsi="Times New Roman;Times;Serif"/>
          <w:b w:val="false"/>
          <w:i w:val="false"/>
          <w:caps w:val="false"/>
          <w:smallCaps w:val="false"/>
          <w:sz w:val="20"/>
        </w:rPr>
        <w:t>then Dealer shall satisfy the Payment Obligation by the Share Termination Alternative (as defined below) unless (a) Counterparty gives irrevocable telephonic notice to Dealer, confirmed in writing within one Scheduled Trading Day, no later than 12:00 p.m. (New York City time) on the Merger Date, Tender Offer Date, Announcement Date (in the case of a Nationalization, Insolvency or Delisting), Early Termination Date or date of cancellation, as applicable, of its election that the Share Termination Alternative shall not apply, (b) as of the date of such election, Counterparty represents that is not in possession of any material non-public information regarding Counterparty or the Shares, and that such election is being made in good faith and not as part of a plan or scheme to evade compliance with the federal securities laws, and (c) Dealer agrees, in its sole commercially reasonable discretion, to such election, in which case the provisions of Section 12.7 or Section 12.9 of the Equity Definitions, or the provisions of Section 6(d)(ii) and 6(e) of the Agreement, as the case may be, shall apply.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82"/>
        <w:gridCol w:w="8423"/>
      </w:tblGrid>
      <w:tr>
        <w:trPr/>
        <w:tc>
          <w:tcPr>
            <w:tcW w:w="1782" w:type="dxa"/>
            <w:tcBorders/>
            <w:vAlign w:val="center"/>
          </w:tcPr>
          <w:p>
            <w:pPr>
              <w:pStyle w:val="TableContents"/>
              <w:bidi w:val="0"/>
              <w:spacing w:before="0" w:after="283"/>
              <w:ind w:left="0" w:right="0" w:firstLine="360"/>
              <w:jc w:val="left"/>
              <w:rPr/>
            </w:pPr>
            <w:r>
              <w:rPr/>
              <w:t>Share Termination Alternative:</w:t>
            </w:r>
          </w:p>
        </w:tc>
        <w:tc>
          <w:tcPr>
            <w:tcW w:w="8423" w:type="dxa"/>
            <w:tcBorders/>
            <w:vAlign w:val="center"/>
          </w:tcPr>
          <w:p>
            <w:pPr>
              <w:pStyle w:val="TableContents"/>
              <w:bidi w:val="0"/>
              <w:spacing w:before="0" w:after="283"/>
              <w:ind w:left="0" w:right="0" w:firstLine="360"/>
              <w:jc w:val="both"/>
              <w:rPr/>
            </w:pPr>
            <w:r>
              <w:rPr/>
              <w:t>If applicable, Dealer shall deliver to Counterparty the Share Termination Delivery Property on, or within a commercially reasonable period of time after, the date when the relevant Payment Obligation would otherwise be due pursuant to Section 12.7 or 12.9 of the Equity Definitions or Section 6(d)(ii) and 6(e) of the Agreement, as applicable, in satisfaction of such Payment Obligation in the manner reasonably requested by Counterparty free of payment.</w:t>
            </w:r>
          </w:p>
        </w:tc>
      </w:tr>
      <w:tr>
        <w:trPr/>
        <w:tc>
          <w:tcPr>
            <w:tcW w:w="1782" w:type="dxa"/>
            <w:tcBorders/>
            <w:vAlign w:val="center"/>
          </w:tcPr>
          <w:p>
            <w:pPr>
              <w:pStyle w:val="TableContents"/>
              <w:bidi w:val="0"/>
              <w:spacing w:before="0" w:after="283"/>
              <w:jc w:val="left"/>
              <w:rPr/>
            </w:pPr>
            <w:r>
              <w:rPr/>
              <w:t> </w:t>
            </w:r>
          </w:p>
        </w:tc>
        <w:tc>
          <w:tcPr>
            <w:tcW w:w="8423" w:type="dxa"/>
            <w:tcBorders/>
            <w:vAlign w:val="center"/>
          </w:tcPr>
          <w:p>
            <w:pPr>
              <w:pStyle w:val="TableContents"/>
              <w:bidi w:val="0"/>
              <w:spacing w:before="0" w:after="283"/>
              <w:ind w:left="0" w:right="0" w:firstLine="360"/>
              <w:jc w:val="both"/>
              <w:rPr/>
            </w:pPr>
            <w:r>
              <w:rPr/>
              <w:t> </w:t>
            </w:r>
          </w:p>
        </w:tc>
      </w:tr>
      <w:tr>
        <w:trPr/>
        <w:tc>
          <w:tcPr>
            <w:tcW w:w="1782" w:type="dxa"/>
            <w:tcBorders/>
            <w:vAlign w:val="center"/>
          </w:tcPr>
          <w:p>
            <w:pPr>
              <w:pStyle w:val="TableContents"/>
              <w:bidi w:val="0"/>
              <w:spacing w:before="0" w:after="283"/>
              <w:jc w:val="left"/>
              <w:rPr/>
            </w:pPr>
            <w:r>
              <w:rPr/>
              <w:t>Share Termination Delivery Property:</w:t>
            </w:r>
          </w:p>
        </w:tc>
        <w:tc>
          <w:tcPr>
            <w:tcW w:w="8423" w:type="dxa"/>
            <w:tcBorders/>
            <w:vAlign w:val="center"/>
          </w:tcPr>
          <w:p>
            <w:pPr>
              <w:pStyle w:val="TableContents"/>
              <w:bidi w:val="0"/>
              <w:spacing w:before="0" w:after="283"/>
              <w:ind w:left="0" w:right="0" w:firstLine="360"/>
              <w:jc w:val="both"/>
              <w:rPr/>
            </w:pPr>
            <w:r>
              <w:rPr/>
              <w:t>A number of Share Termination Delivery Units, as calculated by the Calculation Agent, equal to the Payment Obligation divided by the Share Termination Unit Price. The Calculation Agent shall adjust the Share Termination Delivery Property by replacing any fractional portion of a security therein with an amount of cash equal to the value of such fractional security based on the values used to calculate the Share Termination Unit Price.</w:t>
            </w:r>
          </w:p>
        </w:tc>
      </w:tr>
      <w:tr>
        <w:trPr/>
        <w:tc>
          <w:tcPr>
            <w:tcW w:w="1782" w:type="dxa"/>
            <w:tcBorders/>
            <w:vAlign w:val="center"/>
          </w:tcPr>
          <w:p>
            <w:pPr>
              <w:pStyle w:val="TableContents"/>
              <w:bidi w:val="0"/>
              <w:spacing w:before="0" w:after="283"/>
              <w:jc w:val="left"/>
              <w:rPr/>
            </w:pPr>
            <w:r>
              <w:rPr/>
              <w:t> </w:t>
            </w:r>
          </w:p>
        </w:tc>
        <w:tc>
          <w:tcPr>
            <w:tcW w:w="8423" w:type="dxa"/>
            <w:tcBorders/>
            <w:vAlign w:val="center"/>
          </w:tcPr>
          <w:p>
            <w:pPr>
              <w:pStyle w:val="TableContents"/>
              <w:bidi w:val="0"/>
              <w:spacing w:before="0" w:after="283"/>
              <w:ind w:left="0" w:right="0" w:firstLine="360"/>
              <w:jc w:val="both"/>
              <w:rPr/>
            </w:pPr>
            <w:r>
              <w:rPr/>
              <w:t> </w:t>
            </w:r>
          </w:p>
        </w:tc>
      </w:tr>
      <w:tr>
        <w:trPr/>
        <w:tc>
          <w:tcPr>
            <w:tcW w:w="1782" w:type="dxa"/>
            <w:tcBorders/>
            <w:vAlign w:val="center"/>
          </w:tcPr>
          <w:p>
            <w:pPr>
              <w:pStyle w:val="TableContents"/>
              <w:bidi w:val="0"/>
              <w:spacing w:before="0" w:after="283"/>
              <w:jc w:val="left"/>
              <w:rPr/>
            </w:pPr>
            <w:r>
              <w:rPr/>
              <w:t>Share Termination Unit Price:</w:t>
            </w:r>
          </w:p>
        </w:tc>
        <w:tc>
          <w:tcPr>
            <w:tcW w:w="8423" w:type="dxa"/>
            <w:tcBorders/>
            <w:vAlign w:val="center"/>
          </w:tcPr>
          <w:p>
            <w:pPr>
              <w:pStyle w:val="TableContents"/>
              <w:bidi w:val="0"/>
              <w:spacing w:before="0" w:after="283"/>
              <w:ind w:left="0" w:right="0" w:firstLine="360"/>
              <w:jc w:val="both"/>
              <w:rPr/>
            </w:pPr>
            <w:r>
              <w:rPr/>
              <w:t>The value of property contained in one Share Termination Delivery Unit, as determined by the Calculation Agent in its discretion by commercially reasonable means and notified by the Calculation Agent to Dealer at the time of notification of the Payment Obligation. For the avoidance of doubt, the parties agree that in determining the Share Termination Delivery Unit Price the Calculation Agent may consider a variety of factors, including the market price of the Share Termination Delivery Units and/or the purchase price paid in connection with the commercially reasonable purchase of Share Termination Delivery Property.</w:t>
            </w:r>
          </w:p>
        </w:tc>
      </w:tr>
      <w:tr>
        <w:trPr/>
        <w:tc>
          <w:tcPr>
            <w:tcW w:w="1782" w:type="dxa"/>
            <w:tcBorders/>
            <w:vAlign w:val="center"/>
          </w:tcPr>
          <w:p>
            <w:pPr>
              <w:pStyle w:val="TableContents"/>
              <w:bidi w:val="0"/>
              <w:spacing w:before="0" w:after="283"/>
              <w:jc w:val="left"/>
              <w:rPr/>
            </w:pPr>
            <w:r>
              <w:rPr/>
              <w:t> </w:t>
            </w:r>
          </w:p>
        </w:tc>
        <w:tc>
          <w:tcPr>
            <w:tcW w:w="8423" w:type="dxa"/>
            <w:tcBorders/>
            <w:vAlign w:val="center"/>
          </w:tcPr>
          <w:p>
            <w:pPr>
              <w:pStyle w:val="TableContents"/>
              <w:bidi w:val="0"/>
              <w:spacing w:before="0" w:after="283"/>
              <w:ind w:left="0" w:right="0" w:firstLine="360"/>
              <w:jc w:val="both"/>
              <w:rPr/>
            </w:pPr>
            <w:r>
              <w:rPr/>
              <w:t> </w:t>
            </w:r>
          </w:p>
        </w:tc>
      </w:tr>
      <w:tr>
        <w:trPr/>
        <w:tc>
          <w:tcPr>
            <w:tcW w:w="1782" w:type="dxa"/>
            <w:tcBorders/>
            <w:vAlign w:val="center"/>
          </w:tcPr>
          <w:p>
            <w:pPr>
              <w:pStyle w:val="TableContents"/>
              <w:bidi w:val="0"/>
              <w:spacing w:before="0" w:after="283"/>
              <w:jc w:val="left"/>
              <w:rPr/>
            </w:pPr>
            <w:r>
              <w:rPr/>
              <w:t>Share Termination Delivery Unit:</w:t>
            </w:r>
          </w:p>
        </w:tc>
        <w:tc>
          <w:tcPr>
            <w:tcW w:w="8423" w:type="dxa"/>
            <w:tcBorders/>
            <w:vAlign w:val="center"/>
          </w:tcPr>
          <w:p>
            <w:pPr>
              <w:pStyle w:val="TableContents"/>
              <w:bidi w:val="0"/>
              <w:spacing w:before="0" w:after="283"/>
              <w:ind w:left="0" w:right="0" w:firstLine="360"/>
              <w:jc w:val="both"/>
              <w:rPr/>
            </w:pPr>
            <w:r>
              <w:rPr/>
              <w:t>One Share or, if the Shares have changed into cash or any other property or the right to receive cash or any other property as the result of a Nationalization, Insolvency or Merger Event (any such cash or other property, the “Exchange Property”), a unit consisting of the type and amount of such Exchange Property received by a holder of one Share (without consideration of any requirement to pay cash or other consideration in lieu of fractional amounts of any securities) in such Nationalization, Insolvency or Merger Event, as determined by the Calculation Agent.</w:t>
            </w:r>
          </w:p>
        </w:tc>
      </w:tr>
      <w:tr>
        <w:trPr/>
        <w:tc>
          <w:tcPr>
            <w:tcW w:w="1782" w:type="dxa"/>
            <w:tcBorders/>
            <w:vAlign w:val="center"/>
          </w:tcPr>
          <w:p>
            <w:pPr>
              <w:pStyle w:val="TableContents"/>
              <w:bidi w:val="0"/>
              <w:spacing w:before="0" w:after="283"/>
              <w:jc w:val="left"/>
              <w:rPr/>
            </w:pPr>
            <w:r>
              <w:rPr/>
              <w:t> </w:t>
            </w:r>
          </w:p>
        </w:tc>
        <w:tc>
          <w:tcPr>
            <w:tcW w:w="8423" w:type="dxa"/>
            <w:tcBorders/>
            <w:vAlign w:val="center"/>
          </w:tcPr>
          <w:p>
            <w:pPr>
              <w:pStyle w:val="TableContents"/>
              <w:bidi w:val="0"/>
              <w:spacing w:before="0" w:after="283"/>
              <w:ind w:left="0" w:right="0" w:firstLine="360"/>
              <w:jc w:val="both"/>
              <w:rPr/>
            </w:pPr>
            <w:r>
              <w:rPr/>
              <w:t> </w:t>
            </w:r>
          </w:p>
        </w:tc>
      </w:tr>
      <w:tr>
        <w:trPr/>
        <w:tc>
          <w:tcPr>
            <w:tcW w:w="1782" w:type="dxa"/>
            <w:tcBorders/>
            <w:vAlign w:val="center"/>
          </w:tcPr>
          <w:p>
            <w:pPr>
              <w:pStyle w:val="TableContents"/>
              <w:bidi w:val="0"/>
              <w:spacing w:before="0" w:after="283"/>
              <w:jc w:val="left"/>
              <w:rPr/>
            </w:pPr>
            <w:r>
              <w:rPr/>
              <w:t>Failure to Deliver:</w:t>
            </w:r>
          </w:p>
        </w:tc>
        <w:tc>
          <w:tcPr>
            <w:tcW w:w="8423" w:type="dxa"/>
            <w:tcBorders/>
            <w:vAlign w:val="center"/>
          </w:tcPr>
          <w:p>
            <w:pPr>
              <w:pStyle w:val="TableContents"/>
              <w:bidi w:val="0"/>
              <w:spacing w:before="0" w:after="283"/>
              <w:ind w:left="0" w:right="0" w:firstLine="360"/>
              <w:jc w:val="both"/>
              <w:rPr/>
            </w:pPr>
            <w:r>
              <w:rPr/>
              <w:t>Applicable</w:t>
            </w:r>
          </w:p>
        </w:tc>
      </w:tr>
      <w:tr>
        <w:trPr/>
        <w:tc>
          <w:tcPr>
            <w:tcW w:w="1782" w:type="dxa"/>
            <w:tcBorders/>
            <w:vAlign w:val="center"/>
          </w:tcPr>
          <w:p>
            <w:pPr>
              <w:pStyle w:val="TableContents"/>
              <w:bidi w:val="0"/>
              <w:spacing w:before="0" w:after="283"/>
              <w:jc w:val="left"/>
              <w:rPr/>
            </w:pPr>
            <w:r>
              <w:rPr/>
              <w:t> </w:t>
            </w:r>
          </w:p>
        </w:tc>
        <w:tc>
          <w:tcPr>
            <w:tcW w:w="8423" w:type="dxa"/>
            <w:tcBorders/>
            <w:vAlign w:val="center"/>
          </w:tcPr>
          <w:p>
            <w:pPr>
              <w:pStyle w:val="TableContents"/>
              <w:bidi w:val="0"/>
              <w:spacing w:before="0" w:after="283"/>
              <w:ind w:left="0" w:right="0" w:firstLine="360"/>
              <w:jc w:val="both"/>
              <w:rPr/>
            </w:pPr>
            <w:r>
              <w:rPr/>
              <w:t> </w:t>
            </w:r>
          </w:p>
        </w:tc>
      </w:tr>
      <w:tr>
        <w:trPr/>
        <w:tc>
          <w:tcPr>
            <w:tcW w:w="1782" w:type="dxa"/>
            <w:tcBorders/>
            <w:vAlign w:val="center"/>
          </w:tcPr>
          <w:p>
            <w:pPr>
              <w:pStyle w:val="TableContents"/>
              <w:bidi w:val="0"/>
              <w:spacing w:before="0" w:after="283"/>
              <w:jc w:val="left"/>
              <w:rPr/>
            </w:pPr>
            <w:r>
              <w:rPr/>
              <w:t>Other Applicable Provisions:</w:t>
            </w:r>
          </w:p>
        </w:tc>
        <w:tc>
          <w:tcPr>
            <w:tcW w:w="8423" w:type="dxa"/>
            <w:tcBorders/>
            <w:vAlign w:val="center"/>
          </w:tcPr>
          <w:p>
            <w:pPr>
              <w:pStyle w:val="TableContents"/>
              <w:bidi w:val="0"/>
              <w:spacing w:before="0" w:after="283"/>
              <w:jc w:val="both"/>
              <w:rPr/>
            </w:pPr>
            <w:r>
              <w:rPr/>
              <w:t>If Share Termination Alternative is applicable, the provisions of Sections 9.8, 9.9 and 9.11 (as modified above) of the Equity Definitions and the provisions set forth opposite the caption “Representation and Agreement” in Section 2 will be applicable, except that all references in such provisions to “Physically-settled” shall be read as references to “Share Termination Settled” and all references to “Shares” shall be read as references to “Share Termination Delivery Units”. “Share Termination Settled” in relation to the Transaction means that the Share Termination Alternative is applicable to the Transaction.</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Disposition of Hedge Shares</w:t>
      </w:r>
      <w:r>
        <w:rPr>
          <w:rFonts w:ascii="Times New Roman;Times;Serif" w:hAnsi="Times New Roman;Times;Serif"/>
          <w:b w:val="false"/>
          <w:i w:val="false"/>
          <w:caps w:val="false"/>
          <w:smallCaps w:val="false"/>
          <w:sz w:val="20"/>
        </w:rPr>
        <w:t>. Counterparty hereby agrees that if, in the good faith reasonable judgment of Dealer, based on the advice of legal counsel, the Shares acquired by Dealer for the purpose of effecting a commercially reasonable hedge of its obligations pursuant to the Transaction (the “</w:t>
      </w:r>
      <w:r>
        <w:rPr>
          <w:rFonts w:ascii="Times New Roman;Times;Serif" w:hAnsi="Times New Roman;Times;Serif"/>
          <w:b/>
          <w:i w:val="false"/>
          <w:caps w:val="false"/>
          <w:smallCaps w:val="false"/>
          <w:sz w:val="20"/>
        </w:rPr>
        <w:t>Hedge Shares</w:t>
      </w:r>
      <w:r>
        <w:rPr>
          <w:rFonts w:ascii="Times New Roman;Times;Serif" w:hAnsi="Times New Roman;Times;Serif"/>
          <w:b w:val="false"/>
          <w:i w:val="false"/>
          <w:caps w:val="false"/>
          <w:smallCaps w:val="false"/>
          <w:sz w:val="20"/>
        </w:rPr>
        <w:t xml:space="preserve">”) cannot be sold in the U.S. public market by Dealer without registration under the Securities Act, Counterparty shall, at its election: (i) in order to allow Dealer to sell the Hedge Shares in a registered offering, use its commercially reasonable efforts to make available to Dealer an effective registration statement under the Securities Act to cover the resale of such Hedge Shares and (A) enter into an agreement, in form and substance reasonably satisfactory to Dealer, substantially in the form of an underwriting agreement for a registered offering for companies of a similar size in a similar industry, (B) provide accountant's “comfort” letters in customary form for registered offerings of equity securities for companies of a similar size in a similar industry, (C) provide disclosure opinions of nationally recognized outside counsel to Counterparty in customary form for registered offerings of equity securities for companies of a similar size in a similar industry, (D) provide other customary opinions, certificates and closing documents customary in form for registered offerings of equity securities for companies of a similar size in a similar industry and (E) afford Dealer a reasonable opportunity to conduct a “due diligence” investigation with respect to Counterparty customary in scope for underwritten offerings of equity securities for companies of a similar size in a similar industry;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if Counterparty elects clause (i) above but Dealer, in its commercially reasonable discretion, is not satisfied with access to due diligence materials, the results of its due diligence investigation, or the procedures and documentation for the registered offering referred to above, then clause (ii) or clause (iii) of this Section 8(d) shall apply at the election of Counterparty, provided that Dealer has given Counterparty reasonable notice of its determination and provided Counterparty with reasonable opportunity to satisfy Dealer’s concerns; (ii) in order to allow Dealer to sell the Hedge Shares in a private placement, enter into a private placement agreement substantially similar to private placement purchase agreements customary for private placements of equity securities of companies of a similar size in a similar industry, in form and substance commercially reasonably satisfactory to Dealer using reasonable best efforts to include customary representations, covenants, blue sky and other governmental filings and/or registrations, indemnities to Dealer, due diligence rights (for Dealer or any designated buyer of the Hedge Shares from Dealer), opinions and certificates and such other documentation as is customary for private placements agreements of equity securities of companies of a similar size in a similar industry, as is reasonably acceptable to Dealer (in which case, the Calculation Agent shall make any adjustments to the terms of the Transaction that are necessary, in its good faith and commercially reasonable judgment, to compensate Dealer for any customary liquidity discount from the public market price of the Shares incurred on the sale of Hedge Shares in a private placement); or (iii) purchase the Hedge Shares from Dealer at the Relevant Price on such Exchange Business Days, and in the amounts, requested by Dealer. This Section 8(d) shall survive the termination, expiration or early unwind of the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Repurchase Notices</w:t>
      </w:r>
      <w:r>
        <w:rPr>
          <w:rFonts w:ascii="Times New Roman;Times;Serif" w:hAnsi="Times New Roman;Times;Serif"/>
          <w:b w:val="false"/>
          <w:i w:val="false"/>
          <w:caps w:val="false"/>
          <w:smallCaps w:val="false"/>
          <w:sz w:val="20"/>
        </w:rPr>
        <w:t>. Counterparty shall, at least one Scheduled Trading Day prior to any day on which Counterparty intends to effect any repurchase of Shares, give Dealer written notice of such repurchase (a “</w:t>
      </w:r>
      <w:r>
        <w:rPr>
          <w:rFonts w:ascii="Times New Roman;Times;Serif" w:hAnsi="Times New Roman;Times;Serif"/>
          <w:b/>
          <w:i w:val="false"/>
          <w:caps w:val="false"/>
          <w:smallCaps w:val="false"/>
          <w:sz w:val="20"/>
        </w:rPr>
        <w:t>Repurchase Notice</w:t>
      </w:r>
      <w:r>
        <w:rPr>
          <w:rFonts w:ascii="Times New Roman;Times;Serif" w:hAnsi="Times New Roman;Times;Serif"/>
          <w:b w:val="false"/>
          <w:i w:val="false"/>
          <w:caps w:val="false"/>
          <w:smallCaps w:val="false"/>
          <w:sz w:val="20"/>
        </w:rPr>
        <w:t xml:space="preserve">”) on such day if, following such repurchase, the number of outstanding Shares as determined on such day is (i) less than [_____] million (in the case of the first such notice) and (ii) thereafter, more than [ ] million less than the number of Shares included in the immediately preceding Repurchase Notice;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any repurchases of Shares pursuant to a plan under Rule 10b5-1 under the Exchange Act, Counterparty may elect to satisfy such requirement by promptly giving Dealer written notice of entry into such plan, the maximum number of Shares that may be purchased thereunder and the approximate dates or periods during which such repurchases may occur (with such maximum number of Shares deemed repurchased on the date of such notice for purposes of this Section 8(e)). [Solely if Counterparty is required to deliver any “repurchase notice” under any other agreement(s) relating to call options between Counterparty and Dealer entered into prior to the date hereof, such requirement to deliver any such “repurchase notice” under such prior agreement(s) shall be superseded by the requirement to deliver Repurchase Notices in the foregoing sentence.] Notwithstanding the foregoing or anything to the contrary, Counterparty agrees that, if Counterparty fails to provide Dealer with a Repurchase Notice on the day and in the manner specified in this Section 8(e) and either (x) Counterparty ceases to qualify as a “foreign private issuer” as defined in Rule 3b-4 under the Exchange Act or (y) the Shares otherwise become subject to Section 16 of the Exchange Act, Counterparty will indemnify and hold harmless Dealer, its affiliates and their respective directors, officers, employees, affiliates and controlling persons (Dealer and each such person being an “</w:t>
      </w:r>
      <w:r>
        <w:rPr>
          <w:rFonts w:ascii="Times New Roman;Times;Serif" w:hAnsi="Times New Roman;Times;Serif"/>
          <w:b/>
          <w:i w:val="false"/>
          <w:caps w:val="false"/>
          <w:smallCaps w:val="false"/>
          <w:sz w:val="20"/>
        </w:rPr>
        <w:t>Indemnified Party</w:t>
      </w:r>
      <w:r>
        <w:rPr>
          <w:rFonts w:ascii="Times New Roman;Times;Serif" w:hAnsi="Times New Roman;Times;Serif"/>
          <w:b w:val="false"/>
          <w:i w:val="false"/>
          <w:caps w:val="false"/>
          <w:smallCaps w:val="false"/>
          <w:sz w:val="20"/>
        </w:rPr>
        <w:t>”) from and against any and all losses (including losses relating to Dealer's commercially reasonable hedging activities as a consequence of becoming, or of the risk of becoming, a Section 16 “insider”, including without limitation, any forbearance from hedging activities or cessation of hedging activities and any losses in connection therewith with respect to the Transaction), claims, damages and liabilities (or actions in respect thereof), joint or several, to which such Indemnified Party may become subject under applicable securities laws, including without limitation, Section 16 of the Exchange Act or under any U.S. state or federal law, regulation or regulatory order, in each case relating to or arising out of such failure. If for any reason the foregoing indemnification is unavailable to any Indemnified Party or insufficient to hold harmless any Indemnified Party, then Counterparty shall contribute, to the maximum extent permitted by law, to the amount paid or payable by the Indemnified Party as a result of such loss, claim, damage or liability. In addition, Counterparty will reimburse any Indemnified Party for all reasonable expenses (including reasonable counsel fees and expenses) as they are incurred (after notice to Counterparty) in connection with the investigation of, preparation for or defense or settlement of any pending or threatened claim or any action, suit or proceeding arising therefrom, whether or not such Indemnified Party is a party thereto and whether or not such claim, action, suit or proceeding is initiated or brought by or on behalf of Counterparty, in each case relating to or arising out of such failure. In addition, Counterparty shall not have liability for any settlement of any proceeding contemplated by this paragraph that is effected without its written consent, such consent not to be unreasonably withheld, but if settled with such consent or if there be a final judgment for the plaintiff, Counterparty agrees to indemnify any Indemnified Person from and against any loss or liability by reason of such settlement or judgment. Counterparty shall not, without the prior written consent of the Indemnified Person, such consent not to be unreasonably withheld or delayed, effect any settlement of any such proceeding contemplated by this paragraph that is pending or threatened in respect of which any Indemnified Person is or could have been a party and indemnity could have been sought hereunder by such Indemnified Person, unless such settlement includes an unconditional release of such Indemnified Person from all liability on claims that are the subject matter of such proceedings on terms reasonably satisfactory to such Indemnified Person. This indemnity shall survive the completion of the Transaction contemplated by this Confirmation and any assignment and delegation of the Transaction made pursuant to this Confirmation or the Agreement shall inure to the benefit of any permitted assignee of Dealer. Counterparty will not be liable under this indemnity provision to the extent any loss, claim, damage, liability or expense is found in a final and non-appealable judgment by a court of competent jurisdiction to have resulted from Dealer’s gross negligence or willful misconduct.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Transfer and Assignment</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Dealer may transfer or assign any of its rights or obligations under the Transaction with the prior written consent of Counterparty, such consent not to be unreasonably withheld or delayed;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Dealer may transfer or assign its rights and obligations hereunder, in whole or in part, (A) without Counterparty’s consent, to any affiliate or branch of Dealer (1) that has a long-term issuer rating that is equal to or better than Dealer’s credit rating at the time of such transfer or assignment, or (2) whose obligations would be guaranteed by Dealer [or Dealer Parent] or (B) with Counterparty’s consent (such consent not to be unreasonably withheld or delayed), to any person (including any affiliate or branch of Dealer whose obligations are not guaranteed in the manner described in clause (A)) or any person whose obligations would be guaranteed by a person (a “</w:t>
      </w:r>
      <w:r>
        <w:rPr>
          <w:rFonts w:ascii="Times New Roman;Times;Serif" w:hAnsi="Times New Roman;Times;Serif"/>
          <w:b/>
          <w:i w:val="false"/>
          <w:caps w:val="false"/>
          <w:smallCaps w:val="false"/>
          <w:sz w:val="20"/>
        </w:rPr>
        <w:t>Designated Transferee</w:t>
      </w:r>
      <w:r>
        <w:rPr>
          <w:rFonts w:ascii="Times New Roman;Times;Serif" w:hAnsi="Times New Roman;Times;Serif"/>
          <w:b w:val="false"/>
          <w:i w:val="false"/>
          <w:caps w:val="false"/>
          <w:smallCaps w:val="false"/>
          <w:sz w:val="20"/>
        </w:rPr>
        <w:t xml:space="preserve">”), in either case under this clause (B), with a rating for its long-term, unsecured and unsubordinated indebtedness at least equivalent to Dealer's (or its guarantor's),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in the case of this clause (B), in no event shall the credit rating of the Designated Transferee or of its guarantor (whichever is higher) be lower than A3 from Moody's Ratings or its successor or A- from S&amp;P Global Ratings, a division of S&amp;P Global, Inc. or its successor;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(i) Dealer will notify Counterparty in writing promptly following any transfer or assignment to a Designated Transferee, (ii) as a result of any such transfer or assignment, Counterparty will not be required to pay the transferee or assignee of such rights or obligations on any payment date an amount under Section 2(d)(i)(4) of the Agreement greater than the amount, if any, that Counterparty would have been required to pay Dealer in the absence of such transfer or assignment, (iii) after such transfer, Counterparty will not, as a result of any withholding or deduction made by the transferee or assignee as a result of any Tax, receive from the transferee or assignee on any payment date or delivery date (after accounting for amounts paid by the transferee or assignee under Section 2(d)(i)(4) of the Agreement as well as such withholding or deduction) an amount or a number of Shares, as applicable, lower than the amount or the number of Shares, as applicable that Dealer would have been required to pay or deliver to Counterparty in the absence of such Transfer, except to the extent such lower amount or number of Shares is due to a change in tax law after the date of such Transfer, (iv) such transfer or assignment does not cause a deemed exchange for Counterparty of the Transactions under Section 1001 of the Internal Revenue Code of 1986, as amended (the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and (v) prior to becoming a party to the Transaction, the transferee or assignee shall have made the Payee Tax Representations and provided such tax documentation as may be reasonably requested by Counterparty to permit Counterparty to determine that the consequences described in clauses (ii) through (iv) above will not occur upon or after such transfer and assignment. If at any time at which (1) the Equity Percentage exceeds 9.0% or (2) Dealer, Dealer Group (as defined below) or any person whose ownership position would be aggregated with that of Dealer or Dealer Group (Dealer, Dealer Group or any such person, a “</w:t>
      </w:r>
      <w:r>
        <w:rPr>
          <w:rFonts w:ascii="Times New Roman;Times;Serif" w:hAnsi="Times New Roman;Times;Serif"/>
          <w:b/>
          <w:i w:val="false"/>
          <w:caps w:val="false"/>
          <w:smallCaps w:val="false"/>
          <w:sz w:val="20"/>
        </w:rPr>
        <w:t>Dealer Person</w:t>
      </w:r>
      <w:r>
        <w:rPr>
          <w:rFonts w:ascii="Times New Roman;Times;Serif" w:hAnsi="Times New Roman;Times;Serif"/>
          <w:b w:val="false"/>
          <w:i w:val="false"/>
          <w:caps w:val="false"/>
          <w:smallCaps w:val="false"/>
          <w:sz w:val="20"/>
        </w:rPr>
        <w:t>”) under any federal, state or local (or non-U.S. jurisdiction’s) law, rule, regulation or regulatory order or organizational documents or contracts of Counterparty applicable to ownership of Shares (“</w:t>
      </w:r>
      <w:r>
        <w:rPr>
          <w:rFonts w:ascii="Times New Roman;Times;Serif" w:hAnsi="Times New Roman;Times;Serif"/>
          <w:b/>
          <w:i w:val="false"/>
          <w:caps w:val="false"/>
          <w:smallCaps w:val="false"/>
          <w:sz w:val="20"/>
        </w:rPr>
        <w:t>Applicable Restrictions</w:t>
      </w:r>
      <w:r>
        <w:rPr>
          <w:rFonts w:ascii="Times New Roman;Times;Serif" w:hAnsi="Times New Roman;Times;Serif"/>
          <w:b w:val="false"/>
          <w:i w:val="false"/>
          <w:caps w:val="false"/>
          <w:smallCaps w:val="false"/>
          <w:sz w:val="20"/>
        </w:rPr>
        <w:t xml:space="preserve">”), owns, beneficially owns, constructively owns, controls, holds the power to vote or otherwise meets a relevant definition of ownership in excess of a number of Shares equal to (x) the number of Shares that would give rise to reporting, registration, filing or notification obligations or other requirements (including obtaining prior approval by a state or federal regulator, but excluding any filing requirements on Form 13F, Schedule 13D or Schedule 13G under the Exchange Act, in each case, as in effect on the Trade Date) of a Dealer Person under Applicable Restrictions and with respect to which such requirements have not been met or the relevant approval has not been received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(y) 1% of the number of Shares outstanding on the date of determination (either such condition described in clause (1) or (2), an “</w:t>
      </w:r>
      <w:r>
        <w:rPr>
          <w:rFonts w:ascii="Times New Roman;Times;Serif" w:hAnsi="Times New Roman;Times;Serif"/>
          <w:b/>
          <w:i w:val="false"/>
          <w:caps w:val="false"/>
          <w:smallCaps w:val="false"/>
          <w:sz w:val="20"/>
        </w:rPr>
        <w:t>Excess Ownership Position</w:t>
      </w:r>
      <w:r>
        <w:rPr>
          <w:rFonts w:ascii="Times New Roman;Times;Serif" w:hAnsi="Times New Roman;Times;Serif"/>
          <w:b w:val="false"/>
          <w:i w:val="false"/>
          <w:caps w:val="false"/>
          <w:smallCaps w:val="false"/>
          <w:sz w:val="20"/>
        </w:rPr>
        <w:t>”), if Dealer, in its reasonable discretion, is unable to effect a transfer or assignment to a third party in accordance with the requirements set forth above after its commercially reasonable efforts on pricing and terms and within a time period reasonably acceptable to Dealer such that an Excess Ownership Position no longer exists, Dealer may designate any Scheduled Trading Day as an Early Termination Date with respect to a portion (the “</w:t>
      </w:r>
      <w:r>
        <w:rPr>
          <w:rFonts w:ascii="Times New Roman;Times;Serif" w:hAnsi="Times New Roman;Times;Serif"/>
          <w:b/>
          <w:i w:val="false"/>
          <w:caps w:val="false"/>
          <w:smallCaps w:val="false"/>
          <w:sz w:val="20"/>
        </w:rPr>
        <w:t>Terminated Portion</w:t>
      </w:r>
      <w:r>
        <w:rPr>
          <w:rFonts w:ascii="Times New Roman;Times;Serif" w:hAnsi="Times New Roman;Times;Serif"/>
          <w:b w:val="false"/>
          <w:i w:val="false"/>
          <w:caps w:val="false"/>
          <w:smallCaps w:val="false"/>
          <w:sz w:val="20"/>
        </w:rPr>
        <w:t>”) of the Transaction, such that an Excess Ownership Position no longer exists following such partial termination. In the event that Dealer so designates an Early Termination Date with respect to a portion of the Transaction, a payment or delivery shall be made pursuant to Section 6 of the Agreement and Section 8(c) of this Confirmation as if (i) an Early Termination Date had been designated in respect of a Transaction having terms identical to the Terminated Portion of the Transaction, (ii) Counterparty were the sole Affected Party with respect to such partial termination, (iii) such portion of the Transaction were the only Terminated Transaction and (iv) Dealer were the party entitled to designate an Early Termination Date pursuant to Section 6(b) of the Agreement and to determine the amount payable pursuant to Section 6(e) of the Agreement. The “</w:t>
      </w:r>
      <w:r>
        <w:rPr>
          <w:rFonts w:ascii="Times New Roman;Times;Serif" w:hAnsi="Times New Roman;Times;Serif"/>
          <w:b/>
          <w:i w:val="false"/>
          <w:caps w:val="false"/>
          <w:smallCaps w:val="false"/>
          <w:sz w:val="20"/>
        </w:rPr>
        <w:t>Equity Percentage</w:t>
      </w:r>
      <w:r>
        <w:rPr>
          <w:rFonts w:ascii="Times New Roman;Times;Serif" w:hAnsi="Times New Roman;Times;Serif"/>
          <w:b w:val="false"/>
          <w:i w:val="false"/>
          <w:caps w:val="false"/>
          <w:smallCaps w:val="false"/>
          <w:sz w:val="20"/>
        </w:rPr>
        <w:t>” as of any day is the fraction, expressed as a percentage, (A) the numerator of which is the number of Shares that Dealer and any of its affiliates subject to aggregation with Dealer for purposes of the “beneficial ownership” test under Section 13 of the Exchange Act and all persons who may form a “group” (within the meaning of Rule 13d-5(b)(1) under the Exchange Act) with Dealer (collectively, “</w:t>
      </w:r>
      <w:r>
        <w:rPr>
          <w:rFonts w:ascii="Times New Roman;Times;Serif" w:hAnsi="Times New Roman;Times;Serif"/>
          <w:b/>
          <w:i w:val="false"/>
          <w:caps w:val="false"/>
          <w:smallCaps w:val="false"/>
          <w:sz w:val="20"/>
        </w:rPr>
        <w:t>Dealer Group</w:t>
      </w:r>
      <w:r>
        <w:rPr>
          <w:rFonts w:ascii="Times New Roman;Times;Serif" w:hAnsi="Times New Roman;Times;Serif"/>
          <w:b w:val="false"/>
          <w:i w:val="false"/>
          <w:caps w:val="false"/>
          <w:smallCaps w:val="false"/>
          <w:sz w:val="20"/>
        </w:rPr>
        <w:t>”) “beneficially own” (within the meaning of Section 13 of the Exchange Act) without duplication on such day (or, to the extent that for any reason the equivalent calculation under Section 16 of the Exchange Act and the rules and regulations thereunder results in a higher number, such higher number) and (B) the denominator of which is the number of Shares outstanding on such day.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Counterparty may transfer or assign any of its rights or obligations under the Transaction with the prior written consent of Dealer, such consent not to be unreasonably withheld or delayed. In the case of a transfer or assignment by Counterparty of its rights and obligations hereunder and under the Agreement, in whole or in part (any such Options so transferred or assigned, the “</w:t>
      </w:r>
      <w:r>
        <w:rPr>
          <w:rFonts w:ascii="Times New Roman;Times;Serif" w:hAnsi="Times New Roman;Times;Serif"/>
          <w:b/>
          <w:i w:val="false"/>
          <w:caps w:val="false"/>
          <w:smallCaps w:val="false"/>
          <w:sz w:val="20"/>
        </w:rPr>
        <w:t>Transfer Options</w:t>
      </w:r>
      <w:r>
        <w:rPr>
          <w:rFonts w:ascii="Times New Roman;Times;Serif" w:hAnsi="Times New Roman;Times;Serif"/>
          <w:b w:val="false"/>
          <w:i w:val="false"/>
          <w:caps w:val="false"/>
          <w:smallCaps w:val="false"/>
          <w:sz w:val="20"/>
        </w:rPr>
        <w:t>”), to any party, withholding of such consent by Dealer shall not be considered unreasonable if such transfer or assignment does not meet the reasonable conditions that Dealer may impose including, but not limited to, the following conditions:</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 respect to any Transfer Options, Counterparty shall not be released from its notice and indemnification obligations pursuant to Section 8(e) or any obligations under Section 2 (regarding Extraordinary Events) or 8(d) of this Confirmation;</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[Reserved];</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transfer or assignment shall be effected on terms, including any reasonable undertakings by such third party (including, but not limited to, undertakings with respect to compliance with applicable securities laws in a manner that, in the reasonable judgment of Dealer, will not expose Dealer to material risks under applicable securities laws) and execution of any documentation and delivery of customary legal opinions with respect to securities laws and other matters by such third party and Counterparty as are reasonably requested and reasonably satisfactory to Dealer;</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Dealer will not, as a result of such transfer and assignment, be required to pay or deliver to the transferee or assignee on any payment date an amount or number of Shares (after accounting for any amounts payable under Section 2(d)(i)(4) of the Agreement as well as any withholding or deduction on such payments or deliveries greater than the amount or number of Shares that Dealer would have been required to pay to Counterparty in the absence of such transfer and assignment, except to the extent such lower amount or number of Shares is due to a change in tax law after the date of such transfer or assignment;</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Dealer will not, as a result of such transfer or assignment, receive from the transferee or assignee any amount or number of Shares less than it would have been entitled to receive (including under Section 2(d)(i)(4) of the Agreement) in the absence of such transfer or assignment, except to the extent such lower amount or number of Shares is due to a change in tax law after the date of such transfer or assignment;</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 Event of Default, Potential Event of Default or Termination Event will not occur as a result of such transfer and assignment;</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Counterparty shall have caused the transferee to make such Payee Tax Representations and to provide such tax documentation as may be reasonably requested by Dealer to permit Dealer to determine that the consequences described in clause (D) and (E) will not occur upon or after such transfer and assignment; and</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Counterparty shall be responsible for all reasonable costs and expenses, including reasonable counsel fees, incurred by Dealer in connection with such transfer or assignment.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Notwithstanding any other provision in this Confirmation to the contrary requiring or allowing Dealer to purchase, sell, receive or deliver any Shares or other securities, or make or receive any payment in cash, to or from Counterparty, Dealer may designate any of its affiliates to purchase, sell, receive or deliver such Shares or other securities, or to make or receive such payment in cash, and otherwise to perform Dealer’s obligations in respect of the Transaction and any such designee may assume such obligations. Dealer shall be discharged of its obligations to Counterparty solely to the extent of any such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Staggered Settlement</w:t>
      </w:r>
      <w:r>
        <w:rPr>
          <w:rFonts w:ascii="Times New Roman;Times;Serif" w:hAnsi="Times New Roman;Times;Serif"/>
          <w:b w:val="false"/>
          <w:i w:val="false"/>
          <w:caps w:val="false"/>
          <w:smallCaps w:val="false"/>
          <w:sz w:val="20"/>
        </w:rPr>
        <w:t>. If Dealer determines commercially reasonably and in good faith that the number of Shares required to be delivered to Counterparty hereunder on any Settlement Date would result in an Excess Ownership Position, then Dealer may, by notice to Counterparty prior to such Settlement Date (a “</w:t>
      </w:r>
      <w:r>
        <w:rPr>
          <w:rFonts w:ascii="Times New Roman;Times;Serif" w:hAnsi="Times New Roman;Times;Serif"/>
          <w:b/>
          <w:i w:val="false"/>
          <w:caps w:val="false"/>
          <w:smallCaps w:val="false"/>
          <w:sz w:val="20"/>
        </w:rPr>
        <w:t>Nominal Settlement Date</w:t>
      </w:r>
      <w:r>
        <w:rPr>
          <w:rFonts w:ascii="Times New Roman;Times;Serif" w:hAnsi="Times New Roman;Times;Serif"/>
          <w:b w:val="false"/>
          <w:i w:val="false"/>
          <w:caps w:val="false"/>
          <w:smallCaps w:val="false"/>
          <w:sz w:val="20"/>
        </w:rPr>
        <w:t>”), elect to deliver any Shares due to be delivered on two or more dates (each, a “</w:t>
      </w:r>
      <w:r>
        <w:rPr>
          <w:rFonts w:ascii="Times New Roman;Times;Serif" w:hAnsi="Times New Roman;Times;Serif"/>
          <w:b/>
          <w:i w:val="false"/>
          <w:caps w:val="false"/>
          <w:smallCaps w:val="false"/>
          <w:sz w:val="20"/>
        </w:rPr>
        <w:t>Staggered Settlement Date</w:t>
      </w:r>
      <w:r>
        <w:rPr>
          <w:rFonts w:ascii="Times New Roman;Times;Serif" w:hAnsi="Times New Roman;Times;Serif"/>
          <w:b w:val="false"/>
          <w:i w:val="false"/>
          <w:caps w:val="false"/>
          <w:smallCaps w:val="false"/>
          <w:sz w:val="20"/>
        </w:rPr>
        <w:t>”) or at two or more times on the Nominal Settlement Date as follows:</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such notice, Dealer will specify to Counterparty the related Staggered Settlement Dates (each of which will be on or prior to the 20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Exchange Business Day after such Nominal Settlement Date) or delivery times and how it will allocate the Shares it is required to deliver under “Delivery Obligation” (above) among the Staggered Settlement Dates or delivery times; and</w:t>
      </w:r>
    </w:p>
    <w:p>
      <w:pPr>
        <w:pStyle w:val="TextBody"/>
        <w:bidi w:val="0"/>
        <w:spacing w:before="0" w:after="0"/>
        <w:ind w:left="720" w:right="0" w:firstLine="360"/>
        <w:jc w:val="left"/>
        <w:rPr>
          <w:caps w:val="false"/>
          <w:smallCaps w:val="false"/>
        </w:rPr>
      </w:pPr>
      <w:r>
        <w:rPr>
          <w:caps w:val="false"/>
          <w:smallCaps w:val="false"/>
        </w:rPr>
        <w:t> </w:t>
      </w:r>
    </w:p>
    <w:p>
      <w:pPr>
        <w:pStyle w:val="TextBody"/>
        <w:bidi w:val="0"/>
        <w:spacing w:before="0" w:after="0"/>
        <w:ind w:left="72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720" w:right="0" w:firstLine="36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aggregate number of Shares that Dealer will deliver to Counterparty hereunder on all such Staggered Settlement Dates and delivery times will equal the number of Shares that Dealer would otherwise be required to deliver on such Nominal Settlement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no event shall any Staggered Settlement Date be a date later than the Final Termination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rPr>
        <w:t>Disclosure</w:t>
      </w:r>
      <w:r>
        <w:rPr>
          <w:rFonts w:ascii="Times New Roman;Times;Serif" w:hAnsi="Times New Roman;Times;Serif"/>
          <w:b w:val="false"/>
          <w:i w:val="false"/>
          <w:caps w:val="false"/>
          <w:smallCaps w:val="false"/>
          <w:sz w:val="20"/>
        </w:rPr>
        <w:t>. Effective from the date of commencement of discussions concerning the Transaction, Counterparty and each of its employees, representatives, or other agents may 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 xml:space="preserve">No Netting and Set-off. </w:t>
      </w:r>
      <w:r>
        <w:rPr>
          <w:rFonts w:ascii="Times New Roman;Times;Serif" w:hAnsi="Times New Roman;Times;Serif"/>
          <w:b w:val="false"/>
          <w:i w:val="false"/>
          <w:caps w:val="false"/>
          <w:smallCaps w:val="false"/>
          <w:sz w:val="20"/>
        </w:rPr>
        <w:t>The provisions of Section 2(c) and 6(f) of the Agreement shall not apply to the Transaction. Each party waives any and all rights it may have to set-off delivery or payment obligations it owes to the other party under the Transaction against any delivery or payment obligations owed to it by the other party, whether arising under the Agreement, under any other agreement between parties hereto, by operation of law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caps w:val="false"/>
          <w:smallCaps w:val="false"/>
          <w:sz w:val="20"/>
        </w:rPr>
        <w:t>Equity Rights</w:t>
      </w:r>
      <w:r>
        <w:rPr>
          <w:rFonts w:ascii="Times New Roman;Times;Serif" w:hAnsi="Times New Roman;Times;Serif"/>
          <w:b w:val="false"/>
          <w:i w:val="false"/>
          <w:caps w:val="false"/>
          <w:smallCaps w:val="false"/>
          <w:sz w:val="20"/>
        </w:rPr>
        <w:t xml:space="preserve">. Dealer acknowledges and agrees that this Confirmation is not intended to convey to it rights with respect to the Transaction that are senior to the claims of ordinary shareholders in any United States or Cayman Island bankruptcy or insolvency proceedings of Counterparty;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nothing herein shall limit or shall be deemed to limit Dealer’s right to pursue remedies in the event of a breach by Counterparty of its obligations and agreements with respect to the Transaction;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that nothing herein shall limit or shall be deemed to limit Dealer’s rights in respect of any transactions other than the Transaction. For the avoidance of doubt, the parties acknowledge that the obligations of Counterparty under this Confirmation are not secured by any collateral that would otherwise secure the obligations of Counterparty herein under or pursuant to any other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caps w:val="false"/>
          <w:smallCaps w:val="false"/>
          <w:sz w:val="20"/>
        </w:rPr>
        <w:t>Early Unwind</w:t>
      </w:r>
      <w:r>
        <w:rPr>
          <w:rFonts w:ascii="Times New Roman;Times;Serif" w:hAnsi="Times New Roman;Times;Serif"/>
          <w:b w:val="false"/>
          <w:i w:val="false"/>
          <w:caps w:val="false"/>
          <w:smallCaps w:val="false"/>
          <w:sz w:val="20"/>
        </w:rPr>
        <w:t>. In the event the sale of the [Firm Notes] [Additional Notes] (as defined in the Purchase Agreement, dated as of February [__], 2026, among Barclays Capital, Inc. and Morgan Stanley &amp; Co. LLC, as representatives of the several initial purchasers thereto, and Counterparty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is not consummated pursuant to the Purchase Agreement for any reason by the close of business in New York on February [__], 2026 (or such later date as agreed upon by the parties which in no event shall be later than the second Scheduled Valid Day following February [__], 2026) (such date or such later date as agreed upon being the “</w:t>
      </w:r>
      <w:r>
        <w:rPr>
          <w:rFonts w:ascii="Times New Roman;Times;Serif" w:hAnsi="Times New Roman;Times;Serif"/>
          <w:b/>
          <w:i w:val="false"/>
          <w:caps w:val="false"/>
          <w:smallCaps w:val="false"/>
          <w:sz w:val="20"/>
        </w:rPr>
        <w:t>Early Unwind Date</w:t>
      </w:r>
      <w:r>
        <w:rPr>
          <w:rFonts w:ascii="Times New Roman;Times;Serif" w:hAnsi="Times New Roman;Times;Serif"/>
          <w:b w:val="false"/>
          <w:i w:val="false"/>
          <w:caps w:val="false"/>
          <w:smallCaps w:val="false"/>
          <w:sz w:val="20"/>
        </w:rPr>
        <w:t>”), the Transaction shall automatically terminate on the Early Unwind Date and (i) the Transaction and all of the respective rights and obligations of Dealer and Counterparty under the Transaction shall be cancelled and terminated (the “</w:t>
      </w:r>
      <w:r>
        <w:rPr>
          <w:rFonts w:ascii="Times New Roman;Times;Serif" w:hAnsi="Times New Roman;Times;Serif"/>
          <w:b/>
          <w:i w:val="false"/>
          <w:caps w:val="false"/>
          <w:smallCaps w:val="false"/>
          <w:sz w:val="20"/>
        </w:rPr>
        <w:t>Early Unwind</w:t>
      </w:r>
      <w:r>
        <w:rPr>
          <w:rFonts w:ascii="Times New Roman;Times;Serif" w:hAnsi="Times New Roman;Times;Serif"/>
          <w:b w:val="false"/>
          <w:i w:val="false"/>
          <w:caps w:val="false"/>
          <w:smallCaps w:val="false"/>
          <w:sz w:val="20"/>
        </w:rPr>
        <w:t>”)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Early Unwind Date. Dealer and Counterparty each represents and acknowledges to the other that, upon an Early Unwind, all obligations with respect to the Transaction shall be deemed fully and finally discharged.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caps w:val="false"/>
          <w:smallCaps w:val="false"/>
          <w:sz w:val="20"/>
        </w:rPr>
        <w:t>Illegality</w:t>
      </w:r>
      <w:r>
        <w:rPr>
          <w:rFonts w:ascii="Times New Roman;Times;Serif" w:hAnsi="Times New Roman;Times;Serif"/>
          <w:b w:val="false"/>
          <w:i w:val="false"/>
          <w:caps w:val="false"/>
          <w:smallCaps w:val="false"/>
          <w:sz w:val="20"/>
        </w:rPr>
        <w:t>. The parties agree that, for the avoidance of doubt, for purposes of Section 5(b)(i) of the Agreement, “any applicable law” shall include the Dodd-Frank Wall Street Reform and Consumer Protection Act of 2010, any rules and regulations promulgated thereunder and any similar law or regulation, without regard to Section 739 of the Dodd-Frank Wall Street Reform and Consumer Protection Act of 2010 or any similar legal certainty provision in any legislation enacted, or rule or regulation promulgated, on or after the Trade Date, and the consequences specified in the Agreement, including without limitation, the consequences specified in Section 6 of the Agreement, shall apply to any Illegality arising from any such act, rule or regulation.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caps w:val="false"/>
          <w:smallCaps w:val="false"/>
          <w:sz w:val="20"/>
        </w:rPr>
        <w:t>Amendments to Equity Definitions and the Agreement.</w:t>
      </w:r>
      <w:r>
        <w:rPr>
          <w:rFonts w:ascii="Times New Roman;Times;Serif" w:hAnsi="Times New Roman;Times;Serif"/>
          <w:b w:val="false"/>
          <w:i w:val="false"/>
          <w:caps w:val="false"/>
          <w:smallCaps w:val="false"/>
          <w:sz w:val="20"/>
        </w:rPr>
        <w:t> The following amendments shall be made to the Equity Definitions:</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solely for purposes of applying the Equity Definitions and for purposes of this Confirmation, any reference in the Equity Definitions to a Strike Price shall be deemed to be a reference to either of the Strike Price or the Cap Price, or both, as appropriate;</w:t>
      </w:r>
    </w:p>
    <w:p>
      <w:pPr>
        <w:pStyle w:val="TextBody"/>
        <w:bidi w:val="0"/>
        <w:spacing w:before="0" w:after="0"/>
        <w:ind w:left="720" w:right="0" w:firstLine="360"/>
        <w:jc w:val="left"/>
        <w:rPr>
          <w:caps w:val="false"/>
          <w:smallCaps w:val="false"/>
        </w:rPr>
      </w:pPr>
      <w:r>
        <w:rPr>
          <w:caps w:val="false"/>
          <w:smallCaps w:val="false"/>
        </w:rPr>
        <w:t> </w:t>
      </w:r>
    </w:p>
    <w:p>
      <w:pPr>
        <w:pStyle w:val="TextBody"/>
        <w:bidi w:val="0"/>
        <w:spacing w:before="0" w:after="0"/>
        <w:ind w:left="72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720" w:right="0" w:firstLine="360"/>
        <w:jc w:val="left"/>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for the purpose of any adjustment under Section 11.2(c) of the Equity Definitions, the first sentence of Section 11.2(c) of the Equity Definitions, prior to clause (A) thereof, is hereby amended to read as follows: (c) If “Calculation Agent Adjustment” is specified as the Method of Adjustment in the related Confirmation of a Share Option Transaction, then following the announcement or occurrence of any Potential Adjustment Event, the Calculation Agent will determine whether such Potential Adjustment Event has, in the commercially reasonable judgment of the Calculation Agent, a material economic effect on the theoretical value of the relevant Shares or options on the Shares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event is not based on (x) an observable market, other than the market for Counterparty’s own stock or (y) an observable index, other than an index calculated and measured solely by reference to Counterparty’s own operations) and, if so, will (i) make appropriate adjustment(s), if any, determined in a commercially reasonable manner, to any one or more of: and, the portion of such sentence immediately preceding clause (ii) thereof is hereby amended by deleting the words “diluting or concentrative” and the words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adjustments will be made to account solely for changes in volatility, expected dividends, stock loan rate or liquidity relative to the relevant Shares)” and replacing such latter phrase with the words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solely in the case of Sections 11.2(e)(i), (ii)(A), and (iv), no adjustments will be made to account solely for changes in volatility, expected dividends, stock loan rate or liquidity relative to the relevant Shares but, for the avoidance of doubt, solely in the case of Sections 11.2(e)(ii)(B) through (D), (iii), (v), (vi) and (vii) adjustments may be made to account solely for changes in volatility, expected dividends, stock loan rate or liquidity relative to the relevant Shares)”;</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Section 11.2(a) of the Equity Definitions is hereby amended by (1) deleting the words “in the determination of the Calculation Agent, a diluting or concentrative effect on the theoretical value of the relevant Shares” and replacing these words with “in the commercially reasonable judgment of the Calculation Agent, a material economic effect on the theoretical value of the Shares or options on such Shares”; and (2) adding at the end thereof “;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event is not based on (i) an observable market, other than the market for Counterparty’s own stock or (ii) an observable index, other than an index calculated and measured solely by reference to Counterparty’s own operations”;</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Section 11.2(e)(vii) of the Equity Definitions is hereby amended and restated as follows: “any other corporate event involving the Issuer that in the commercially reasonable judgment of the Calculation Agent has a material economic effect on the theoretical value of the Shares or options on the Shares;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corporate event involving the Issuer is not based on (a) an observable market, other than the market for Counterparty’s own stock or (b) an observable index, other than an index calculated and measured solely by reference to Counterparty’s own operations.”;</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Section 12.6(a)(ii) of the Equity Definitions is hereby amended by (1) inserting “(A)” after “means” in the first line thereof and replacing “(A)” and “(B)” in the third and fourth lines thereof with “(1)” and “(2)” respectively, (2) deleting from the fourth line thereof the word “or” after the word “official” and inserting a comma therefor, (3) inserting at the end of renumbered subsection (2) thereof the following wording, “or, under the laws of the Cayman Islands, any other jurisdiction or otherwise, any other impediment to or restriction on the transfer of any Share arises or becomes applicable including, without limitation, where (x) any transfer of a Share or alteration of the status of the members of the Issuer would be void unless a court of the Cayman Islands or any other jurisdiction orders otherwise or (y) any transfer of a Share not being a transfer with the sanction of a liquidator, and any alteration in the status of the Issuer’s members, would be void” and (4) deleting the semi-colon at the end of renumbered subsection (2) thereof and inserting the following words therefor “or (B) at Dealer’s option, the occurrence of any of the events specified in Section 5(a)(vii)(1) through (9) of the ISDA Master Agreement with respect to that Issuer (provided that the period for dismissal, discharge, stay or restraint therein shall be increased from “within 15 days” to “within 30 days)”;</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Section 12.9(b)(i) of the Equity Definitions is hereby amended by (1) replacing “either party may elect” with “Dealer may elect” and (2) replacing “notice to the other party” with “notice to Counterparty” in the first sentence of such section;</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“Extraordinary Dividend” (as such term is used in the Equity Definitions) means any cash dividend on the Shares; and</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Section 12(a) of the Agreement is hereby amended by (1) deleting the phrase “or email” in the third line thereof and (2) deleting the phrase “or that communication is delivered (or attempted) or received, as applicable, after the close of business on a Local Business Day” in the final clause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caps w:val="false"/>
          <w:smallCaps w:val="false"/>
          <w:sz w:val="20"/>
        </w:rPr>
        <w:t>Governing Law; Exclusive Jurisdiction</w:t>
      </w:r>
      <w:r>
        <w:rPr>
          <w:rFonts w:ascii="Times New Roman;Times;Serif" w:hAnsi="Times New Roman;Times;Serif"/>
          <w:b w:val="false"/>
          <w:i w:val="false"/>
          <w:caps w:val="false"/>
          <w:smallCaps w:val="false"/>
          <w:sz w:val="20"/>
        </w:rPr>
        <w:t>.</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THE AGREEMENT, THIS CONFIRMATION AND ALL MATTERS ARISING IN CONNECTION WITH THE AGREEMENT AND THIS CONFIRMATION SHALL BE GOVERNED BY, AND CONSTRUED AND ENFORCED IN ACCORDANCE WITH, THE LAWS OF THE STATE OF NEW YORK (WITHOUT REFERENCE TO ITS CHOICE OF LAW DOCTRINE, OTHER THAN TITLE 14 OF ARTICLE 5 OF THE NEW YORK GENERAL OBLIGATIONS LAW).</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 Section 13(b) of the Agreement is deleted in its entirety and replaced by the following:</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Each party hereby irrevocably and unconditionally submits for itself and its property in any suit, legal action or proceeding relating to this Confirmation or the Agreement, or for recognition and enforcement of any judgment in respect thereof, (each, “Proceedings”) to the exclusive jurisdiction of the Supreme Court of the State of New York, sitting in New York County, the courts of the United States of America for the Southern District of New York and appellate courts from any thereof. Nothing in this Confirmation or the Agreement precludes either party from bringing Proceedings in any other jurisdiction if (A) the courts of the State of New York or the United States of America for the Southern District of New York lack jurisdiction over the parties or the subject matter of the Proceedings or decline to accept the Proceedings on the grounds of lacking such jurisdiction; (B) the Proceedings are commenced by a party for the purpose of enforcing against the other party’s property, assets or estate any decision or judgment rendered by any court in which Proceedings may be brought as provided hereunder; (C) the Proceedings are commenced to appeal any such court’s decision or judgment to any higher court with competent appellate jurisdiction over that court’s decisions or judgments if that higher court is located outside the State of New York or Borough of Manhattan, such as a federal court of appeals or the U.S. Supreme Court; or (D) any suit, action or proceeding has been commenced in another jurisdiction by or against the other party or against its property, assets or estate and, in order to exercise or protect its rights, interests or remedies under this Confirmation or the Agreement, the party (1) joins, files a claim, or takes any other action, in any such suit, action or proceeding, or (2) otherwise commences any Proceeding in that other jurisdiction as the result of that other suit, action or proceeding having commenced in that other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caps w:val="false"/>
          <w:smallCaps w:val="false"/>
          <w:sz w:val="20"/>
        </w:rPr>
        <w:t>Adjustments</w:t>
      </w:r>
      <w:r>
        <w:rPr>
          <w:rFonts w:ascii="Times New Roman;Times;Serif" w:hAnsi="Times New Roman;Times;Serif"/>
          <w:b w:val="false"/>
          <w:i w:val="false"/>
          <w:caps w:val="false"/>
          <w:smallCaps w:val="false"/>
          <w:sz w:val="20"/>
        </w:rPr>
        <w:t>. For the avoidance of doubt, whenever Dealer, the Calculation Agent or Determining Party is called upon to make any calculation, determination or adjustment pursuant to the terms of this Confirmation or the Equity Definitions to take into account the effect of an event, Dealer, the Calculation Agent or Determining Party shall make such calculation, determination or adjustment by reference to the effect of such event on the Hedging Party, assuming that the Hedging Party maintains a commercially reasonable hedge 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caps w:val="false"/>
          <w:smallCaps w:val="false"/>
          <w:sz w:val="20"/>
        </w:rPr>
        <w:t>Delivery or Receipt of Cash</w:t>
      </w:r>
      <w:r>
        <w:rPr>
          <w:rFonts w:ascii="Times New Roman;Times;Serif" w:hAnsi="Times New Roman;Times;Serif"/>
          <w:b w:val="false"/>
          <w:i w:val="false"/>
          <w:caps w:val="false"/>
          <w:smallCaps w:val="false"/>
          <w:sz w:val="20"/>
        </w:rPr>
        <w:t>. For the avoidance of doubt, other than payment of the Premium by Counterparty, nothing in this Confirmation shall be interpreted as requiring Counterparty to cash settle the Transaction, except in circumstances where cash settlement is within Counterparty’s control (including, without limitation, where Counterparty elects to deliver or receive cash) or in those circumstances in which holders of Shares would also receive cash.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caps w:val="false"/>
          <w:smallCaps w:val="false"/>
          <w:sz w:val="20"/>
        </w:rPr>
        <w:t>Waiver of Jury Trial</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EACH PARTY HEREBY IRREVOCABLY WAIVES ANY AND ALL RIGHTS TO TRIAL BY JURY WITH RESPECT TO ANY LEGAL PROCEEDING ARISING OUT OF OR RELATING TO THE AGREEMENT, THIS CONFIRMATION OR ANY TRANSACTIONS CONTEMPLATED HEREBY.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caps w:val="false"/>
          <w:smallCaps w:val="false"/>
          <w:sz w:val="20"/>
        </w:rPr>
        <w:t>Amendment.</w:t>
      </w:r>
      <w:r>
        <w:rPr>
          <w:rFonts w:ascii="Times New Roman;Times;Serif" w:hAnsi="Times New Roman;Times;Serif"/>
          <w:b w:val="false"/>
          <w:i w:val="false"/>
          <w:caps w:val="false"/>
          <w:smallCaps w:val="false"/>
          <w:sz w:val="20"/>
        </w:rPr>
        <w:t xml:space="preserve"> This Confirmation and the Agreement may not be modified, amended or supplemented, except in a written instrument signed by Counterparty and Dealer.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Counterparts</w:t>
      </w:r>
      <w:r>
        <w:rPr>
          <w:rFonts w:ascii="Times New Roman;Times;Serif" w:hAnsi="Times New Roman;Times;Serif"/>
          <w:b w:val="false"/>
          <w:i w:val="false"/>
          <w:caps w:val="false"/>
          <w:smallCaps w:val="false"/>
          <w:sz w:val="20"/>
        </w:rPr>
        <w:t>. This Confirmation may be executed in several counterparts, each of which shall be deemed an original but all of which together shall constitute one and the same instrument.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caps w:val="false"/>
          <w:smallCaps w:val="false"/>
          <w:sz w:val="20"/>
        </w:rPr>
        <w:t xml:space="preserve">Tax Matters. </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Payee Tax Representations</w:t>
      </w:r>
      <w:r>
        <w:rPr>
          <w:rFonts w:ascii="Times New Roman;Times;Serif" w:hAnsi="Times New Roman;Times;Serif"/>
          <w:b w:val="false"/>
          <w:i w:val="false"/>
          <w:caps w:val="false"/>
          <w:smallCaps w:val="false"/>
          <w:sz w:val="20"/>
        </w:rPr>
        <w:t>.</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Section 3(f) of the Agreement, Counterparty makes the following representation to Dealer:</w:t>
      </w:r>
    </w:p>
    <w:p>
      <w:pPr>
        <w:pStyle w:val="TextBody"/>
        <w:bidi w:val="0"/>
        <w:spacing w:before="0" w:after="0"/>
        <w:ind w:left="1260" w:right="0" w:hanging="0"/>
        <w:jc w:val="both"/>
        <w:rPr>
          <w:caps w:val="false"/>
          <w:smallCaps w:val="false"/>
        </w:rPr>
      </w:pPr>
      <w:r>
        <w:rPr>
          <w:caps w:val="false"/>
          <w:smallCaps w:val="false"/>
        </w:rPr>
        <w:t> </w:t>
      </w:r>
    </w:p>
    <w:p>
      <w:pPr>
        <w:pStyle w:val="TextBody"/>
        <w:bidi w:val="0"/>
        <w:spacing w:before="0" w:after="0"/>
        <w:ind w:left="12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Counterparty is an exempted company incorporated with limited liability under the laws of the Cayman Islands. Counterparty is classified as a corporation for the U.S. federal income tax purposes. No income received or to be received under the Agreement will be effectively connected with the conduct of a trade or business by Counterparty in the United States. Counterparty is a “non-U.S. branch of a foreign person” as that term is used in Section 1.1441-4(a)(3)(ii) of the United States Treasury Regulations (the “Regulations”), and it is a “foreign Person” as that term is used in Section 1.6041-4(a)(4) of the Regulations.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Section 3(f) of the Agreement, Dealer makes the following representation to Counterparty:</w:t>
      </w:r>
    </w:p>
    <w:p>
      <w:pPr>
        <w:pStyle w:val="TextBody"/>
        <w:bidi w:val="0"/>
        <w:spacing w:before="0" w:after="0"/>
        <w:ind w:left="1260" w:right="0" w:hanging="0"/>
        <w:jc w:val="both"/>
        <w:rPr>
          <w:caps w:val="false"/>
          <w:smallCaps w:val="false"/>
        </w:rPr>
      </w:pPr>
      <w:r>
        <w:rPr>
          <w:caps w:val="false"/>
          <w:smallCaps w:val="false"/>
        </w:rPr>
        <w:t> </w:t>
      </w:r>
    </w:p>
    <w:p>
      <w:pPr>
        <w:pStyle w:val="TextBody"/>
        <w:bidi w:val="0"/>
        <w:spacing w:before="0" w:after="0"/>
        <w:ind w:left="12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[Dealer to provide.]</w:t>
      </w:r>
    </w:p>
    <w:p>
      <w:pPr>
        <w:pStyle w:val="TextBody"/>
        <w:bidi w:val="0"/>
        <w:spacing w:before="0" w:after="0"/>
        <w:ind w:left="720" w:right="0" w:firstLine="360"/>
        <w:jc w:val="both"/>
        <w:rPr>
          <w:caps w:val="false"/>
          <w:smallCaps w:val="false"/>
        </w:rPr>
      </w:pPr>
      <w:r>
        <w:rPr>
          <w:caps w:val="false"/>
          <w:smallCaps w:val="false"/>
        </w:rPr>
        <w:t> </w:t>
      </w:r>
    </w:p>
    <w:p>
      <w:pPr>
        <w:pStyle w:val="TextBody"/>
        <w:bidi w:val="0"/>
        <w:spacing w:before="0" w:after="0"/>
        <w:ind w:left="72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caps w:val="false"/>
          <w:smallCaps w:val="false"/>
          <w:sz w:val="20"/>
        </w:rPr>
        <w:t xml:space="preserve">Tax Documentation. </w:t>
      </w:r>
      <w:r>
        <w:rPr>
          <w:rFonts w:ascii="Times New Roman;Times;Serif" w:hAnsi="Times New Roman;Times;Serif"/>
          <w:b w:val="false"/>
          <w:i w:val="false"/>
          <w:caps w:val="false"/>
          <w:smallCaps w:val="false"/>
          <w:sz w:val="20"/>
        </w:rPr>
        <w:t>For the purpose of Sections 4(a)(i) and (ii) of the Agreement, Counterparty agrees to deliver to Dealer one duly executed and completed United States Internal Revenue Service Form W-8BEN-E (or successor thereto) and Dealer agrees to deliver to Counterparty a U.S. Internal Revenue Service [Form W-9][Form W-8ECI] (or successor thereto). Such forms or documents shall be delivered upon (i) execution of this Confirmation, (ii) Counterparty or Dealer, as applicable, learning that any such tax form previously provided by it has become obsolete or incorrect, and (iii) reasonable request of the other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w:t>
      </w:r>
      <w:r>
        <w:rPr>
          <w:rFonts w:ascii="Times New Roman;Times;Serif" w:hAnsi="Times New Roman;Times;Serif"/>
          <w:b w:val="false"/>
          <w:i/>
          <w:caps w:val="false"/>
          <w:smallCaps w:val="false"/>
          <w:sz w:val="20"/>
        </w:rPr>
        <w:t>Withholding Tax imposed on payments to non-US counterparties under the United States Foreign Account Tax Compliance Act</w:t>
      </w:r>
      <w:r>
        <w:rPr>
          <w:rFonts w:ascii="Times New Roman;Times;Serif" w:hAnsi="Times New Roman;Times;Serif"/>
          <w:b w:val="false"/>
          <w:i w:val="false"/>
          <w:caps w:val="false"/>
          <w:smallCaps w:val="false"/>
          <w:sz w:val="20"/>
        </w:rPr>
        <w:t>. “Indemnifiable Tax”, as defined in Section 14 of the Agreement, shall not include any U.S. federal withholding tax imposed or collected pursuant to Sections 1471 through 1474 of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Times New Roman;Times;Serif" w:hAnsi="Times New Roman;Times;Serif"/>
          <w:b/>
          <w:i w:val="false"/>
          <w:caps w:val="false"/>
          <w:smallCaps w:val="false"/>
          <w:sz w:val="20"/>
        </w:rPr>
        <w:t>FATCA Withholding Tax</w:t>
      </w:r>
      <w:r>
        <w:rPr>
          <w:rFonts w:ascii="Times New Roman;Times;Serif" w:hAnsi="Times New Roman;Times;Serif"/>
          <w:b w:val="false"/>
          <w:i w:val="false"/>
          <w:caps w:val="false"/>
          <w:smallCaps w:val="false"/>
          <w:sz w:val="20"/>
        </w:rPr>
        <w:t>”). For the avoidance of doubt, a FATCA Withholding Tax is a Tax the deduction or withholding of which is required by applicable law for the purposes of Section 2(d)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(v)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xml:space="preserve">HIRE Act. </w:t>
      </w:r>
      <w:r>
        <w:rPr>
          <w:rFonts w:ascii="Times New Roman;Times;Serif" w:hAnsi="Times New Roman;Times;Serif"/>
          <w:b w:val="false"/>
          <w:i w:val="false"/>
          <w:caps w:val="false"/>
          <w:smallCaps w:val="false"/>
          <w:sz w:val="20"/>
        </w:rPr>
        <w:t>“Indemnifiable Tax”, as defined in Section 14 of the Agreement, shall not include any tax imposed on payments treated as dividends from sources within the United States under Section 871(m) of the Code or any regulations issued thereunder. For the avoidance of doubt, any such tax imposed under Section 871(m) of the Code is a Tax the deduction or withholding of which is required by applicable law for the purposes of Section 2(d) of the Agreement</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 Wall Street Transparency and Accountability Act</w:t>
      </w:r>
      <w:r>
        <w:rPr>
          <w:rFonts w:ascii="Times New Roman;Times;Serif" w:hAnsi="Times New Roman;Times;Serif"/>
          <w:b w:val="false"/>
          <w:i w:val="false"/>
          <w:caps w:val="false"/>
          <w:smallCaps w:val="false"/>
          <w:sz w:val="20"/>
        </w:rPr>
        <w:t>. In connection with Section 739 of the Wall Street Transparency and Accountability Act of 2010 (“</w:t>
      </w:r>
      <w:r>
        <w:rPr>
          <w:rFonts w:ascii="Times New Roman;Times;Serif" w:hAnsi="Times New Roman;Times;Serif"/>
          <w:b/>
          <w:i w:val="false"/>
          <w:caps w:val="false"/>
          <w:smallCaps w:val="false"/>
          <w:sz w:val="20"/>
        </w:rPr>
        <w:t>WSTAA</w:t>
      </w:r>
      <w:r>
        <w:rPr>
          <w:rFonts w:ascii="Times New Roman;Times;Serif" w:hAnsi="Times New Roman;Times;Serif"/>
          <w:b w:val="false"/>
          <w:i w:val="false"/>
          <w:caps w:val="false"/>
          <w:smallCaps w:val="false"/>
          <w:sz w:val="20"/>
        </w:rPr>
        <w:t>”), the parties hereby agree that neither the enactment of WSTAA or any regulation under the WSTAA, nor any requirement under WSTAA or an amendment made by WSTAA,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an Excess Ownership Position, or Illegality (as defined in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val="false"/>
          <w:i/>
          <w:caps w:val="false"/>
          <w:smallCaps w:val="false"/>
          <w:sz w:val="20"/>
        </w:rPr>
        <w:t>[QFC Stay Rules</w:t>
      </w:r>
      <w:r>
        <w:rPr>
          <w:rFonts w:ascii="Times New Roman;Times;Serif" w:hAnsi="Times New Roman;Times;Serif"/>
          <w:b w:val="false"/>
          <w:i w:val="false"/>
          <w:caps w:val="false"/>
          <w:smallCaps w:val="false"/>
          <w:sz w:val="20"/>
        </w:rPr>
        <w:t>. The parties agree that (i) to the extent that prior to the date hereof both parties have adhered to the 2018 ISDA U.S. Resolution Stay Protocol (the “</w:t>
      </w:r>
      <w:r>
        <w:rPr>
          <w:rFonts w:ascii="Times New Roman;Times;Serif" w:hAnsi="Times New Roman;Times;Serif"/>
          <w:b/>
          <w:i w:val="false"/>
          <w:caps w:val="false"/>
          <w:smallCaps w:val="false"/>
          <w:sz w:val="20"/>
        </w:rPr>
        <w:t>Protocol</w:t>
      </w:r>
      <w:r>
        <w:rPr>
          <w:rFonts w:ascii="Times New Roman;Times;Serif" w:hAnsi="Times New Roman;Times;Serif"/>
          <w:b w:val="false"/>
          <w:i w:val="false"/>
          <w:caps w:val="false"/>
          <w:smallCaps w:val="false"/>
          <w:sz w:val="20"/>
        </w:rPr>
        <w:t>”), the terms of the Protocol are incorporated into and form a part of this Confirmation, and for such purposes this Confirmation shall be deemed a Protocol Covered Agreement, and each party shall be deemed to have the same status as Regulated Entity and/or Adhering Party as applicable to it under the Protocol; (ii) to the extent that prior to the date hereof the parties have executed a separate agreement the effect of which is to amend the qualified financial contracts between them to conform with the requirements of the QFC Stay Rules (the “</w:t>
      </w:r>
      <w:r>
        <w:rPr>
          <w:rFonts w:ascii="Times New Roman;Times;Serif" w:hAnsi="Times New Roman;Times;Serif"/>
          <w:b/>
          <w:i w:val="false"/>
          <w:caps w:val="false"/>
          <w:smallCaps w:val="false"/>
          <w:sz w:val="20"/>
        </w:rPr>
        <w:t>Bilateral Agreement</w:t>
      </w:r>
      <w:r>
        <w:rPr>
          <w:rFonts w:ascii="Times New Roman;Times;Serif" w:hAnsi="Times New Roman;Times;Serif"/>
          <w:b w:val="false"/>
          <w:i w:val="false"/>
          <w:caps w:val="false"/>
          <w:smallCaps w:val="false"/>
          <w:sz w:val="20"/>
        </w:rPr>
        <w:t>”), the terms of the Bilateral Agreement are incorporated into and form a part of this Confirmation and each party shall be deemed to have the status of “Covered Entity” or “Counterparty Entity” (or other similar term) as applicable to it under the Bilateral Agreement; or (iii) if clause (i) and clause (ii) do not apply, the terms of Section 1 and Section 2 and the related defined terms (together, the “</w:t>
      </w:r>
      <w:r>
        <w:rPr>
          <w:rFonts w:ascii="Times New Roman;Times;Serif" w:hAnsi="Times New Roman;Times;Serif"/>
          <w:b/>
          <w:i w:val="false"/>
          <w:caps w:val="false"/>
          <w:smallCaps w:val="false"/>
          <w:sz w:val="20"/>
        </w:rPr>
        <w:t>Bilateral Terms</w:t>
      </w:r>
      <w:r>
        <w:rPr>
          <w:rFonts w:ascii="Times New Roman;Times;Serif" w:hAnsi="Times New Roman;Times;Serif"/>
          <w:b w:val="false"/>
          <w:i w:val="false"/>
          <w:caps w:val="false"/>
          <w:smallCaps w:val="false"/>
          <w:sz w:val="20"/>
        </w:rPr>
        <w:t xml:space="preserve">”) of the form of bilateral template entitled “Full-Length Omnibus (for use between U.S. G-SIBs and Corporate Groups)” published by ISDA on November 2, 2018 (currently available on the 2018 ISDA U.S. Resolution Stay Protocol page at </w:t>
      </w:r>
      <w:r>
        <w:rPr>
          <w:rFonts w:ascii="Times New Roman;Times;Serif" w:hAnsi="Times New Roman;Times;Serif"/>
          <w:b w:val="false"/>
          <w:i/>
          <w:caps w:val="false"/>
          <w:smallCaps w:val="false"/>
          <w:sz w:val="20"/>
        </w:rPr>
        <w:t>www.isda.org</w:t>
      </w:r>
      <w:r>
        <w:rPr>
          <w:rFonts w:ascii="Times New Roman;Times;Serif" w:hAnsi="Times New Roman;Times;Serif"/>
          <w:b w:val="false"/>
          <w:i w:val="false"/>
          <w:caps w:val="false"/>
          <w:smallCaps w:val="false"/>
          <w:sz w:val="20"/>
        </w:rPr>
        <w:t xml:space="preserve"> and a copy of which is available upon request), the effect of which is to amend the qualified financial contracts between the parties thereto to conform with the requirements of the QFC Stay Rules, are hereby incorporated into and form a part of this Confirmation, and for such purposes this Confirmation shall be deemed a “Covered Agreement,” Dealer shall be deemed a “Covered Entity” and Counterparty shall be deemed a “Counterparty Entity.” In the event that, after the date of this Confirmation, both parties hereto become adhering parties to the Protocol, the terms of the Protocol will replace the terms of this paragraph. In the event of any inconsistencies between this Confirmation and the terms of the Protocol, the Bilateral Agreement or the Bilateral Terms (each, the “</w:t>
      </w:r>
      <w:r>
        <w:rPr>
          <w:rFonts w:ascii="Times New Roman;Times;Serif" w:hAnsi="Times New Roman;Times;Serif"/>
          <w:b/>
          <w:i w:val="false"/>
          <w:caps w:val="false"/>
          <w:smallCaps w:val="false"/>
          <w:sz w:val="20"/>
        </w:rPr>
        <w:t>QFC Stay Terms</w:t>
      </w:r>
      <w:r>
        <w:rPr>
          <w:rFonts w:ascii="Times New Roman;Times;Serif" w:hAnsi="Times New Roman;Times;Serif"/>
          <w:b w:val="false"/>
          <w:i w:val="false"/>
          <w:caps w:val="false"/>
          <w:smallCaps w:val="false"/>
          <w:sz w:val="20"/>
        </w:rPr>
        <w:t>”), as applicable, the QFC Stay Terms will govern. Terms used in this paragraph without definition shall have the meanings assigned to them under the QFC Stay Rules. For purposes of this paragraph, references to “this Confirmation” include any related credit enhancements entered into between the parties or provided by one to the other.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QFC Stay Rules” means the regulations codified at 12 C.F.R. 252.2, 252.81–8, 12 C.F.R. 382.1-7 and 12 C.F.R. 47.1-8, which, subject to limited exceptions, require an express recognition of the stay-and-transfer powers of the FDIC under the Federal Deposit Insurance Act and the Orderly Liquidation Authority under Title II of the Dodd Frank Wall Street Reform and Consumer Protection Act and the override of default rights related directly or indirectly to the entry of an affiliate into certain insolvency proceedings and any restrictions on the transfer of any covered affiliate credit enhancements.]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caps w:val="false"/>
          <w:smallCaps w:val="false"/>
          <w:sz w:val="20"/>
          <w:shd w:fill="FFFFFF" w:val="clear"/>
        </w:rPr>
        <w:t>Reserved</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 </w:t>
      </w:r>
      <w:r>
        <w:rPr>
          <w:rFonts w:ascii="Times New Roman;Times;Serif" w:hAnsi="Times New Roman;Times;Serif"/>
          <w:b w:val="false"/>
          <w:i/>
          <w:caps w:val="false"/>
          <w:smallCaps w:val="false"/>
          <w:sz w:val="20"/>
          <w:shd w:fill="FFFFFF" w:val="clear"/>
        </w:rPr>
        <w:t>Service of Process</w:t>
      </w:r>
      <w:r>
        <w:rPr>
          <w:rFonts w:ascii="Times New Roman;Times;Serif" w:hAnsi="Times New Roman;Times;Serif"/>
          <w:b w:val="false"/>
          <w:i w:val="false"/>
          <w:caps w:val="false"/>
          <w:smallCaps w:val="false"/>
          <w:sz w:val="20"/>
          <w:shd w:fill="FFFFFF" w:val="clear"/>
        </w:rPr>
        <w:t>. Counterparty irrevocably appoints Cogency Global Inc., located 122 E. 42nd Street, 18th Floor, New York, New York 10168, as its authorized agent upon which process may be served in any suit, action or proceeding relating to the Transaction, and agrees that service of process in any manner permitted by applicable law upon such agent shall be deemed in every respect effective service of process in any manner permitted by applicable law upon Counterparty in any such suit, action or proceeding. Counterparty further agrees to take any and all action as may be necessary to maintain such designation and appointment of such agent in full force and effect for a period of six years from the date of this Confirmation. If for any reason such agent shall cease to be such agent for service of process, Counterparty shall forthwith appoint a new agent of recognized standing for service of process in the State of New York and deliver to Dealer a copy of the new agent’s acceptance of that appointment within 10 days. Nothing herein shall affect the right of Dealer to serve process in any other manner permitted by law or to commence legal proceedings or otherwise proceed against Counterparty in any other court of competent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(aa)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caps w:val="false"/>
          <w:smallCaps w:val="false"/>
          <w:sz w:val="20"/>
          <w:shd w:fill="FFFFFF" w:val="clear"/>
        </w:rPr>
        <w:t>Insert Agency and other Dealer Boilerplate, If Applicable</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confirm that the foregoing correctly sets forth the terms of our agreement by sending to us a letter or telex substantially similar to this facsimile, which letter or telex sets forth the material terms of the Transaction to which this Confirmation relates and indicates your agreement to those terms.</w:t>
      </w:r>
    </w:p>
    <w:p>
      <w:pPr>
        <w:pStyle w:val="TextBody"/>
        <w:bidi w:val="0"/>
        <w:spacing w:before="0" w:after="0"/>
        <w:ind w:left="0" w:right="0" w:hanging="0"/>
        <w:jc w:val="center"/>
        <w:rPr>
          <w:caps w:val="false"/>
          <w:smallCaps w:val="false"/>
        </w:rPr>
      </w:pPr>
      <w:r>
        <w:rPr>
          <w:caps w:val="false"/>
          <w:smallCaps w:val="false"/>
        </w:rPr>
        <w:t> </w:t>
      </w:r>
    </w:p>
    <w:tbl>
      <w:tblPr>
        <w:tblW w:w="1669" w:type="dxa"/>
        <w:jc w:val="left"/>
        <w:tblInd w:w="0" w:type="dxa"/>
        <w:tblLayout w:type="fixed"/>
        <w:tblCellMar>
          <w:top w:w="0" w:type="dxa"/>
          <w:left w:w="0" w:type="dxa"/>
          <w:bottom w:w="0" w:type="dxa"/>
          <w:right w:w="0" w:type="dxa"/>
        </w:tblCellMar>
      </w:tblPr>
      <w:tblGrid>
        <w:gridCol w:w="75"/>
        <w:gridCol w:w="748"/>
        <w:gridCol w:w="846"/>
      </w:tblGrid>
      <w:tr>
        <w:trPr/>
        <w:tc>
          <w:tcPr>
            <w:tcW w:w="75" w:type="dxa"/>
            <w:tcBorders/>
            <w:vAlign w:val="center"/>
          </w:tcPr>
          <w:p>
            <w:pPr>
              <w:pStyle w:val="TableContents"/>
              <w:bidi w:val="0"/>
              <w:spacing w:before="0" w:after="283"/>
              <w:jc w:val="left"/>
              <w:rPr/>
            </w:pPr>
            <w:r>
              <w:rPr/>
              <w:t> </w:t>
            </w:r>
          </w:p>
        </w:tc>
        <w:tc>
          <w:tcPr>
            <w:tcW w:w="1594" w:type="dxa"/>
            <w:gridSpan w:val="2"/>
            <w:tcBorders/>
            <w:vAlign w:val="center"/>
          </w:tcPr>
          <w:p>
            <w:pPr>
              <w:pStyle w:val="TableContents"/>
              <w:bidi w:val="0"/>
              <w:spacing w:before="0" w:after="283"/>
              <w:jc w:val="left"/>
              <w:rPr/>
            </w:pPr>
            <w:r>
              <w:rPr/>
              <w:t>Yours faithfully,</w:t>
            </w:r>
          </w:p>
        </w:tc>
      </w:tr>
      <w:tr>
        <w:trPr/>
        <w:tc>
          <w:tcPr>
            <w:tcW w:w="75"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 </w:t>
            </w:r>
          </w:p>
        </w:tc>
        <w:tc>
          <w:tcPr>
            <w:tcW w:w="84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94" w:type="dxa"/>
            <w:gridSpan w:val="2"/>
            <w:tcBorders/>
            <w:vAlign w:val="center"/>
          </w:tcPr>
          <w:p>
            <w:pPr>
              <w:pStyle w:val="TableContents"/>
              <w:bidi w:val="0"/>
              <w:spacing w:before="0" w:after="283"/>
              <w:jc w:val="left"/>
              <w:rPr>
                <w:b/>
              </w:rPr>
            </w:pPr>
            <w:r>
              <w:rPr>
                <w:b/>
              </w:rPr>
              <w:t>[DEALER]</w:t>
            </w:r>
          </w:p>
        </w:tc>
      </w:tr>
      <w:tr>
        <w:trPr/>
        <w:tc>
          <w:tcPr>
            <w:tcW w:w="75"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 </w:t>
            </w:r>
          </w:p>
        </w:tc>
        <w:tc>
          <w:tcPr>
            <w:tcW w:w="84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By:</w:t>
            </w:r>
          </w:p>
        </w:tc>
        <w:tc>
          <w:tcPr>
            <w:tcW w:w="846"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Name:</w:t>
            </w:r>
          </w:p>
        </w:tc>
        <w:tc>
          <w:tcPr>
            <w:tcW w:w="84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48" w:type="dxa"/>
            <w:tcBorders/>
            <w:vAlign w:val="center"/>
          </w:tcPr>
          <w:p>
            <w:pPr>
              <w:pStyle w:val="TableContents"/>
              <w:bidi w:val="0"/>
              <w:spacing w:before="0" w:after="283"/>
              <w:jc w:val="left"/>
              <w:rPr/>
            </w:pPr>
            <w:r>
              <w:rPr/>
              <w:t>Title:</w:t>
            </w:r>
          </w:p>
        </w:tc>
        <w:tc>
          <w:tcPr>
            <w:tcW w:w="846"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74" w:type="dxa"/>
        <w:jc w:val="left"/>
        <w:tblInd w:w="0" w:type="dxa"/>
        <w:tblLayout w:type="fixed"/>
        <w:tblCellMar>
          <w:top w:w="0" w:type="dxa"/>
          <w:left w:w="0" w:type="dxa"/>
          <w:bottom w:w="0" w:type="dxa"/>
          <w:right w:w="0" w:type="dxa"/>
        </w:tblCellMar>
      </w:tblPr>
      <w:tblGrid>
        <w:gridCol w:w="1509"/>
        <w:gridCol w:w="2590"/>
        <w:gridCol w:w="75"/>
      </w:tblGrid>
      <w:tr>
        <w:trPr/>
        <w:tc>
          <w:tcPr>
            <w:tcW w:w="4099" w:type="dxa"/>
            <w:gridSpan w:val="2"/>
            <w:tcBorders/>
            <w:vAlign w:val="center"/>
          </w:tcPr>
          <w:p>
            <w:pPr>
              <w:pStyle w:val="TableContents"/>
              <w:bidi w:val="0"/>
              <w:spacing w:before="0" w:after="283"/>
              <w:jc w:val="left"/>
              <w:rPr/>
            </w:pPr>
            <w:r>
              <w:rPr/>
              <w:t>Agreed and Accepted By:</w:t>
            </w:r>
          </w:p>
        </w:tc>
        <w:tc>
          <w:tcPr>
            <w:tcW w:w="75" w:type="dxa"/>
            <w:tcBorders/>
            <w:vAlign w:val="center"/>
          </w:tcPr>
          <w:p>
            <w:pPr>
              <w:pStyle w:val="TableContents"/>
              <w:bidi w:val="0"/>
              <w:spacing w:before="0" w:after="283"/>
              <w:jc w:val="left"/>
              <w:rPr/>
            </w:pPr>
            <w:r>
              <w:rPr/>
              <w:t> </w:t>
            </w:r>
          </w:p>
        </w:tc>
      </w:tr>
      <w:tr>
        <w:trPr/>
        <w:tc>
          <w:tcPr>
            <w:tcW w:w="1509" w:type="dxa"/>
            <w:tcBorders/>
            <w:vAlign w:val="center"/>
          </w:tcPr>
          <w:p>
            <w:pPr>
              <w:pStyle w:val="TableContents"/>
              <w:bidi w:val="0"/>
              <w:spacing w:before="0" w:after="283"/>
              <w:jc w:val="left"/>
              <w:rPr/>
            </w:pPr>
            <w:r>
              <w:rPr/>
              <w:t> </w:t>
            </w:r>
          </w:p>
        </w:tc>
        <w:tc>
          <w:tcPr>
            <w:tcW w:w="25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099" w:type="dxa"/>
            <w:gridSpan w:val="2"/>
            <w:tcBorders/>
            <w:vAlign w:val="center"/>
          </w:tcPr>
          <w:p>
            <w:pPr>
              <w:pStyle w:val="TableContents"/>
              <w:bidi w:val="0"/>
              <w:spacing w:before="0" w:after="283"/>
              <w:jc w:val="left"/>
              <w:rPr>
                <w:b/>
              </w:rPr>
            </w:pPr>
            <w:r>
              <w:rPr>
                <w:b/>
              </w:rPr>
              <w:t>BITDEER TECHNOLOGIES GROUP</w:t>
            </w:r>
          </w:p>
        </w:tc>
        <w:tc>
          <w:tcPr>
            <w:tcW w:w="75" w:type="dxa"/>
            <w:tcBorders/>
            <w:vAlign w:val="center"/>
          </w:tcPr>
          <w:p>
            <w:pPr>
              <w:pStyle w:val="TableContents"/>
              <w:bidi w:val="0"/>
              <w:spacing w:before="0" w:after="283"/>
              <w:jc w:val="left"/>
              <w:rPr/>
            </w:pPr>
            <w:r>
              <w:rPr/>
              <w:t> </w:t>
            </w:r>
          </w:p>
        </w:tc>
      </w:tr>
      <w:tr>
        <w:trPr/>
        <w:tc>
          <w:tcPr>
            <w:tcW w:w="1509" w:type="dxa"/>
            <w:tcBorders/>
            <w:vAlign w:val="center"/>
          </w:tcPr>
          <w:p>
            <w:pPr>
              <w:pStyle w:val="TableContents"/>
              <w:bidi w:val="0"/>
              <w:spacing w:before="0" w:after="283"/>
              <w:jc w:val="left"/>
              <w:rPr/>
            </w:pPr>
            <w:r>
              <w:rPr/>
              <w:t> </w:t>
            </w:r>
          </w:p>
        </w:tc>
        <w:tc>
          <w:tcPr>
            <w:tcW w:w="25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09" w:type="dxa"/>
            <w:tcBorders/>
            <w:vAlign w:val="center"/>
          </w:tcPr>
          <w:p>
            <w:pPr>
              <w:pStyle w:val="TableContents"/>
              <w:bidi w:val="0"/>
              <w:spacing w:before="0" w:after="283"/>
              <w:jc w:val="left"/>
              <w:rPr/>
            </w:pPr>
            <w:r>
              <w:rPr/>
              <w:t>By</w:t>
            </w:r>
          </w:p>
        </w:tc>
        <w:tc>
          <w:tcPr>
            <w:tcW w:w="25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09" w:type="dxa"/>
            <w:tcBorders/>
            <w:vAlign w:val="center"/>
          </w:tcPr>
          <w:p>
            <w:pPr>
              <w:pStyle w:val="TableContents"/>
              <w:bidi w:val="0"/>
              <w:spacing w:before="0" w:after="283"/>
              <w:jc w:val="left"/>
              <w:rPr/>
            </w:pPr>
            <w:r>
              <w:rPr/>
              <w:t>Name:</w:t>
            </w:r>
          </w:p>
        </w:tc>
        <w:tc>
          <w:tcPr>
            <w:tcW w:w="25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09" w:type="dxa"/>
            <w:tcBorders/>
            <w:vAlign w:val="center"/>
          </w:tcPr>
          <w:p>
            <w:pPr>
              <w:pStyle w:val="TableContents"/>
              <w:bidi w:val="0"/>
              <w:spacing w:before="0" w:after="283"/>
              <w:jc w:val="left"/>
              <w:rPr/>
            </w:pPr>
            <w:r>
              <w:rPr/>
              <w:t>Title:</w:t>
            </w:r>
          </w:p>
        </w:tc>
        <w:tc>
          <w:tcPr>
            <w:tcW w:w="25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Guarantee]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Component of the Transaction, the Number of Options and Expiration Date is set forth below.</w:t>
      </w:r>
    </w:p>
    <w:p>
      <w:pPr>
        <w:pStyle w:val="TextBody"/>
        <w:bidi w:val="0"/>
        <w:spacing w:before="0" w:after="0"/>
        <w:ind w:left="0" w:right="0" w:hanging="0"/>
        <w:jc w:val="left"/>
        <w:rPr>
          <w:caps w:val="false"/>
          <w:smallCaps w:val="false"/>
        </w:rPr>
      </w:pPr>
      <w:r>
        <w:rPr>
          <w:caps w:val="false"/>
          <w:smallCaps w:val="false"/>
        </w:rPr>
        <w:t> </w:t>
      </w:r>
    </w:p>
    <w:tbl>
      <w:tblPr>
        <w:tblW w:w="5205" w:type="dxa"/>
        <w:jc w:val="left"/>
        <w:tblInd w:w="0" w:type="dxa"/>
        <w:tblLayout w:type="fixed"/>
        <w:tblCellMar>
          <w:top w:w="0" w:type="dxa"/>
          <w:left w:w="0" w:type="dxa"/>
          <w:bottom w:w="0" w:type="dxa"/>
          <w:right w:w="0" w:type="dxa"/>
        </w:tblCellMar>
      </w:tblPr>
      <w:tblGrid>
        <w:gridCol w:w="1685"/>
        <w:gridCol w:w="60"/>
        <w:gridCol w:w="1865"/>
        <w:gridCol w:w="60"/>
        <w:gridCol w:w="1535"/>
      </w:tblGrid>
      <w:tr>
        <w:trPr/>
        <w:tc>
          <w:tcPr>
            <w:tcW w:w="168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Component Number</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u w:val="single"/>
              </w:rPr>
            </w:pPr>
            <w:r>
              <w:rPr>
                <w:u w:val="single"/>
              </w:rPr>
              <w:t>Number of Options</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u w:val="single"/>
              </w:rPr>
            </w:pPr>
            <w:r>
              <w:rPr>
                <w:u w:val="single"/>
              </w:rPr>
              <w:t>Expiration Date</w:t>
            </w:r>
          </w:p>
        </w:tc>
      </w:tr>
      <w:tr>
        <w:trPr/>
        <w:tc>
          <w:tcPr>
            <w:tcW w:w="168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 </w:t>
            </w:r>
          </w:p>
        </w:tc>
      </w:tr>
      <w:tr>
        <w:trPr/>
        <w:tc>
          <w:tcPr>
            <w:tcW w:w="1685" w:type="dxa"/>
            <w:tcBorders/>
            <w:vAlign w:val="center"/>
          </w:tcPr>
          <w:p>
            <w:pPr>
              <w:pStyle w:val="TableContents"/>
              <w:bidi w:val="0"/>
              <w:spacing w:before="0" w:after="283"/>
              <w:jc w:val="center"/>
              <w:rPr/>
            </w:pPr>
            <w:r>
              <w:rPr/>
              <w:t>2</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 </w:t>
            </w:r>
          </w:p>
        </w:tc>
      </w:tr>
      <w:tr>
        <w:trPr/>
        <w:tc>
          <w:tcPr>
            <w:tcW w:w="1685" w:type="dxa"/>
            <w:tcBorders/>
            <w:vAlign w:val="center"/>
          </w:tcPr>
          <w:p>
            <w:pPr>
              <w:pStyle w:val="TableContents"/>
              <w:bidi w:val="0"/>
              <w:spacing w:before="0" w:after="283"/>
              <w:jc w:val="center"/>
              <w:rPr/>
            </w:pPr>
            <w:r>
              <w:rPr/>
              <w:t>3</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 </w:t>
            </w:r>
          </w:p>
        </w:tc>
      </w:tr>
      <w:tr>
        <w:trPr/>
        <w:tc>
          <w:tcPr>
            <w:tcW w:w="1685" w:type="dxa"/>
            <w:tcBorders/>
            <w:vAlign w:val="center"/>
          </w:tcPr>
          <w:p>
            <w:pPr>
              <w:pStyle w:val="TableContents"/>
              <w:bidi w:val="0"/>
              <w:spacing w:before="0" w:after="283"/>
              <w:jc w:val="center"/>
              <w:rPr/>
            </w:pPr>
            <w:r>
              <w:rPr/>
              <w:t>4</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 </w:t>
            </w:r>
          </w:p>
        </w:tc>
      </w:tr>
      <w:tr>
        <w:trPr/>
        <w:tc>
          <w:tcPr>
            <w:tcW w:w="1685" w:type="dxa"/>
            <w:tcBorders/>
            <w:vAlign w:val="center"/>
          </w:tcPr>
          <w:p>
            <w:pPr>
              <w:pStyle w:val="TableContents"/>
              <w:bidi w:val="0"/>
              <w:spacing w:before="0" w:after="283"/>
              <w:jc w:val="center"/>
              <w:rPr/>
            </w:pPr>
            <w:r>
              <w:rPr/>
              <w:t>5</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 </w:t>
            </w:r>
          </w:p>
        </w:tc>
      </w:tr>
      <w:tr>
        <w:trPr/>
        <w:tc>
          <w:tcPr>
            <w:tcW w:w="1685" w:type="dxa"/>
            <w:tcBorders/>
            <w:vAlign w:val="center"/>
          </w:tcPr>
          <w:p>
            <w:pPr>
              <w:pStyle w:val="TableContents"/>
              <w:bidi w:val="0"/>
              <w:spacing w:before="0" w:after="283"/>
              <w:jc w:val="center"/>
              <w:rPr/>
            </w:pPr>
            <w:r>
              <w:rPr/>
              <w:t>6</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 </w:t>
            </w:r>
          </w:p>
        </w:tc>
      </w:tr>
      <w:tr>
        <w:trPr/>
        <w:tc>
          <w:tcPr>
            <w:tcW w:w="1685" w:type="dxa"/>
            <w:tcBorders/>
            <w:vAlign w:val="center"/>
          </w:tcPr>
          <w:p>
            <w:pPr>
              <w:pStyle w:val="TableContents"/>
              <w:bidi w:val="0"/>
              <w:spacing w:before="0" w:after="283"/>
              <w:jc w:val="center"/>
              <w:rPr/>
            </w:pPr>
            <w:r>
              <w:rPr/>
              <w:t>7</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 </w:t>
            </w:r>
          </w:p>
        </w:tc>
      </w:tr>
      <w:tr>
        <w:trPr/>
        <w:tc>
          <w:tcPr>
            <w:tcW w:w="1685" w:type="dxa"/>
            <w:tcBorders/>
            <w:vAlign w:val="center"/>
          </w:tcPr>
          <w:p>
            <w:pPr>
              <w:pStyle w:val="TableContents"/>
              <w:bidi w:val="0"/>
              <w:spacing w:before="0" w:after="283"/>
              <w:jc w:val="center"/>
              <w:rPr/>
            </w:pPr>
            <w:r>
              <w:rPr/>
              <w:t>8</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 </w:t>
            </w:r>
          </w:p>
        </w:tc>
      </w:tr>
      <w:tr>
        <w:trPr/>
        <w:tc>
          <w:tcPr>
            <w:tcW w:w="1685" w:type="dxa"/>
            <w:tcBorders/>
            <w:vAlign w:val="center"/>
          </w:tcPr>
          <w:p>
            <w:pPr>
              <w:pStyle w:val="TableContents"/>
              <w:bidi w:val="0"/>
              <w:spacing w:before="0" w:after="283"/>
              <w:jc w:val="center"/>
              <w:rPr/>
            </w:pPr>
            <w:r>
              <w:rPr/>
              <w:t>9</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 </w:t>
            </w:r>
          </w:p>
        </w:tc>
      </w:tr>
      <w:tr>
        <w:trPr/>
        <w:tc>
          <w:tcPr>
            <w:tcW w:w="1685" w:type="dxa"/>
            <w:tcBorders/>
            <w:vAlign w:val="center"/>
          </w:tcPr>
          <w:p>
            <w:pPr>
              <w:pStyle w:val="TableContents"/>
              <w:bidi w:val="0"/>
              <w:spacing w:before="0" w:after="283"/>
              <w:jc w:val="center"/>
              <w:rPr/>
            </w:pPr>
            <w:r>
              <w:rPr/>
              <w:t>10</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 </w:t>
            </w:r>
          </w:p>
        </w:tc>
      </w:tr>
      <w:tr>
        <w:trPr/>
        <w:tc>
          <w:tcPr>
            <w:tcW w:w="1685" w:type="dxa"/>
            <w:tcBorders/>
            <w:vAlign w:val="center"/>
          </w:tcPr>
          <w:p>
            <w:pPr>
              <w:pStyle w:val="TableContents"/>
              <w:bidi w:val="0"/>
              <w:spacing w:before="0" w:after="283"/>
              <w:jc w:val="center"/>
              <w:rPr/>
            </w:pPr>
            <w:r>
              <w:rPr/>
              <w:t>11</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 </w:t>
            </w:r>
          </w:p>
        </w:tc>
      </w:tr>
      <w:tr>
        <w:trPr/>
        <w:tc>
          <w:tcPr>
            <w:tcW w:w="1685" w:type="dxa"/>
            <w:tcBorders/>
            <w:vAlign w:val="center"/>
          </w:tcPr>
          <w:p>
            <w:pPr>
              <w:pStyle w:val="TableContents"/>
              <w:bidi w:val="0"/>
              <w:spacing w:before="0" w:after="283"/>
              <w:jc w:val="center"/>
              <w:rPr/>
            </w:pPr>
            <w:r>
              <w:rPr/>
              <w:t>12</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 </w:t>
            </w:r>
          </w:p>
        </w:tc>
      </w:tr>
      <w:tr>
        <w:trPr/>
        <w:tc>
          <w:tcPr>
            <w:tcW w:w="1685" w:type="dxa"/>
            <w:tcBorders/>
            <w:vAlign w:val="center"/>
          </w:tcPr>
          <w:p>
            <w:pPr>
              <w:pStyle w:val="TableContents"/>
              <w:bidi w:val="0"/>
              <w:spacing w:before="0" w:after="283"/>
              <w:jc w:val="center"/>
              <w:rPr/>
            </w:pPr>
            <w:r>
              <w:rPr/>
              <w:t>13</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 </w:t>
            </w:r>
          </w:p>
        </w:tc>
      </w:tr>
      <w:tr>
        <w:trPr/>
        <w:tc>
          <w:tcPr>
            <w:tcW w:w="1685" w:type="dxa"/>
            <w:tcBorders/>
            <w:vAlign w:val="center"/>
          </w:tcPr>
          <w:p>
            <w:pPr>
              <w:pStyle w:val="TableContents"/>
              <w:bidi w:val="0"/>
              <w:spacing w:before="0" w:after="283"/>
              <w:jc w:val="center"/>
              <w:rPr/>
            </w:pPr>
            <w:r>
              <w:rPr/>
              <w:t>14</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 </w:t>
            </w:r>
          </w:p>
        </w:tc>
      </w:tr>
      <w:tr>
        <w:trPr/>
        <w:tc>
          <w:tcPr>
            <w:tcW w:w="1685" w:type="dxa"/>
            <w:tcBorders/>
            <w:vAlign w:val="center"/>
          </w:tcPr>
          <w:p>
            <w:pPr>
              <w:pStyle w:val="TableContents"/>
              <w:bidi w:val="0"/>
              <w:spacing w:before="0" w:after="283"/>
              <w:jc w:val="center"/>
              <w:rPr/>
            </w:pPr>
            <w:r>
              <w:rPr/>
              <w:t>15</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 </w:t>
            </w:r>
          </w:p>
        </w:tc>
      </w:tr>
      <w:tr>
        <w:trPr/>
        <w:tc>
          <w:tcPr>
            <w:tcW w:w="1685" w:type="dxa"/>
            <w:tcBorders/>
            <w:vAlign w:val="center"/>
          </w:tcPr>
          <w:p>
            <w:pPr>
              <w:pStyle w:val="TableContents"/>
              <w:bidi w:val="0"/>
              <w:spacing w:before="0" w:after="283"/>
              <w:jc w:val="center"/>
              <w:rPr/>
            </w:pPr>
            <w:r>
              <w:rPr/>
              <w:t>16</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 </w:t>
            </w:r>
          </w:p>
        </w:tc>
      </w:tr>
      <w:tr>
        <w:trPr/>
        <w:tc>
          <w:tcPr>
            <w:tcW w:w="1685" w:type="dxa"/>
            <w:tcBorders/>
            <w:vAlign w:val="center"/>
          </w:tcPr>
          <w:p>
            <w:pPr>
              <w:pStyle w:val="TableContents"/>
              <w:bidi w:val="0"/>
              <w:spacing w:before="0" w:after="283"/>
              <w:jc w:val="center"/>
              <w:rPr/>
            </w:pPr>
            <w:r>
              <w:rPr/>
              <w:t>17</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 </w:t>
            </w:r>
          </w:p>
        </w:tc>
      </w:tr>
      <w:tr>
        <w:trPr/>
        <w:tc>
          <w:tcPr>
            <w:tcW w:w="1685" w:type="dxa"/>
            <w:tcBorders/>
            <w:vAlign w:val="center"/>
          </w:tcPr>
          <w:p>
            <w:pPr>
              <w:pStyle w:val="TableContents"/>
              <w:bidi w:val="0"/>
              <w:spacing w:before="0" w:after="283"/>
              <w:jc w:val="center"/>
              <w:rPr/>
            </w:pPr>
            <w:r>
              <w:rPr/>
              <w:t>18</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 </w:t>
            </w:r>
          </w:p>
        </w:tc>
      </w:tr>
      <w:tr>
        <w:trPr/>
        <w:tc>
          <w:tcPr>
            <w:tcW w:w="1685" w:type="dxa"/>
            <w:tcBorders/>
            <w:vAlign w:val="center"/>
          </w:tcPr>
          <w:p>
            <w:pPr>
              <w:pStyle w:val="TableContents"/>
              <w:bidi w:val="0"/>
              <w:spacing w:before="0" w:after="283"/>
              <w:jc w:val="center"/>
              <w:rPr/>
            </w:pPr>
            <w:r>
              <w:rPr/>
              <w:t>19</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 </w:t>
            </w:r>
          </w:p>
        </w:tc>
      </w:tr>
      <w:tr>
        <w:trPr/>
        <w:tc>
          <w:tcPr>
            <w:tcW w:w="1685" w:type="dxa"/>
            <w:tcBorders/>
            <w:vAlign w:val="center"/>
          </w:tcPr>
          <w:p>
            <w:pPr>
              <w:pStyle w:val="TableContents"/>
              <w:bidi w:val="0"/>
              <w:spacing w:before="0" w:after="283"/>
              <w:jc w:val="center"/>
              <w:rPr/>
            </w:pPr>
            <w:r>
              <w:rPr/>
              <w:t>20</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 </w:t>
            </w:r>
          </w:p>
        </w:tc>
      </w:tr>
      <w:tr>
        <w:trPr/>
        <w:tc>
          <w:tcPr>
            <w:tcW w:w="1685" w:type="dxa"/>
            <w:tcBorders/>
            <w:vAlign w:val="center"/>
          </w:tcPr>
          <w:p>
            <w:pPr>
              <w:pStyle w:val="TableContents"/>
              <w:bidi w:val="0"/>
              <w:spacing w:before="0" w:after="283"/>
              <w:jc w:val="center"/>
              <w:rPr/>
            </w:pPr>
            <w:r>
              <w:rPr/>
              <w:t>21</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 </w:t>
            </w:r>
          </w:p>
        </w:tc>
      </w:tr>
      <w:tr>
        <w:trPr/>
        <w:tc>
          <w:tcPr>
            <w:tcW w:w="1685" w:type="dxa"/>
            <w:tcBorders/>
            <w:vAlign w:val="center"/>
          </w:tcPr>
          <w:p>
            <w:pPr>
              <w:pStyle w:val="TableContents"/>
              <w:bidi w:val="0"/>
              <w:spacing w:before="0" w:after="283"/>
              <w:jc w:val="center"/>
              <w:rPr/>
            </w:pPr>
            <w:r>
              <w:rPr/>
              <w:t>22</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 </w:t>
            </w:r>
          </w:p>
        </w:tc>
      </w:tr>
      <w:tr>
        <w:trPr/>
        <w:tc>
          <w:tcPr>
            <w:tcW w:w="1685" w:type="dxa"/>
            <w:tcBorders/>
            <w:vAlign w:val="center"/>
          </w:tcPr>
          <w:p>
            <w:pPr>
              <w:pStyle w:val="TableContents"/>
              <w:bidi w:val="0"/>
              <w:spacing w:before="0" w:after="283"/>
              <w:jc w:val="center"/>
              <w:rPr/>
            </w:pPr>
            <w:r>
              <w:rPr/>
              <w:t>23</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 </w:t>
            </w:r>
          </w:p>
        </w:tc>
      </w:tr>
      <w:tr>
        <w:trPr/>
        <w:tc>
          <w:tcPr>
            <w:tcW w:w="1685" w:type="dxa"/>
            <w:tcBorders/>
            <w:vAlign w:val="center"/>
          </w:tcPr>
          <w:p>
            <w:pPr>
              <w:pStyle w:val="TableContents"/>
              <w:bidi w:val="0"/>
              <w:spacing w:before="0" w:after="283"/>
              <w:jc w:val="center"/>
              <w:rPr/>
            </w:pPr>
            <w:r>
              <w:rPr/>
              <w:t>24</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 </w:t>
            </w:r>
          </w:p>
        </w:tc>
      </w:tr>
      <w:tr>
        <w:trPr/>
        <w:tc>
          <w:tcPr>
            <w:tcW w:w="1685" w:type="dxa"/>
            <w:tcBorders/>
            <w:vAlign w:val="center"/>
          </w:tcPr>
          <w:p>
            <w:pPr>
              <w:pStyle w:val="TableContents"/>
              <w:bidi w:val="0"/>
              <w:spacing w:before="0" w:after="283"/>
              <w:jc w:val="center"/>
              <w:rPr/>
            </w:pPr>
            <w:r>
              <w:rPr/>
              <w:t>25</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 </w:t>
            </w:r>
          </w:p>
        </w:tc>
      </w:tr>
      <w:tr>
        <w:trPr/>
        <w:tc>
          <w:tcPr>
            <w:tcW w:w="1685" w:type="dxa"/>
            <w:tcBorders/>
            <w:vAlign w:val="center"/>
          </w:tcPr>
          <w:p>
            <w:pPr>
              <w:pStyle w:val="TableContents"/>
              <w:bidi w:val="0"/>
              <w:spacing w:before="0" w:after="283"/>
              <w:jc w:val="center"/>
              <w:rPr/>
            </w:pPr>
            <w:r>
              <w:rPr/>
              <w:t>26</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 </w:t>
            </w:r>
          </w:p>
        </w:tc>
      </w:tr>
      <w:tr>
        <w:trPr/>
        <w:tc>
          <w:tcPr>
            <w:tcW w:w="1685" w:type="dxa"/>
            <w:tcBorders/>
            <w:vAlign w:val="center"/>
          </w:tcPr>
          <w:p>
            <w:pPr>
              <w:pStyle w:val="TableContents"/>
              <w:bidi w:val="0"/>
              <w:spacing w:before="0" w:after="283"/>
              <w:jc w:val="center"/>
              <w:rPr/>
            </w:pPr>
            <w:r>
              <w:rPr/>
              <w:t>27</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 </w:t>
            </w:r>
          </w:p>
        </w:tc>
      </w:tr>
      <w:tr>
        <w:trPr/>
        <w:tc>
          <w:tcPr>
            <w:tcW w:w="1685" w:type="dxa"/>
            <w:tcBorders/>
            <w:vAlign w:val="center"/>
          </w:tcPr>
          <w:p>
            <w:pPr>
              <w:pStyle w:val="TableContents"/>
              <w:bidi w:val="0"/>
              <w:spacing w:before="0" w:after="283"/>
              <w:jc w:val="center"/>
              <w:rPr/>
            </w:pPr>
            <w:r>
              <w:rPr/>
              <w:t>28</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 </w:t>
            </w:r>
          </w:p>
        </w:tc>
      </w:tr>
      <w:tr>
        <w:trPr/>
        <w:tc>
          <w:tcPr>
            <w:tcW w:w="1685" w:type="dxa"/>
            <w:tcBorders/>
            <w:vAlign w:val="center"/>
          </w:tcPr>
          <w:p>
            <w:pPr>
              <w:pStyle w:val="TableContents"/>
              <w:bidi w:val="0"/>
              <w:spacing w:before="0" w:after="283"/>
              <w:jc w:val="center"/>
              <w:rPr/>
            </w:pPr>
            <w:r>
              <w:rPr/>
              <w:t>29</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 </w:t>
            </w:r>
          </w:p>
        </w:tc>
      </w:tr>
      <w:tr>
        <w:trPr/>
        <w:tc>
          <w:tcPr>
            <w:tcW w:w="1685" w:type="dxa"/>
            <w:tcBorders/>
            <w:vAlign w:val="center"/>
          </w:tcPr>
          <w:p>
            <w:pPr>
              <w:pStyle w:val="TableContents"/>
              <w:bidi w:val="0"/>
              <w:spacing w:before="0" w:after="283"/>
              <w:jc w:val="center"/>
              <w:rPr/>
            </w:pPr>
            <w:r>
              <w:rPr/>
              <w:t>30</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 </w:t>
            </w:r>
          </w:p>
        </w:tc>
      </w:tr>
      <w:tr>
        <w:trPr/>
        <w:tc>
          <w:tcPr>
            <w:tcW w:w="1685" w:type="dxa"/>
            <w:tcBorders/>
            <w:vAlign w:val="center"/>
          </w:tcPr>
          <w:p>
            <w:pPr>
              <w:pStyle w:val="TableContents"/>
              <w:bidi w:val="0"/>
              <w:spacing w:before="0" w:after="283"/>
              <w:jc w:val="center"/>
              <w:rPr/>
            </w:pPr>
            <w:r>
              <w:rPr/>
              <w:t>31</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 </w:t>
            </w:r>
          </w:p>
        </w:tc>
      </w:tr>
      <w:tr>
        <w:trPr/>
        <w:tc>
          <w:tcPr>
            <w:tcW w:w="1685" w:type="dxa"/>
            <w:tcBorders/>
            <w:vAlign w:val="center"/>
          </w:tcPr>
          <w:p>
            <w:pPr>
              <w:pStyle w:val="TableContents"/>
              <w:bidi w:val="0"/>
              <w:spacing w:before="0" w:after="283"/>
              <w:jc w:val="center"/>
              <w:rPr/>
            </w:pPr>
            <w:r>
              <w:rPr/>
              <w:t>32</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 </w:t>
            </w:r>
          </w:p>
        </w:tc>
      </w:tr>
      <w:tr>
        <w:trPr/>
        <w:tc>
          <w:tcPr>
            <w:tcW w:w="1685" w:type="dxa"/>
            <w:tcBorders/>
            <w:vAlign w:val="center"/>
          </w:tcPr>
          <w:p>
            <w:pPr>
              <w:pStyle w:val="TableContents"/>
              <w:bidi w:val="0"/>
              <w:spacing w:before="0" w:after="283"/>
              <w:jc w:val="center"/>
              <w:rPr/>
            </w:pPr>
            <w:r>
              <w:rPr/>
              <w:t>33</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 </w:t>
            </w:r>
          </w:p>
        </w:tc>
      </w:tr>
      <w:tr>
        <w:trPr/>
        <w:tc>
          <w:tcPr>
            <w:tcW w:w="1685" w:type="dxa"/>
            <w:tcBorders/>
            <w:vAlign w:val="center"/>
          </w:tcPr>
          <w:p>
            <w:pPr>
              <w:pStyle w:val="TableContents"/>
              <w:bidi w:val="0"/>
              <w:spacing w:before="0" w:after="283"/>
              <w:jc w:val="center"/>
              <w:rPr/>
            </w:pPr>
            <w:r>
              <w:rPr/>
              <w:t>34</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 </w:t>
            </w:r>
          </w:p>
        </w:tc>
      </w:tr>
      <w:tr>
        <w:trPr/>
        <w:tc>
          <w:tcPr>
            <w:tcW w:w="1685" w:type="dxa"/>
            <w:tcBorders/>
            <w:vAlign w:val="center"/>
          </w:tcPr>
          <w:p>
            <w:pPr>
              <w:pStyle w:val="TableContents"/>
              <w:bidi w:val="0"/>
              <w:spacing w:before="0" w:after="283"/>
              <w:jc w:val="center"/>
              <w:rPr/>
            </w:pPr>
            <w:r>
              <w:rPr/>
              <w:t>35</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 </w:t>
            </w:r>
          </w:p>
        </w:tc>
      </w:tr>
      <w:tr>
        <w:trPr/>
        <w:tc>
          <w:tcPr>
            <w:tcW w:w="1685" w:type="dxa"/>
            <w:tcBorders/>
            <w:vAlign w:val="center"/>
          </w:tcPr>
          <w:p>
            <w:pPr>
              <w:pStyle w:val="TableContents"/>
              <w:bidi w:val="0"/>
              <w:spacing w:before="0" w:after="283"/>
              <w:jc w:val="center"/>
              <w:rPr/>
            </w:pPr>
            <w:r>
              <w:rPr/>
              <w:t>36</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 </w:t>
            </w:r>
          </w:p>
        </w:tc>
      </w:tr>
      <w:tr>
        <w:trPr/>
        <w:tc>
          <w:tcPr>
            <w:tcW w:w="1685" w:type="dxa"/>
            <w:tcBorders/>
            <w:vAlign w:val="center"/>
          </w:tcPr>
          <w:p>
            <w:pPr>
              <w:pStyle w:val="TableContents"/>
              <w:bidi w:val="0"/>
              <w:spacing w:before="0" w:after="283"/>
              <w:jc w:val="center"/>
              <w:rPr/>
            </w:pPr>
            <w:r>
              <w:rPr/>
              <w:t>37</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 </w:t>
            </w:r>
          </w:p>
        </w:tc>
      </w:tr>
      <w:tr>
        <w:trPr/>
        <w:tc>
          <w:tcPr>
            <w:tcW w:w="1685" w:type="dxa"/>
            <w:tcBorders/>
            <w:vAlign w:val="center"/>
          </w:tcPr>
          <w:p>
            <w:pPr>
              <w:pStyle w:val="TableContents"/>
              <w:bidi w:val="0"/>
              <w:spacing w:before="0" w:after="283"/>
              <w:jc w:val="center"/>
              <w:rPr/>
            </w:pPr>
            <w:r>
              <w:rPr/>
              <w:t>38</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 </w:t>
            </w:r>
          </w:p>
        </w:tc>
      </w:tr>
      <w:tr>
        <w:trPr/>
        <w:tc>
          <w:tcPr>
            <w:tcW w:w="1685" w:type="dxa"/>
            <w:tcBorders/>
            <w:vAlign w:val="center"/>
          </w:tcPr>
          <w:p>
            <w:pPr>
              <w:pStyle w:val="TableContents"/>
              <w:bidi w:val="0"/>
              <w:spacing w:before="0" w:after="283"/>
              <w:jc w:val="center"/>
              <w:rPr/>
            </w:pPr>
            <w:r>
              <w:rPr/>
              <w:t>39</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 </w:t>
            </w:r>
          </w:p>
        </w:tc>
      </w:tr>
      <w:tr>
        <w:trPr/>
        <w:tc>
          <w:tcPr>
            <w:tcW w:w="1685" w:type="dxa"/>
            <w:tcBorders/>
            <w:vAlign w:val="center"/>
          </w:tcPr>
          <w:p>
            <w:pPr>
              <w:pStyle w:val="TableContents"/>
              <w:bidi w:val="0"/>
              <w:spacing w:before="0" w:after="283"/>
              <w:jc w:val="center"/>
              <w:rPr/>
            </w:pPr>
            <w:r>
              <w:rPr/>
              <w:t>40</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99123/000114036124021346/ny20023745x7_posam.htm" TargetMode="External"/><Relationship Id="rId3" Type="http://schemas.openxmlformats.org/officeDocument/2006/relationships/hyperlink" Target="http://www.sec.gov/Archives/edgar/data/1899123/000114036124013887/ny20023745x1_f3.htm" TargetMode="External"/><Relationship Id="rId4" Type="http://schemas.openxmlformats.org/officeDocument/2006/relationships/hyperlink" Target="http://www.sec.gov/Archives/edgar/data/1899123/000114036124013888/ny20023745x3_f3.htm" TargetMode="External"/><Relationship Id="rId5" Type="http://schemas.openxmlformats.org/officeDocument/2006/relationships/hyperlink" Target="http://www.sec.gov/Archives/edgar/data/1899123/000114036124029276/ny20030771x1_f3.htm" TargetMode="External"/><Relationship Id="rId6" Type="http://schemas.openxmlformats.org/officeDocument/2006/relationships/hyperlink" Target="http://www.sec.gov/Archives/edgar/data/1899123/000114036124049031/ny20039746x1_f3.htm" TargetMode="External"/><Relationship Id="rId7" Type="http://schemas.openxmlformats.org/officeDocument/2006/relationships/hyperlink" Target="http://www.sec.gov/Archives/edgar/data/1899123/000121390025080525/ea0254524-f3_bitdeer.htm" TargetMode="External"/><Relationship Id="rId8" Type="http://schemas.openxmlformats.org/officeDocument/2006/relationships/hyperlink" Target="http://www.sec.gov/Archives/edgar/data/1899123/000114036123031108/brhc20054618_s8.htm" TargetMode="External"/><Relationship Id="rId9" Type="http://schemas.openxmlformats.org/officeDocument/2006/relationships/hyperlink" Target="http://www.sec.gov/Archives/edgar/data/1899123/000114036123051570/ef20013751_s8.htm" TargetMode="External"/><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image" Target="media/image3.jpeg"/><Relationship Id="rId13" Type="http://schemas.openxmlformats.org/officeDocument/2006/relationships/image" Target="media/image4.jpeg"/><Relationship Id="rId14" Type="http://schemas.openxmlformats.org/officeDocument/2006/relationships/image" Target="media/image5.jpeg"/><Relationship Id="rId15" Type="http://schemas.openxmlformats.org/officeDocument/2006/relationships/image" Target="media/image6.jpeg"/><Relationship Id="rId16" Type="http://schemas.openxmlformats.org/officeDocument/2006/relationships/image" Target="media/image7.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105189</Words>
  <Characters>543569</Characters>
  <CharactersWithSpaces>649277</CharactersWithSpaces>
  <Paragraphs>5548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