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is hereby incorporated by reference in the registration statements of Bitdeer Technologies Group on Form F-3 (No. </w:t>
      </w:r>
      <w:hyperlink r:id="rId18">
        <w:r>
          <w:rPr>
            <w:rFonts w:ascii="Times New Roman" w:cs="Times New Roman" w:eastAsia="Times New Roman" w:hAnsi="Times New Roman"/>
            <w:sz w:val="18"/>
            <w:szCs w:val="18"/>
            <w:u w:val="single" w:color="auto"/>
            <w:color w:val="0000EE"/>
          </w:rPr>
          <w:t>333-273905</w:t>
        </w:r>
      </w:hyperlink>
      <w:r>
        <w:rPr>
          <w:rFonts w:ascii="Times New Roman" w:cs="Times New Roman" w:eastAsia="Times New Roman" w:hAnsi="Times New Roman"/>
          <w:sz w:val="18"/>
          <w:szCs w:val="18"/>
          <w:color w:val="auto"/>
        </w:rPr>
        <w:t xml:space="preserve">, No. </w:t>
      </w:r>
      <w:hyperlink r:id="rId19">
        <w:r>
          <w:rPr>
            <w:rFonts w:ascii="Times New Roman" w:cs="Times New Roman" w:eastAsia="Times New Roman" w:hAnsi="Times New Roman"/>
            <w:sz w:val="18"/>
            <w:szCs w:val="18"/>
            <w:u w:val="single" w:color="auto"/>
            <w:color w:val="0000EE"/>
          </w:rPr>
          <w:t>333-278027</w:t>
        </w:r>
      </w:hyperlink>
      <w:r>
        <w:rPr>
          <w:rFonts w:ascii="Times New Roman" w:cs="Times New Roman" w:eastAsia="Times New Roman" w:hAnsi="Times New Roman"/>
          <w:sz w:val="18"/>
          <w:szCs w:val="18"/>
          <w:color w:val="auto"/>
        </w:rPr>
        <w:t xml:space="preserve">, No. </w:t>
      </w:r>
      <w:hyperlink r:id="rId20">
        <w:r>
          <w:rPr>
            <w:rFonts w:ascii="Times New Roman" w:cs="Times New Roman" w:eastAsia="Times New Roman" w:hAnsi="Times New Roman"/>
            <w:sz w:val="18"/>
            <w:szCs w:val="18"/>
            <w:u w:val="single" w:color="auto"/>
            <w:color w:val="0000EE"/>
          </w:rPr>
          <w:t>333-278029</w:t>
        </w:r>
      </w:hyperlink>
      <w:r>
        <w:rPr>
          <w:rFonts w:ascii="Times New Roman" w:cs="Times New Roman" w:eastAsia="Times New Roman" w:hAnsi="Times New Roman"/>
          <w:sz w:val="18"/>
          <w:szCs w:val="18"/>
          <w:color w:val="auto"/>
        </w:rPr>
        <w:t xml:space="preserve">, No. </w:t>
      </w:r>
      <w:hyperlink r:id="rId21">
        <w:r>
          <w:rPr>
            <w:rFonts w:ascii="Times New Roman" w:cs="Times New Roman" w:eastAsia="Times New Roman" w:hAnsi="Times New Roman"/>
            <w:sz w:val="18"/>
            <w:szCs w:val="18"/>
            <w:u w:val="single" w:color="auto"/>
            <w:color w:val="0000EE"/>
          </w:rPr>
          <w:t>333-280041</w:t>
        </w:r>
      </w:hyperlink>
      <w:r>
        <w:rPr>
          <w:rFonts w:ascii="Times New Roman" w:cs="Times New Roman" w:eastAsia="Times New Roman" w:hAnsi="Times New Roman"/>
          <w:sz w:val="18"/>
          <w:szCs w:val="18"/>
          <w:color w:val="auto"/>
        </w:rPr>
        <w:t xml:space="preserve">, No. </w:t>
      </w:r>
      <w:hyperlink r:id="rId22">
        <w:r>
          <w:rPr>
            <w:rFonts w:ascii="Times New Roman" w:cs="Times New Roman" w:eastAsia="Times New Roman" w:hAnsi="Times New Roman"/>
            <w:sz w:val="18"/>
            <w:szCs w:val="18"/>
            <w:u w:val="single" w:color="auto"/>
            <w:color w:val="0000EE"/>
          </w:rPr>
          <w:t>333-283732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3">
        <w:r>
          <w:rPr>
            <w:rFonts w:ascii="Times New Roman" w:cs="Times New Roman" w:eastAsia="Times New Roman" w:hAnsi="Times New Roman"/>
            <w:sz w:val="18"/>
            <w:szCs w:val="18"/>
            <w:u w:val="single" w:color="auto"/>
            <w:color w:val="0000EE"/>
          </w:rPr>
          <w:t>333-289855</w:t>
        </w:r>
      </w:hyperlink>
      <w:r>
        <w:rPr>
          <w:rFonts w:ascii="Times New Roman" w:cs="Times New Roman" w:eastAsia="Times New Roman" w:hAnsi="Times New Roman"/>
          <w:sz w:val="18"/>
          <w:szCs w:val="18"/>
          <w:color w:val="auto"/>
        </w:rPr>
        <w:t xml:space="preserve">) and Form S-8 (No. </w:t>
      </w:r>
      <w:hyperlink r:id="rId24">
        <w:r>
          <w:rPr>
            <w:rFonts w:ascii="Times New Roman" w:cs="Times New Roman" w:eastAsia="Times New Roman" w:hAnsi="Times New Roman"/>
            <w:sz w:val="18"/>
            <w:szCs w:val="18"/>
            <w:u w:val="single" w:color="auto"/>
            <w:color w:val="0000EE"/>
          </w:rPr>
          <w:t>333-272858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5">
        <w:r>
          <w:rPr>
            <w:rFonts w:ascii="Times New Roman" w:cs="Times New Roman" w:eastAsia="Times New Roman" w:hAnsi="Times New Roman"/>
            <w:sz w:val="18"/>
            <w:szCs w:val="18"/>
            <w:u w:val="single" w:color="auto"/>
            <w:color w:val="0000EE"/>
          </w:rPr>
          <w:t>333-275342</w:t>
        </w:r>
      </w:hyperlink>
      <w:r>
        <w:rPr>
          <w:rFonts w:ascii="Times New Roman" w:cs="Times New Roman" w:eastAsia="Times New Roman" w:hAnsi="Times New Roman"/>
          <w:sz w:val="18"/>
          <w:szCs w:val="18"/>
          <w:color w:val="auto"/>
        </w:rPr>
        <w:t>), to the extent not superseded by documents or reports subsequently filed or furnished.</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 Bitdeer Reports Unaudited Financial Results for the Third Quarter of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168275</wp:posOffset>
            </wp:positionV>
            <wp:extent cx="1654175" cy="334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65417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Bitdeer Reports Unaudited Financial Results for the Third Quarter of 2025</w:t>
      </w:r>
    </w:p>
    <w:p>
      <w:pPr>
        <w:spacing w:after="0" w:line="229" w:lineRule="exact"/>
        <w:rPr>
          <w:sz w:val="20"/>
          <w:szCs w:val="20"/>
          <w:color w:val="auto"/>
        </w:rPr>
      </w:pPr>
    </w:p>
    <w:p>
      <w:pPr>
        <w:ind w:left="4060" w:hanging="511"/>
        <w:spacing w:after="0"/>
        <w:tabs>
          <w:tab w:leader="none" w:pos="406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$169.7 million revenue, up 173.6% year-over-year</w:t>
      </w:r>
    </w:p>
    <w:p>
      <w:pPr>
        <w:spacing w:after="0" w:line="27" w:lineRule="exact"/>
        <w:rPr>
          <w:rFonts w:ascii="Times New Roman" w:cs="Times New Roman" w:eastAsia="Times New Roman" w:hAnsi="Times New Roman"/>
          <w:sz w:val="18"/>
          <w:szCs w:val="18"/>
          <w:color w:val="auto"/>
        </w:rPr>
      </w:pPr>
    </w:p>
    <w:p>
      <w:pPr>
        <w:ind w:left="3280" w:hanging="517"/>
        <w:spacing w:after="0"/>
        <w:tabs>
          <w:tab w:leader="none" w:pos="32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$43.0 million adjusted EBITDA, up from negative $7.9 million last year</w:t>
      </w:r>
    </w:p>
    <w:p>
      <w:pPr>
        <w:spacing w:after="0" w:line="9" w:lineRule="exact"/>
        <w:rPr>
          <w:rFonts w:ascii="Times New Roman" w:cs="Times New Roman" w:eastAsia="Times New Roman" w:hAnsi="Times New Roman"/>
          <w:sz w:val="18"/>
          <w:szCs w:val="18"/>
          <w:color w:val="auto"/>
        </w:rPr>
      </w:pPr>
    </w:p>
    <w:p>
      <w:pPr>
        <w:ind w:left="3500" w:hanging="502"/>
        <w:spacing w:after="0"/>
        <w:tabs>
          <w:tab w:leader="none" w:pos="35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accelerating AI strategy across multiple initiatives</w:t>
      </w:r>
    </w:p>
    <w:p>
      <w:pPr>
        <w:spacing w:after="0" w:line="9" w:lineRule="exact"/>
        <w:rPr>
          <w:rFonts w:ascii="Times New Roman" w:cs="Times New Roman" w:eastAsia="Times New Roman" w:hAnsi="Times New Roman"/>
          <w:sz w:val="18"/>
          <w:szCs w:val="18"/>
          <w:color w:val="auto"/>
        </w:rPr>
      </w:pPr>
    </w:p>
    <w:p>
      <w:pPr>
        <w:ind w:left="3600" w:hanging="491"/>
        <w:spacing w:after="0"/>
        <w:tabs>
          <w:tab w:leader="none" w:pos="360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41.2 EH/s of self-mining at the end of October, 2025</w:t>
      </w:r>
    </w:p>
    <w:p>
      <w:pPr>
        <w:spacing w:after="0" w:line="9" w:lineRule="exact"/>
        <w:rPr>
          <w:rFonts w:ascii="Times New Roman" w:cs="Times New Roman" w:eastAsia="Times New Roman" w:hAnsi="Times New Roman"/>
          <w:sz w:val="18"/>
          <w:szCs w:val="18"/>
          <w:color w:val="auto"/>
        </w:rPr>
      </w:pPr>
    </w:p>
    <w:p>
      <w:pPr>
        <w:ind w:left="4140" w:hanging="510"/>
        <w:spacing w:after="0"/>
        <w:tabs>
          <w:tab w:leader="none" w:pos="4140" w:val="left"/>
        </w:tabs>
        <w:numPr>
          <w:ilvl w:val="5"/>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SEALMINER A3 mass production</w:t>
      </w:r>
    </w:p>
    <w:p>
      <w:pPr>
        <w:spacing w:after="0" w:line="9" w:lineRule="exact"/>
        <w:rPr>
          <w:rFonts w:ascii="Times New Roman" w:cs="Times New Roman" w:eastAsia="Times New Roman" w:hAnsi="Times New Roman"/>
          <w:sz w:val="18"/>
          <w:szCs w:val="18"/>
          <w:color w:val="auto"/>
        </w:rPr>
      </w:pPr>
    </w:p>
    <w:p>
      <w:pPr>
        <w:ind w:left="1140" w:hanging="506"/>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SEAL04 samples have demonstrated 6-7 J/TH power efficiency at the chip level under low-voltage, ultra-power saving mode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November 10, 2025 (GLOBE NEWSWIRE) -- </w:t>
      </w:r>
      <w:r>
        <w:rPr>
          <w:rFonts w:ascii="Times New Roman" w:cs="Times New Roman" w:eastAsia="Times New Roman" w:hAnsi="Times New Roman"/>
          <w:sz w:val="18"/>
          <w:szCs w:val="18"/>
          <w:color w:val="auto"/>
        </w:rPr>
        <w:t>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world-leading technology company for Bitcoin mining and AI cloud, today released its unaudited financial results for the third quarter ended September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2025 Financial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compared to Q3 2024 unless otherwise noted</w:t>
      </w:r>
    </w:p>
    <w:p>
      <w:pPr>
        <w:spacing w:after="0" w:line="22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US$169.7 million vs. US$62.0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US$128.9 million vs. US$59.3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US$40.8 million vs. US$2.8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US$266.7 million vs. US$50.1 million.</w:t>
      </w:r>
    </w:p>
    <w:p>
      <w:pPr>
        <w:spacing w:after="0" w:line="23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US$43.0 million vs. negative US$7.9</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w:t>
      </w:r>
    </w:p>
    <w:p>
      <w:pPr>
        <w:spacing w:after="0" w:line="97"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US$196.3 million as of September 30, 2025.</w:t>
      </w:r>
    </w:p>
    <w:p>
      <w:pPr>
        <w:spacing w:after="0" w:line="23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Crypto balance</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US$246.2 million as of September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“Q3 marked a quarter of strong execution and financial performance,” said Matt Kong, Chief Business Officer at Bitdeer. “Revenue reached $169.7 million, representing growth of 173.6% year-over-year and 9.1% sequentially. Gross profit rose to $40.8 million, while adjusted EBITDA increased to $43.0 million, reflecting operating leverage and efficiency gains driven by our self-mining expansion progress over the past year.”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Kong continued, “On the AI front, we have intensified our focus and investment to capture the surging global demand for compute. Leveraging our 3.0 GW power portfolio and deep expertise in developing and operating large-scale infrastructure, we are uniquely positioned to capitalize on this opportunity. The global shortage of AI infrastructure continues to deepen, and we expect this imbalance to persist through at least 2027. Under our most optimistic outlook, allocating 200 MW of power capacity to AI cloud services could generate an annualized revenue run-rate exceeding $2 billion by the end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both"/>
        <w:ind w:left="340" w:hanging="332"/>
        <w:spacing w:after="0" w:line="210"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is defined as earnings before interest, taxes, depreciation and amortization, further adjusted to exclude share-based payment expenses under IFRS 2, changes in fair value of derivative liabilities, changes in fair value of cryptocurrency-settled receivables and payables, changes in fair value of cryptocurrency receivables, and loss on extinguishment of convertible senior notes.</w:t>
      </w:r>
    </w:p>
    <w:p>
      <w:pPr>
        <w:spacing w:after="0" w:line="2" w:lineRule="exact"/>
        <w:rPr>
          <w:sz w:val="20"/>
          <w:szCs w:val="20"/>
          <w:color w:val="auto"/>
        </w:rPr>
      </w:pPr>
    </w:p>
    <w:p>
      <w:pPr>
        <w:jc w:val="both"/>
        <w:ind w:left="340" w:hanging="332"/>
        <w:spacing w:after="0" w:line="204"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Bitdeer revised definition of previously reported non-IFRS Adjusted Profit and Adjusted EBITDA and recast the prior period for comparability. This revision, which resulted in a US$0.7 million and US$0.6 million revision to Q3 2024 and first nine months of 2024 metrics, reflects non-cash fair value changes in cryptocurrency-settled receivables and payables as they do not represent normal operating expenses (or income) necessary to operate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business.</w:t>
      </w:r>
    </w:p>
    <w:p>
      <w:pPr>
        <w:ind w:left="340" w:hanging="332"/>
        <w:spacing w:after="0" w:line="180" w:lineRule="auto"/>
        <w:tabs>
          <w:tab w:leader="none" w:pos="3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Including cryptocurrencies and cryptocurrencies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Mr. Kong concluded, “In our ASIC business, as of the end of October, we achieved 41.2 EH/s, surpassing our 40 EH/s target that we set out at the beginning of the year. Mass production of the SEALMINER A3 series is underway, and early SEAL04 samples have demonstrated 6-7 J/TH power efficiency at the chip level under low-voltage, ultra-power saving mode. We are targeting mass production to begin in Q1 2026. Meanwhile, the development of our second-generation SEAL04 chip is significantly delayed.”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Summary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8560" w:type="dxa"/>
            <w:vAlign w:val="bottom"/>
            <w:tcBorders>
              <w:top w:val="single" w:sz="8" w:color="auto"/>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hash rate under management (EH/s)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Proprietary hash rate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Self-mining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Cloud Hash Rate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Hosting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Self-owned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Hosted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Bitcoin mined (self-mining only)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Bitcoins held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power usage (MWh)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1,656,000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828,000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cost of electricity ($/MWh)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miner efficiency (J/TH)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Power Infrastructure Summary (as of October 31, 2025)</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Timing</w:t>
            </w:r>
            <w:r>
              <w:rPr>
                <w:rFonts w:ascii="Times New Roman" w:cs="Times New Roman" w:eastAsia="Times New Roman" w:hAnsi="Times New Roman"/>
                <w:sz w:val="29"/>
                <w:szCs w:val="29"/>
                <w:b w:val="1"/>
                <w:bCs w:val="1"/>
                <w:color w:val="auto"/>
                <w:w w:val="94"/>
                <w:vertAlign w:val="superscript"/>
              </w:rPr>
              <w:t>4</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Site/Location</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(MW)</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Knoxville, Tennessee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Wenatchee, Washington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Molde, Norway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Tydal, Norway</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Gedu, Bhutan</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Oromia Region, Ethiopia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w:t>
            </w:r>
          </w:p>
        </w:tc>
        <w:tc>
          <w:tcPr>
            <w:tcW w:w="2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79"/>
              </w:rPr>
              <w:t>5</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Pipeline capacity</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 progress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Clarington, Ohio</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progress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 2027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Niles, Ohio</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 progress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 2029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 planning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Alberta, Canada</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 planning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 progress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2025</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2,992</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All timing references are to calendar quarters and years.</w:t>
      </w:r>
    </w:p>
    <w:p>
      <w:pPr>
        <w:ind w:left="340" w:hanging="332"/>
        <w:spacing w:after="0" w:line="180" w:lineRule="auto"/>
        <w:tabs>
          <w:tab w:leader="none" w:pos="3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Figures represent total available electrical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MD&amp;A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variances are current quarter compared to the same quarter last year. All figures in this section are rounded</w:t>
      </w:r>
      <w:r>
        <w:rPr>
          <w:rFonts w:ascii="Times New Roman" w:cs="Times New Roman" w:eastAsia="Times New Roman" w:hAnsi="Times New Roman"/>
          <w:sz w:val="29"/>
          <w:szCs w:val="29"/>
          <w:i w:val="1"/>
          <w:iCs w:val="1"/>
          <w:color w:val="auto"/>
          <w:vertAlign w:val="superscript"/>
        </w:rPr>
        <w:t>6</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2025 High-Level P&amp;L and Disaggregated Revenue Details: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0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 30,</w:t>
            </w:r>
          </w:p>
        </w:tc>
        <w:tc>
          <w:tcPr>
            <w:tcW w:w="124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 30,</w:t>
            </w: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Sep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1"/>
                <w:szCs w:val="21"/>
                <w:color w:val="auto"/>
              </w:rPr>
            </w:pPr>
          </w:p>
        </w:tc>
        <w:tc>
          <w:tcPr>
            <w:tcW w:w="12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(142.8)</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(266.7)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(147.7)</w:t>
            </w: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r>
      <w:tr>
        <w:trPr>
          <w:trHeight w:val="25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340" w:type="dxa"/>
            <w:vAlign w:val="bottom"/>
            <w:gridSpan w:val="4"/>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(7.9)</w:t>
            </w:r>
            <w:r>
              <w:rPr>
                <w:rFonts w:ascii="Times New Roman" w:cs="Times New Roman" w:eastAsia="Times New Roman" w:hAnsi="Times New Roman"/>
                <w:sz w:val="29"/>
                <w:szCs w:val="29"/>
                <w:color w:val="auto"/>
                <w:vertAlign w:val="superscript"/>
              </w:rPr>
              <w:t>2</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196.3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299.8</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20"/>
                <w:szCs w:val="20"/>
                <w:color w:val="auto"/>
              </w:rPr>
            </w:pPr>
          </w:p>
        </w:tc>
      </w:tr>
      <w:tr>
        <w:trPr>
          <w:trHeight w:val="4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 of</w:t>
            </w: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SEALMINERs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Cloud Hash</w:t>
            </w:r>
          </w:p>
        </w:tc>
        <w:tc>
          <w:tcPr>
            <w:tcW w:w="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General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Membership</w:t>
            </w:r>
          </w:p>
        </w:tc>
        <w:tc>
          <w:tcPr>
            <w:tcW w:w="8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80" w:type="dxa"/>
            <w:vAlign w:val="bottom"/>
          </w:tcPr>
          <w:p>
            <w:pPr>
              <w:spacing w:after="0"/>
              <w:rPr>
                <w:sz w:val="21"/>
                <w:szCs w:val="21"/>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Accessories</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Cost of products sold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(94.6)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(12.0)</w:t>
            </w: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 of</w:t>
            </w: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SEALMINERs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Cloud Hash</w:t>
            </w:r>
          </w:p>
        </w:tc>
        <w:tc>
          <w:tcPr>
            <w:tcW w:w="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General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Membership</w:t>
            </w:r>
          </w:p>
        </w:tc>
        <w:tc>
          <w:tcPr>
            <w:tcW w:w="8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lines</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80" w:type="dxa"/>
            <w:vAlign w:val="bottom"/>
          </w:tcPr>
          <w:p>
            <w:pPr>
              <w:spacing w:after="0"/>
              <w:rPr>
                <w:sz w:val="21"/>
                <w:szCs w:val="21"/>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Accessories</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(34.7)</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(8.2)</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(0.2)</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w:t>
            </w:r>
          </w:p>
        </w:tc>
        <w:tc>
          <w:tcPr>
            <w:tcW w:w="1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Q3 2025 Management’s Discussion and Analysis (compared to Q3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US$169.7 million vs. US$62.0 million.</w:t>
      </w:r>
    </w:p>
    <w:p>
      <w:pPr>
        <w:spacing w:after="0" w:line="252"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revenue </w:t>
      </w:r>
      <w:r>
        <w:rPr>
          <w:rFonts w:ascii="Times New Roman" w:cs="Times New Roman" w:eastAsia="Times New Roman" w:hAnsi="Times New Roman"/>
          <w:sz w:val="18"/>
          <w:szCs w:val="18"/>
          <w:color w:val="auto"/>
        </w:rPr>
        <w:t>was US$130.9 million vs. US$31.5 million, primarily due to the increase in the average self-mining hashrate for the quarter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273.1% to 29.1 EH/s from 7.8 EH/s last year and higher year-over-year Bitcoin prices, offset partially by higher mining difficulty.</w:t>
      </w:r>
    </w:p>
    <w:p>
      <w:pPr>
        <w:spacing w:after="0" w:line="18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revenue </w:t>
      </w:r>
      <w:r>
        <w:rPr>
          <w:rFonts w:ascii="Times New Roman" w:cs="Times New Roman" w:eastAsia="Times New Roman" w:hAnsi="Times New Roman"/>
          <w:sz w:val="18"/>
          <w:szCs w:val="18"/>
          <w:color w:val="auto"/>
        </w:rPr>
        <w:t>was US$0.0 million vs. US$7.1 million. The decline was primarily due to expiration of long-term Cloud hashrate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subsequent reallocation of nearly all machines to self-mining operations by the end of 2024.</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Hosting revenue </w:t>
      </w:r>
      <w:r>
        <w:rPr>
          <w:rFonts w:ascii="Times New Roman" w:cs="Times New Roman" w:eastAsia="Times New Roman" w:hAnsi="Times New Roman"/>
          <w:sz w:val="18"/>
          <w:szCs w:val="18"/>
          <w:color w:val="auto"/>
        </w:rPr>
        <w:t>was US$8.4 million vs. US$9.6 million. The decline was primarily due to the expiration of certain hosting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as well as the removal of older and less efficient machines by other hosting customers, and these capacities have been reallocated for self-mining business.</w:t>
      </w:r>
    </w:p>
    <w:p>
      <w:pPr>
        <w:spacing w:after="0" w:line="19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Membership Hosting revenue </w:t>
      </w:r>
      <w:r>
        <w:rPr>
          <w:rFonts w:ascii="Times New Roman" w:cs="Times New Roman" w:eastAsia="Times New Roman" w:hAnsi="Times New Roman"/>
          <w:sz w:val="18"/>
          <w:szCs w:val="18"/>
          <w:color w:val="auto"/>
        </w:rPr>
        <w:t>was US$14.0 million vs. US$9.9 million. The increase was primarily driven by customers replacing older machines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newer ones.</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 sales revenue </w:t>
      </w:r>
      <w:r>
        <w:rPr>
          <w:rFonts w:ascii="Times New Roman" w:cs="Times New Roman" w:eastAsia="Times New Roman" w:hAnsi="Times New Roman"/>
          <w:sz w:val="18"/>
          <w:szCs w:val="18"/>
          <w:color w:val="auto"/>
        </w:rPr>
        <w:t>was US$11.4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HPC and AI Cloud revenue </w:t>
      </w:r>
      <w:r>
        <w:rPr>
          <w:rFonts w:ascii="Times New Roman" w:cs="Times New Roman" w:eastAsia="Times New Roman" w:hAnsi="Times New Roman"/>
          <w:sz w:val="18"/>
          <w:szCs w:val="18"/>
          <w:color w:val="auto"/>
        </w:rPr>
        <w:t>was US$1.8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Figures may not add due to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5" w:lineRule="exact"/>
        <w:rPr>
          <w:sz w:val="20"/>
          <w:szCs w:val="20"/>
          <w:color w:val="auto"/>
        </w:rPr>
      </w:pPr>
    </w:p>
    <w:p>
      <w:pPr>
        <w:ind w:left="340" w:hanging="332"/>
        <w:spacing w:after="0" w:line="28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US$128.9 million vs US$59.3 million. The increase was primarily driven by higher electricity usage associated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average operating self-mining hashrate for the quarter, costs of SEALMINERs sold to external customers, and depreciation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US$40.8 million vs. US$2.8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24.1% vs. 4.5%. The improvement in gross margin was primarily due to higher self-mining revenue and improved fleet efficiency.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were US$60.5 million vs. US$42.9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US$1.3 million vs. US$2.2 million, down 42.4% year-over-year, primarily due to a decrease in share-based payment expenses for sales personnel and marketing expenses.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US$20.1 million vs. US$15.8 million, up 27.0% year-over-year, primarily due to the increase in staff costs for general and administrative personnel and consulting fees.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US$39.1 million vs. US$24.8 million, up 57.4% year-over-year, primarily due to the one-off development and tape out costs of SEAL04 chip, and non-cash amortization expenses of intangible assets related to the acquisition of FreeChain incurred since Q4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Loss</w:t>
      </w:r>
    </w:p>
    <w:p>
      <w:pPr>
        <w:spacing w:after="0" w:line="229"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loss was US$238.5 million primarily due to the non-cash, fair value changes of derivative liabilities, which were US$247.6 million of loss on fair value changes for the convertible senior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US$266.7 million vs. US$50.1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Loss (Non-IFRS)</w:t>
      </w:r>
      <w:r>
        <w:rPr>
          <w:rFonts w:ascii="Times New Roman" w:cs="Times New Roman" w:eastAsia="Times New Roman" w:hAnsi="Times New Roman"/>
          <w:sz w:val="29"/>
          <w:szCs w:val="29"/>
          <w:color w:val="auto"/>
          <w:vertAlign w:val="superscript"/>
        </w:rPr>
        <w:t>7</w:t>
      </w:r>
    </w:p>
    <w:p>
      <w:pPr>
        <w:spacing w:after="0" w:line="139" w:lineRule="exact"/>
        <w:rPr>
          <w:sz w:val="20"/>
          <w:szCs w:val="20"/>
          <w:color w:val="auto"/>
        </w:rPr>
      </w:pPr>
    </w:p>
    <w:p>
      <w:pPr>
        <w:ind w:left="340" w:right="20" w:hanging="332"/>
        <w:spacing w:after="0" w:line="188" w:lineRule="auto"/>
        <w:tabs>
          <w:tab w:leader="none" w:pos="340" w:val="left"/>
        </w:tabs>
        <w:numPr>
          <w:ilvl w:val="0"/>
          <w:numId w:val="1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loss was US$32.8 million vs. US$25.6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million. The increase in loss was primarily due to higher operating expenses and interest expenses relating to the increased borrowings, partially offset by the year-over-year higher revenue and gross profit margins.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(Non-IFRS)</w:t>
      </w:r>
    </w:p>
    <w:p>
      <w:pPr>
        <w:spacing w:after="0" w:line="233" w:lineRule="exact"/>
        <w:rPr>
          <w:sz w:val="20"/>
          <w:szCs w:val="20"/>
          <w:color w:val="auto"/>
        </w:rPr>
      </w:pPr>
    </w:p>
    <w:p>
      <w:pPr>
        <w:ind w:left="340" w:hanging="332"/>
        <w:spacing w:after="0" w:line="188" w:lineRule="auto"/>
        <w:tabs>
          <w:tab w:leader="none" w:pos="340"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 was US$43.0 million vs. negative US$7.9</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million. The year-over-year growth was primarily driven by significantly higher self-mining hashrate as a result of the Company’s mass production and deployment of SEALMINERs A1 and A2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9" w:lineRule="exact"/>
        <w:rPr>
          <w:sz w:val="20"/>
          <w:szCs w:val="20"/>
          <w:color w:val="auto"/>
        </w:rPr>
      </w:pPr>
    </w:p>
    <w:p>
      <w:pPr>
        <w:jc w:val="both"/>
        <w:ind w:left="340" w:right="20" w:hanging="332"/>
        <w:spacing w:after="0" w:line="210"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profit/(loss)” is defined as profit/(loss) adjusted to exclude share-based payment expenses under IFRS 2, changes in fair value of derivative liabilities, changes in fair value of cryptocurrency-settled receivables and payables, changes in fair value of cryptocurrency receivables, and loss on extinguishment of convertible senior notes.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was US$520.3 million, primarily driven by SEALMINERs supply chain and manufacturing costs, electricity costs from the mining business, general corporate overhead and interest expenses.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generated from investing activities was US$27.2 million, which was driven by US$59.7 million of capital expenditures, of which US$31.6 million related to data center infrastructure and related construction. Proceeds from disposal of cryptocurrencies from principal business was US$89.0 million.</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generated from financing activities was US$388.2 million, primarily driven by approximately US$320.0 million of borrowings from a related party and US$91.4 million of proceeds from shares sold under ATM program, partially offset by US$48.3 million of repayments of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Capex</w:t>
      </w:r>
    </w:p>
    <w:p>
      <w:pPr>
        <w:spacing w:after="0" w:line="22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global power and data center infrastructure capex is expected to be in the range of US$210 to US$240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September 30, 2025 unless stated otherwise (compared to December 31, 2024)</w:t>
      </w:r>
    </w:p>
    <w:p>
      <w:pPr>
        <w:spacing w:after="0" w:line="211"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US$196.3 million in cash and cash equivalents, US$246.2 million in crypto balance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and US$824.3 million in borrowings.</w:t>
      </w:r>
    </w:p>
    <w:p>
      <w:pPr>
        <w:spacing w:after="0" w:line="101" w:lineRule="exact"/>
        <w:rPr>
          <w:rFonts w:ascii="Times New Roman" w:cs="Times New Roman" w:eastAsia="Times New Roman" w:hAnsi="Times New Roman"/>
          <w:sz w:val="36"/>
          <w:szCs w:val="36"/>
          <w:color w:val="auto"/>
          <w:vertAlign w:val="superscript"/>
        </w:rPr>
      </w:pPr>
    </w:p>
    <w:p>
      <w:pPr>
        <w:ind w:left="340" w:right="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US$593.2 million prepayments and other assets, up from US$310.2 million. Change primarily driven by advanced payments to suppliers for SEALMINER mass volume production.</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US$231.5 million inventories, up from US$64.9 million. Increase driven by wafers, chips, WIP and finished SEALMINER inventory.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US$672.5 million derivative liabilities mainly due to convertible senior notes issued in 2024 and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information regarding the Company’s third quarter 2025 financial and operations results can be found on the SEC’s website https://sec.gov and the Company’s Investor Relations website https://ir.bitdeer.com.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cloud. Bitdeer is committed to providing comprehensive Bitcoin mining solutions for its customers.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in the United States, Norway, and Bhutan. To learn more, visit https://ir.bitdeer.com/ or follow Bitdeer on X @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02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BITDEER GROUP UNAUDITED CONSOLIDATED STATEMENTS OF FINANCIAL POSITION</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196,252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82,246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Cryptocurrencies -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17,628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564,747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231,544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64,888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1,288,570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949,447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28,461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40,770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37,981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Mining rigs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406,344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67,324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77,961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415,380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properties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30,098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30,723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99,141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83,235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35,818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35,818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1,148,509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608,407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2,437,079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1,557,854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78,049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31,471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50,254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672,511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52,512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362,164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1,435,717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1,100,119</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65,130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261,625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83,563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72,673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14,270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427,551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181,137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1,863,268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1,281,256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573,811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276,598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equity</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(290,607)</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(160,926)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(653,949)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(649,004)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1,518,367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1,086,528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573,811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276,598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Amount less than US$1,000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BITDEER GROUP UNAUDITED CONSOLIDATED OPERATIONS AND COMPREHENSIVE INCOME /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4"/>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169,708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62,029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395,418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280,764</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(128,881)</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(59,264)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(344,996)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(219,463)</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40,827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50,422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(1,284)</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(4,303)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(20,108)</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(15,828)</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(55,635)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(39,088)</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(24,836)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(118,679)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(54,048)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26,511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22,457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4,397</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net gain / (loss)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(238,494)</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(14,681)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156,105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(27,701)</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(231,636)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50,367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(29,416)</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(52,452)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(261,052)</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(53,820)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(5,633)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3,723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(2,860)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1,682</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(266,685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(50,097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9" w:lineRule="exact"/>
        <w:rPr>
          <w:sz w:val="20"/>
          <w:szCs w:val="20"/>
          <w:color w:val="auto"/>
        </w:rPr>
      </w:pPr>
    </w:p>
    <w:p>
      <w:pPr>
        <w:ind w:right="13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Other comprehensive income / (loss) for the period </w:t>
      </w:r>
      <w:r>
        <w:rPr>
          <w:rFonts w:ascii="Times New Roman" w:cs="Times New Roman" w:eastAsia="Times New Roman" w:hAnsi="Times New Roman"/>
          <w:sz w:val="18"/>
          <w:szCs w:val="18"/>
          <w:i w:val="1"/>
          <w:iCs w:val="1"/>
          <w:color w:val="auto"/>
        </w:rPr>
        <w:t>Item that may be reclassified to profit or loss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financial statements</w:t>
      </w:r>
    </w:p>
    <w:p>
      <w:pPr>
        <w:spacing w:after="0" w:line="14" w:lineRule="exact"/>
        <w:rPr>
          <w:sz w:val="20"/>
          <w:szCs w:val="20"/>
          <w:color w:val="auto"/>
        </w:rPr>
      </w:pPr>
    </w:p>
    <w:p>
      <w:pPr>
        <w:ind w:right="560"/>
        <w:spacing w:after="0" w:line="318" w:lineRule="auto"/>
        <w:rPr>
          <w:sz w:val="20"/>
          <w:szCs w:val="20"/>
          <w:color w:val="auto"/>
        </w:rPr>
      </w:pPr>
      <w:r>
        <w:rPr>
          <w:rFonts w:ascii="Times New Roman" w:cs="Times New Roman" w:eastAsia="Times New Roman" w:hAnsi="Times New Roman"/>
          <w:sz w:val="18"/>
          <w:szCs w:val="18"/>
          <w:b w:val="1"/>
          <w:bCs w:val="1"/>
          <w:color w:val="auto"/>
        </w:rPr>
        <w:t>Other comprehensive income / (loss) for the period, net of tax Total comprehensive loss for the period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(in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Weighted average number of shares outstanding (thousand shares)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(266,685)</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(50,097)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(4,945)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(67,234)</w:t>
            </w:r>
          </w:p>
        </w:tc>
      </w:tr>
      <w:tr>
        <w:trPr>
          <w:trHeight w:val="668"/>
        </w:trPr>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(266,668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(50,127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(67,218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30"/>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(1.28)</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34"/>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(1.28)</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630"/>
        </w:trPr>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208,619</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143,769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197,663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208,619</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143,769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230,814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128,437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-2022475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-1748155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-1456690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-1122680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-822325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-548005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-273685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002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BITDEER GROUP UNAUDITED CONDENSED CONSOLIDATED STATEMENTS OF CASH FLOWS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720" w:type="dxa"/>
            <w:vAlign w:val="bottom"/>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4"/>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(511,165)</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(90,164)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(1,111,607)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leases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(1,024)</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borrowings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(9,397)</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(29,198)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1,360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5,833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5,462</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(520,282</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(90,720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(1,139,141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(297,015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property, plant and equipment, investment properties and intangible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(46,326)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(29,922)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(197,644)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mining rigs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(13,422)</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(19,309)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financial assets at fair value through profit or loss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(2,070)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cryptocurrencies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(18,159)</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cryptocurrencies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89,021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39,929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201,372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209,653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the site and gas-fired power project in Alberta, Canada</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(21,881)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business combinations, net of cash acquired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 (used in) investing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(1,891)</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(5,784)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26,000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43,472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(17,002)</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320,000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borrowings to a related party</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(31,292)</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(38,375)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for exercise of share rewards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1,682</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3,347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net of transaction costs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91,414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7,795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209,817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163,190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for exercise of warrants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transaction costs in connection with convertible senior notes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senior notes, net of transaction costs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166,297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362,478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166,297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to convertible senior notes in connection with note extinguishment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(33,783)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zero-strike call option</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(129,607)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388,197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914,549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321,492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(104,882)</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87,526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(283,615)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147,137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299,792</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203,882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476,270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144,729</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movements in exchange rates on cash and cash equivalents held</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1,342</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3,597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196,252</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291,314</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196,252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291,314</w:t>
            </w:r>
          </w:p>
        </w:tc>
        <w:tc>
          <w:tcPr>
            <w:tcW w:w="100" w:type="dxa"/>
            <w:vAlign w:val="bottom"/>
            <w:tcBorders>
              <w:top w:val="single" w:sz="8" w:color="CCEEFF"/>
            </w:tcBorders>
          </w:tcPr>
          <w:p>
            <w:pPr>
              <w:spacing w:after="0"/>
              <w:rPr>
                <w:sz w:val="18"/>
                <w:szCs w:val="18"/>
                <w:color w:val="auto"/>
              </w:rPr>
            </w:pPr>
          </w:p>
        </w:tc>
      </w:tr>
      <w:tr>
        <w:trPr>
          <w:trHeight w:val="655"/>
        </w:trPr>
        <w:tc>
          <w:tcPr>
            <w:tcW w:w="59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Use of Non-IFRS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the Company’s business, the Company considers and uses non-IFRS measures, adjusted EBITDA and adjusted profit / (loss), as supplemental measures to review and assess its operating performance. The Company defines adjusted EBITDA as earnings before interest, taxes, depreciation and amortization, further adjusted to exclude share-based payment expenses under IFRS 2, changes in fair value of derivative liabilities, changes in fair value of cryptocurrency-settled receivables and payables, changes in fair value of cryptocurrency receivables, and loss on extinguishment of convertible senior notes, and defines adjusted profit/(loss) as profit/(loss) adjusted to exclude share-based payment expenses under IFRS 2, changes in fair value of derivative liabilities, changes in fair value of cryptocurrency-settled receivables and payables, changes in fair value of cryptocurrency receivables, and loss on extinguishment of convertible senior notes.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presents these non-IFRS financial measures because they are used by its management to evaluate its operating performance and formulate business plans. The Company also believes that the use of these non-IFRS measures facilitate investors’ assessment of its operating performance. These measures are not necessarily comparable to similarly titled measures used by other companies. As a result, investors should not consider these measures in isolation from, or as a substitute analysis for, the Company’s profit or loss for the periods, as determined in accordance with IFRS. The Company compensates for these limitations by reconciling these non-IFRS financial measures to the nearest IFRS performance measure, all of which should be considered when evaluating its performance. The Company encourages investors to review its financial information in its entirety and not rely on a single financial measure.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profit/ (loss) for the relevant period to adjusted EBITDA and adjusted loss, for the three and nine months ended September 30, 2025 and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GROUP UNAUDITED NON-IFRS ADJUSTED EBITDA AND ADJUSTED LOSS RECONCILIATION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80" w:type="dxa"/>
            <w:vAlign w:val="bottom"/>
            <w:gridSpan w:val="4"/>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8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80" w:type="dxa"/>
            <w:vAlign w:val="bottom"/>
            <w:gridSpan w:val="4"/>
          </w:tcPr>
          <w:p>
            <w:pPr>
              <w:jc w:val="right"/>
              <w:ind w:right="738"/>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5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(266,685)</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(50,097)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(4,945)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(67,234)</w:t>
            </w:r>
          </w:p>
        </w:tc>
        <w:tc>
          <w:tcPr>
            <w:tcW w:w="0" w:type="dxa"/>
            <w:vAlign w:val="bottom"/>
          </w:tcPr>
          <w:p>
            <w:pPr>
              <w:spacing w:after="0"/>
              <w:rPr>
                <w:sz w:val="1"/>
                <w:szCs w:val="1"/>
                <w:color w:val="auto"/>
              </w:rPr>
            </w:pPr>
          </w:p>
        </w:tc>
      </w:tr>
      <w:tr>
        <w:trPr>
          <w:trHeight w:val="241"/>
        </w:trPr>
        <w:tc>
          <w:tcPr>
            <w:tcW w:w="54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41,228</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19,489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93,060</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55,980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5,633</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net</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29,014</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55,345</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9,317</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9,414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29,891</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25,310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247,612</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14,436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(168,309)</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28,666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cryptocurrency-settled receivables and payables</w:t>
            </w:r>
          </w:p>
        </w:tc>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(834)</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cryptocurrency receivables</w:t>
            </w:r>
          </w:p>
        </w:tc>
        <w:tc>
          <w:tcPr>
            <w:tcW w:w="1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(22,240)</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(22,240)</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senior notes</w:t>
            </w:r>
          </w:p>
        </w:tc>
        <w:tc>
          <w:tcPr>
            <w:tcW w:w="5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16,194</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 Adjusted EBITDA</w:t>
            </w:r>
          </w:p>
        </w:tc>
        <w:tc>
          <w:tcPr>
            <w:tcW w:w="5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line="284" w:lineRule="exact"/>
              <w:rPr>
                <w:sz w:val="20"/>
                <w:szCs w:val="20"/>
                <w:color w:val="auto"/>
              </w:rPr>
            </w:pPr>
            <w:r>
              <w:rPr>
                <w:rFonts w:ascii="Times New Roman" w:cs="Times New Roman" w:eastAsia="Times New Roman" w:hAnsi="Times New Roman"/>
                <w:sz w:val="18"/>
                <w:szCs w:val="18"/>
                <w:b w:val="1"/>
                <w:bCs w:val="1"/>
                <w:color w:val="auto"/>
                <w:w w:val="76"/>
              </w:rPr>
              <w:t>)</w:t>
            </w:r>
            <w:r>
              <w:rPr>
                <w:rFonts w:ascii="Times New Roman" w:cs="Times New Roman" w:eastAsia="Times New Roman" w:hAnsi="Times New Roman"/>
                <w:sz w:val="29"/>
                <w:szCs w:val="29"/>
                <w:b w:val="1"/>
                <w:bCs w:val="1"/>
                <w:color w:val="auto"/>
                <w:w w:val="76"/>
                <w:vertAlign w:val="superscript"/>
              </w:rPr>
              <w:t>2</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43,045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(7,882</w:t>
            </w:r>
          </w:p>
        </w:tc>
        <w:tc>
          <w:tcPr>
            <w:tcW w:w="260" w:type="dxa"/>
            <w:vAlign w:val="bottom"/>
            <w:vMerge w:val="continue"/>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4,211</w:t>
            </w:r>
          </w:p>
        </w:tc>
        <w:tc>
          <w:tcPr>
            <w:tcW w:w="126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42,990</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Loss</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(266,685)</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(50,097)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(67,234)</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5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9,317</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9,414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29,891</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25,310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1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247,612</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14,436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(168,309)</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28,666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cryptocurrency-settled receivables and payables</w:t>
            </w:r>
          </w:p>
        </w:tc>
        <w:tc>
          <w:tcPr>
            <w:tcW w:w="1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(834)</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cryptocurrency receivables</w:t>
            </w:r>
          </w:p>
        </w:tc>
        <w:tc>
          <w:tcPr>
            <w:tcW w:w="1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(22,240)</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(22,240)</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senior notes</w:t>
            </w:r>
          </w:p>
        </w:tc>
        <w:tc>
          <w:tcPr>
            <w:tcW w:w="5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16,194</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 Adjusted Loss</w:t>
            </w:r>
          </w:p>
        </w:tc>
        <w:tc>
          <w:tcPr>
            <w:tcW w:w="5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line="284" w:lineRule="exact"/>
              <w:rPr>
                <w:sz w:val="20"/>
                <w:szCs w:val="20"/>
                <w:color w:val="auto"/>
              </w:rPr>
            </w:pPr>
            <w:r>
              <w:rPr>
                <w:rFonts w:ascii="Times New Roman" w:cs="Times New Roman" w:eastAsia="Times New Roman" w:hAnsi="Times New Roman"/>
                <w:sz w:val="18"/>
                <w:szCs w:val="18"/>
                <w:b w:val="1"/>
                <w:bCs w:val="1"/>
                <w:color w:val="auto"/>
                <w:w w:val="76"/>
              </w:rPr>
              <w:t>)</w:t>
            </w:r>
            <w:r>
              <w:rPr>
                <w:rFonts w:ascii="Times New Roman" w:cs="Times New Roman" w:eastAsia="Times New Roman" w:hAnsi="Times New Roman"/>
                <w:sz w:val="29"/>
                <w:szCs w:val="29"/>
                <w:b w:val="1"/>
                <w:bCs w:val="1"/>
                <w:color w:val="auto"/>
                <w:w w:val="76"/>
                <w:vertAlign w:val="superscript"/>
              </w:rPr>
              <w:t>2</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b w:val="1"/>
                <w:bCs w:val="1"/>
                <w:color w:val="auto"/>
                <w:w w:val="71"/>
              </w:rPr>
              <w:t>)</w:t>
            </w:r>
            <w:r>
              <w:rPr>
                <w:rFonts w:ascii="Times New Roman" w:cs="Times New Roman" w:eastAsia="Times New Roman" w:hAnsi="Times New Roman"/>
                <w:sz w:val="26"/>
                <w:szCs w:val="26"/>
                <w:b w:val="1"/>
                <w:bCs w:val="1"/>
                <w:color w:val="auto"/>
                <w:w w:val="71"/>
                <w:vertAlign w:val="superscript"/>
              </w:rPr>
              <w:t>2</w:t>
            </w: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(32,830)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(25,586</w:t>
            </w:r>
          </w:p>
        </w:tc>
        <w:tc>
          <w:tcPr>
            <w:tcW w:w="260" w:type="dxa"/>
            <w:vAlign w:val="bottom"/>
            <w:vMerge w:val="continue"/>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(147,054)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(12,629</w:t>
            </w:r>
          </w:p>
        </w:tc>
        <w:tc>
          <w:tcPr>
            <w:tcW w:w="1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-3495040</wp:posOffset>
            </wp:positionV>
            <wp:extent cx="58420" cy="88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8420" cy="8826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-1600835</wp:posOffset>
            </wp:positionV>
            <wp:extent cx="58420" cy="88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8420" cy="8826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bitdeer@news8media.com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5"/>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6"/>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7"/>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jpe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18" Type="http://schemas.openxmlformats.org/officeDocument/2006/relationships/hyperlink" Target="http://www.sec.gov/Archives/edgar/data/1899123/000114036124021346/ny20023745x7_posam.htm" TargetMode="External"/><Relationship Id="rId19" Type="http://schemas.openxmlformats.org/officeDocument/2006/relationships/hyperlink" Target="http://www.sec.gov/Archives/edgar/data/1899123/000114036124013887/ny20023745x1_f3.htm" TargetMode="External"/><Relationship Id="rId20" Type="http://schemas.openxmlformats.org/officeDocument/2006/relationships/hyperlink" Target="http://www.sec.gov/Archives/edgar/data/1899123/000114036124013888/ny20023745x3_f3.htm" TargetMode="External"/><Relationship Id="rId21" Type="http://schemas.openxmlformats.org/officeDocument/2006/relationships/hyperlink" Target="http://www.sec.gov/Archives/edgar/data/1899123/000114036124029276/ny20030771x1_f3.htm" TargetMode="External"/><Relationship Id="rId22" Type="http://schemas.openxmlformats.org/officeDocument/2006/relationships/hyperlink" Target="http://www.sec.gov/Archives/edgar/data/1899123/000114036124049031/ny20039746x1_f3.htm" TargetMode="External"/><Relationship Id="rId23" Type="http://schemas.openxmlformats.org/officeDocument/2006/relationships/hyperlink" Target="http://www.sec.gov/Archives/edgar/data/1899123/000121390025080525/ea0254524-f3_bitdeer.htm" TargetMode="External"/><Relationship Id="rId24" Type="http://schemas.openxmlformats.org/officeDocument/2006/relationships/hyperlink" Target="http://www.sec.gov/Archives/edgar/data/1899123/000114036123031108/brhc20054618_s8.htm" TargetMode="External"/><Relationship Id="rId25"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2025-11-10T07:12:11Z</dcterms:created>
  <dcterms:modified xsi:type="dcterms:W3CDTF">2025-11-10T07:12:11Z</dcterms:modified>
</cp:coreProperties>
</file>