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 Bitdeer Announces April 2026 Production and Operations Update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156845</wp:posOffset>
            </wp:positionV>
            <wp:extent cx="1200150" cy="84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April 2026 Production and Operations Update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Monthly Highlights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Bitcoin: </w:t>
      </w:r>
      <w:r>
        <w:rPr>
          <w:rFonts w:ascii="Times New Roman" w:cs="Times New Roman" w:eastAsia="Times New Roman" w:hAnsi="Times New Roman"/>
          <w:sz w:val="18"/>
          <w:szCs w:val="18"/>
          <w:color w:val="auto"/>
        </w:rPr>
        <w:t>Production increased 372% Y/Y to 783 Bitcoin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SEALMINERs: </w:t>
      </w:r>
      <w:r>
        <w:rPr>
          <w:rFonts w:ascii="Times New Roman" w:cs="Times New Roman" w:eastAsia="Times New Roman" w:hAnsi="Times New Roman"/>
          <w:sz w:val="18"/>
          <w:szCs w:val="18"/>
          <w:color w:val="auto"/>
        </w:rPr>
        <w:t>SEALMINER A4 series mass production launched with industry leading efficiency of 9.45 J/T</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Colocation: </w:t>
      </w:r>
      <w:r>
        <w:rPr>
          <w:rFonts w:ascii="Times New Roman" w:cs="Times New Roman" w:eastAsia="Times New Roman" w:hAnsi="Times New Roman"/>
          <w:sz w:val="18"/>
          <w:szCs w:val="18"/>
          <w:color w:val="auto"/>
        </w:rPr>
        <w:t>Executing on colocation lease agreements is THE top priority for management, with Tydal, Norway site in advanced stages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Cloud: </w:t>
      </w:r>
      <w:r>
        <w:rPr>
          <w:rFonts w:ascii="Times New Roman" w:cs="Times New Roman" w:eastAsia="Times New Roman" w:hAnsi="Times New Roman"/>
          <w:sz w:val="18"/>
          <w:szCs w:val="18"/>
          <w:color w:val="auto"/>
        </w:rPr>
        <w:t>Demonstrating strong M/M performance in ARR and utilization rates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Key Metrics Summary</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46"/>
        </w:trPr>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Global Energy</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Self-Mining</w:t>
            </w: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Co-Mining</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Self-Owned</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BTC</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AI Cloud</w:t>
            </w:r>
          </w:p>
        </w:tc>
        <w:tc>
          <w:tcPr>
            <w:tcW w:w="3140" w:type="dxa"/>
            <w:vAlign w:val="bottom"/>
          </w:tcPr>
          <w:p>
            <w:pPr>
              <w:spacing w:after="0"/>
              <w:rPr>
                <w:sz w:val="24"/>
                <w:szCs w:val="24"/>
                <w:color w:val="auto"/>
              </w:rPr>
            </w:pPr>
          </w:p>
        </w:tc>
      </w:tr>
      <w:tr>
        <w:trPr>
          <w:trHeight w:val="277"/>
        </w:trPr>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Hash Rate1</w:t>
            </w:r>
          </w:p>
        </w:tc>
        <w:tc>
          <w:tcPr>
            <w:tcW w:w="136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7"/>
              </w:rPr>
              <w:t>Hash Rate</w:t>
            </w:r>
            <w:r>
              <w:rPr>
                <w:rFonts w:ascii="Times New Roman" w:cs="Times New Roman" w:eastAsia="Times New Roman" w:hAnsi="Times New Roman"/>
                <w:sz w:val="29"/>
                <w:szCs w:val="29"/>
                <w:b w:val="1"/>
                <w:bCs w:val="1"/>
                <w:color w:val="auto"/>
                <w:w w:val="97"/>
                <w:vertAlign w:val="superscript"/>
              </w:rPr>
              <w:t>2</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Mined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ARR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Colocation AI Data Center</w:t>
            </w:r>
          </w:p>
        </w:tc>
      </w:tr>
      <w:tr>
        <w:trPr>
          <w:trHeight w:val="194"/>
        </w:trPr>
        <w:tc>
          <w:tcPr>
            <w:tcW w:w="12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3.0 GW</w:t>
            </w:r>
          </w:p>
        </w:tc>
        <w:tc>
          <w:tcPr>
            <w:tcW w:w="14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65.5 (EH/s)</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8.4 (EH/s)</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218K</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783</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~$69M</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Tydal, Norway in advanced stages of</w:t>
            </w:r>
          </w:p>
        </w:tc>
      </w:tr>
      <w:tr>
        <w:trPr>
          <w:trHeight w:val="238"/>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negotiations</w:t>
            </w:r>
          </w:p>
        </w:tc>
      </w:tr>
    </w:tbl>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May 12, 2026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AI and Bitcoin mining infrastructure, today announced its unaudited operations updates for April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April marked another month of disciplined execution across our integrated AI and Bitcoin mining platform. our AI cloud business sustained strong momentum, with ARR increasing to approximately $69 million, a 60% increase month-over-month, underscoring both the scale of enterprise demand for high-performance AI infrastructure and our ability to convert that demand into durable, contracted revenue. Importantly, we are in advanced stages of negotiations with a prospective colocation tenant for our Tydal, Norway site, which we expect would mark a defining milestone in our colocation strategy and unlock a significant new long-term revenue stream,” said Matt Kong, Chief Business Officer of Bitdeer. “In parallel, our self-mining hashrate continues to improve, reaching approximately 65.5 EH/s, up over 400% year-over-year, while our co-mining hashrate has grown to an incremental 8.4 EH/s, reinforcing Bitdeer’s position as one of the largest publicly listed Bitcoin miners by total hash rate under management and reflecting the continued ramp-up of our SEALMINER fleet.” Mr. Kong continued, “With our differentiated 3.0 GW power portfolio, expanding AI cloud capacity, and accelerating commercial traction, we remain confident in delivering sustained, profitable growth for our shareholders in the months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firstLine="8"/>
        <w:spacing w:after="0" w:line="197"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Self-Mining (Operated in self-owned datacenters) </w:t>
      </w:r>
      <w:r>
        <w:rPr>
          <w:rFonts w:ascii="Times New Roman" w:cs="Times New Roman" w:eastAsia="Times New Roman" w:hAnsi="Times New Roman"/>
          <w:sz w:val="18"/>
          <w:szCs w:val="18"/>
          <w:color w:val="auto"/>
        </w:rPr>
        <w:t>refers to cryptocurrency mining for Bitdeer’s own account, whereby its mining rigs are operated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self-owned datacenters</w:t>
      </w:r>
    </w:p>
    <w:p>
      <w:pPr>
        <w:spacing w:after="0" w:line="1" w:lineRule="exact"/>
        <w:rPr>
          <w:sz w:val="20"/>
          <w:szCs w:val="20"/>
          <w:color w:val="auto"/>
        </w:rPr>
      </w:pPr>
    </w:p>
    <w:p>
      <w:pPr>
        <w:ind w:firstLine="8"/>
        <w:spacing w:after="0" w:line="205" w:lineRule="auto"/>
        <w:tabs>
          <w:tab w:leader="none" w:pos="133"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Co-mining (Operated in 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party datacenters) </w:t>
      </w:r>
      <w:r>
        <w:rPr>
          <w:rFonts w:ascii="Times New Roman" w:cs="Times New Roman" w:eastAsia="Times New Roman" w:hAnsi="Times New Roman"/>
          <w:sz w:val="18"/>
          <w:szCs w:val="18"/>
          <w:color w:val="auto"/>
        </w:rPr>
        <w:t>refers to cryptocurrency mining for Bitdeer’s own account, whereby its mining rigs are operated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datacenters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6140450</wp:posOffset>
            </wp:positionH>
            <wp:positionV relativeFrom="page">
              <wp:posOffset>448945</wp:posOffset>
            </wp:positionV>
            <wp:extent cx="1200150" cy="84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483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Mining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Mining, R&amp;D, Manufacturing:</w:t>
      </w:r>
    </w:p>
    <w:p>
      <w:pPr>
        <w:spacing w:after="0" w:line="21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Mined 783 Bitcoins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an increase of 372% Y/Y; we continue to expect momentum in our mining results over the coming months.</w:t>
      </w:r>
    </w:p>
    <w:p>
      <w:pPr>
        <w:spacing w:after="0" w:line="101" w:lineRule="exact"/>
        <w:rPr>
          <w:rFonts w:ascii="Times New Roman" w:cs="Times New Roman" w:eastAsia="Times New Roman" w:hAnsi="Times New Roman"/>
          <w:sz w:val="36"/>
          <w:szCs w:val="36"/>
          <w:color w:val="auto"/>
          <w:vertAlign w:val="superscript"/>
        </w:rPr>
      </w:pPr>
    </w:p>
    <w:p>
      <w:pPr>
        <w:ind w:left="660" w:right="20" w:hanging="328"/>
        <w:spacing w:after="0" w:line="29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 hash rate reached ~65.5 EH/s. Co-mining hashrate of 8.4 EH/s driven by Co-Mining collaboration, using Bitdeer’s mining rigs operated in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party datacenters</w:t>
      </w:r>
    </w:p>
    <w:p>
      <w:pPr>
        <w:spacing w:after="0" w:line="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 launch of industry leading SEALMINER A4 series, including A4 Ultra Hydro, A4 Pro Hydro and A4 Pro Air.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Crypto Metrics: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April</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March</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April</w:t>
            </w:r>
          </w:p>
        </w:tc>
      </w:tr>
      <w:tr>
        <w:trPr>
          <w:trHeight w:val="245"/>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 Rate Metrics: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Self-Mining (Operated in self-owned datacenters)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Co-Mining (Operated in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party datacenters)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Other Proprietary Hash Rate</w:t>
            </w:r>
            <w:r>
              <w:rPr>
                <w:rFonts w:ascii="Times New Roman" w:cs="Times New Roman" w:eastAsia="Times New Roman" w:hAnsi="Times New Roman"/>
                <w:sz w:val="29"/>
                <w:szCs w:val="29"/>
                <w:b w:val="1"/>
                <w:bCs w:val="1"/>
                <w:color w:val="auto"/>
                <w:vertAlign w:val="superscript"/>
              </w:rPr>
              <w:t>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Hosting</w:t>
            </w:r>
            <w:r>
              <w:rPr>
                <w:rFonts w:ascii="Times New Roman" w:cs="Times New Roman" w:eastAsia="Times New Roman" w:hAnsi="Times New Roman"/>
                <w:sz w:val="29"/>
                <w:szCs w:val="29"/>
                <w:b w:val="1"/>
                <w:bCs w:val="1"/>
                <w:color w:val="auto"/>
                <w:vertAlign w:val="superscript"/>
              </w:rPr>
              <w:t>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77"/>
        </w:trPr>
        <w:tc>
          <w:tcPr>
            <w:tcW w:w="732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Total Hash Rate under Mgmt.</w:t>
            </w:r>
            <w:r>
              <w:rPr>
                <w:rFonts w:ascii="Times New Roman" w:cs="Times New Roman" w:eastAsia="Times New Roman" w:hAnsi="Times New Roman"/>
                <w:sz w:val="29"/>
                <w:szCs w:val="29"/>
                <w:b w:val="1"/>
                <w:bCs w:val="1"/>
                <w:color w:val="auto"/>
                <w:vertAlign w:val="superscript"/>
              </w:rPr>
              <w:t>6</w:t>
            </w:r>
            <w:r>
              <w:rPr>
                <w:rFonts w:ascii="Times New Roman" w:cs="Times New Roman" w:eastAsia="Times New Roman" w:hAnsi="Times New Roman"/>
                <w:sz w:val="18"/>
                <w:szCs w:val="18"/>
                <w:b w:val="1"/>
                <w:bCs w:val="1"/>
                <w:color w:val="auto"/>
              </w:rPr>
              <w:t xml:space="preserve">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87.4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25.1</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 Rig Metrics: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Self-Mining</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98,000</w:t>
            </w: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Co-Mining</w:t>
            </w:r>
            <w:r>
              <w:rPr>
                <w:rFonts w:ascii="Times New Roman" w:cs="Times New Roman" w:eastAsia="Times New Roman" w:hAnsi="Times New Roman"/>
                <w:sz w:val="29"/>
                <w:szCs w:val="29"/>
                <w:b w:val="1"/>
                <w:bCs w:val="1"/>
                <w:color w:val="auto"/>
                <w:vertAlign w:val="superscript"/>
              </w:rPr>
              <w:t>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81,000</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Mining Rigs under Mgmt.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297,000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262,000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179,000</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BTC Mined</w:t>
            </w:r>
            <w:r>
              <w:rPr>
                <w:rFonts w:ascii="Times New Roman" w:cs="Times New Roman" w:eastAsia="Times New Roman" w:hAnsi="Times New Roman"/>
                <w:sz w:val="29"/>
                <w:szCs w:val="29"/>
                <w:color w:val="auto"/>
                <w:vertAlign w:val="superscript"/>
              </w:rPr>
              <w:t>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7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BTC Held</w:t>
            </w:r>
            <w:r>
              <w:rPr>
                <w:rFonts w:ascii="Times New Roman" w:cs="Times New Roman" w:eastAsia="Times New Roman" w:hAnsi="Times New Roman"/>
                <w:sz w:val="29"/>
                <w:szCs w:val="29"/>
                <w:b w:val="1"/>
                <w:bCs w:val="1"/>
                <w:color w:val="auto"/>
                <w:vertAlign w:val="superscript"/>
              </w:rPr>
              <w:t>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8"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BTC from self-mining operations and BTC from co-mining operations.</w:t>
      </w:r>
    </w:p>
    <w:p>
      <w:pPr>
        <w:spacing w:after="0" w:line="18" w:lineRule="exact"/>
        <w:rPr>
          <w:sz w:val="20"/>
          <w:szCs w:val="20"/>
          <w:color w:val="auto"/>
        </w:rPr>
      </w:pPr>
    </w:p>
    <w:p>
      <w:pPr>
        <w:ind w:firstLine="8"/>
        <w:spacing w:after="0" w:line="197"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Other Proprietary Hash Rate </w:t>
      </w:r>
      <w:r>
        <w:rPr>
          <w:rFonts w:ascii="Times New Roman" w:cs="Times New Roman" w:eastAsia="Times New Roman" w:hAnsi="Times New Roman"/>
          <w:sz w:val="18"/>
          <w:szCs w:val="18"/>
          <w:color w:val="auto"/>
        </w:rPr>
        <w:t>includes the hashrate from Bitdeer’s cloud hashrate business, mining rigs delivered in the crypto mining datacenters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deployed and the mining rigs temporarily offline due to limited economic benefit.</w:t>
      </w:r>
    </w:p>
    <w:p>
      <w:pPr>
        <w:spacing w:after="0" w:line="19" w:lineRule="exact"/>
        <w:rPr>
          <w:sz w:val="20"/>
          <w:szCs w:val="20"/>
          <w:color w:val="auto"/>
        </w:rPr>
      </w:pPr>
    </w:p>
    <w:p>
      <w:pPr>
        <w:ind w:right="20" w:firstLine="8"/>
        <w:spacing w:after="0" w:line="197" w:lineRule="auto"/>
        <w:tabs>
          <w:tab w:leader="none" w:pos="174"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19" w:lineRule="exact"/>
        <w:rPr>
          <w:sz w:val="20"/>
          <w:szCs w:val="20"/>
          <w:color w:val="auto"/>
        </w:rPr>
      </w:pPr>
    </w:p>
    <w:p>
      <w:pPr>
        <w:ind w:firstLine="8"/>
        <w:spacing w:after="0" w:line="197" w:lineRule="auto"/>
        <w:tabs>
          <w:tab w:leader="none" w:pos="133"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April 30, 2026, across Bitdeer’s primary business lines: Self-mining, Co-mining, Cloud Hash 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Hosting.</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b w:val="1"/>
          <w:bCs w:val="1"/>
          <w:color w:val="auto"/>
          <w:vertAlign w:val="superscript"/>
        </w:rPr>
        <w:t>7</w:t>
      </w:r>
      <w:r>
        <w:rPr>
          <w:rFonts w:ascii="Times New Roman" w:cs="Times New Roman" w:eastAsia="Times New Roman" w:hAnsi="Times New Roman"/>
          <w:sz w:val="18"/>
          <w:szCs w:val="18"/>
          <w:b w:val="1"/>
          <w:bCs w:val="1"/>
          <w:color w:val="auto"/>
        </w:rPr>
        <w:t xml:space="preserve"> Bitcoins held </w:t>
      </w:r>
      <w:r>
        <w:rPr>
          <w:rFonts w:ascii="Times New Roman" w:cs="Times New Roman" w:eastAsia="Times New Roman" w:hAnsi="Times New Roman"/>
          <w:sz w:val="18"/>
          <w:szCs w:val="18"/>
          <w:color w:val="auto"/>
        </w:rPr>
        <w:t>does not include Bitcoins from customer deposits but does include Bitcoins that are pledged as collateral by us.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6140450</wp:posOffset>
            </wp:positionH>
            <wp:positionV relativeFrom="page">
              <wp:posOffset>448945</wp:posOffset>
            </wp:positionV>
            <wp:extent cx="1200150" cy="848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489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AI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Colocation AI Data Center:</w:t>
      </w:r>
    </w:p>
    <w:p>
      <w:pPr>
        <w:spacing w:after="0" w:line="22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is in advanced stages of negotiations with a potential colocation tenant for Tydal, Norway and remains in active dialogue in Ohio, Rockdale, Texas and various other sites.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 Cloud Key Metrics:</w:t>
            </w: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April</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March</w:t>
            </w:r>
          </w:p>
        </w:tc>
      </w:tr>
      <w:tr>
        <w:trPr>
          <w:trHeight w:val="245"/>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1"/>
                <w:szCs w:val="21"/>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16"/>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GPU Amount Deployed</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4,184</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2,128</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GPU Types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H100, H200, B200, GB200</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H100, H200, B200, GB200</w:t>
            </w:r>
          </w:p>
        </w:tc>
      </w:tr>
      <w:tr>
        <w:trPr>
          <w:trHeight w:val="257"/>
        </w:trPr>
        <w:tc>
          <w:tcPr>
            <w:tcW w:w="5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Utilization Rate</w:t>
            </w:r>
            <w:r>
              <w:rPr>
                <w:rFonts w:ascii="Times New Roman" w:cs="Times New Roman" w:eastAsia="Times New Roman" w:hAnsi="Times New Roman"/>
                <w:sz w:val="29"/>
                <w:szCs w:val="29"/>
                <w:color w:val="auto"/>
                <w:vertAlign w:val="superscript"/>
              </w:rPr>
              <w:t>2</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120" w:type="dxa"/>
            <w:vAlign w:val="bottom"/>
            <w:shd w:val="clear" w:color="auto" w:fill="CCEEFF"/>
          </w:tcPr>
          <w:p>
            <w:pPr>
              <w:spacing w:after="0"/>
              <w:rPr>
                <w:sz w:val="22"/>
                <w:szCs w:val="22"/>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94%</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GPUs Under External Subscription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3,323</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1,948</w:t>
            </w:r>
          </w:p>
        </w:tc>
      </w:tr>
      <w:tr>
        <w:trPr>
          <w:trHeight w:val="257"/>
        </w:trPr>
        <w:tc>
          <w:tcPr>
            <w:tcW w:w="5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ARR</w:t>
            </w:r>
            <w:r>
              <w:rPr>
                <w:rFonts w:ascii="Times New Roman" w:cs="Times New Roman" w:eastAsia="Times New Roman" w:hAnsi="Times New Roman"/>
                <w:sz w:val="29"/>
                <w:szCs w:val="29"/>
                <w:color w:val="auto"/>
                <w:vertAlign w:val="superscript"/>
              </w:rPr>
              <w:t>3</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~$69M</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~$43M</w:t>
            </w:r>
          </w:p>
        </w:tc>
      </w:tr>
    </w:tbl>
    <w:p>
      <w:pPr>
        <w:spacing w:after="0" w:line="198"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Cloud Operations: Continued to expand overall GPU operations to meet robust AI infrastructure demand, while maintaining utilization above 90%. Strong capacity absorption across enterprise and AI-native customers reflects our effective resource allocation, growing customer engagement, and improving revenue visibility supported by a shift toward mid- to long-term contracts.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Recognition: Bitdeer AI’s inclusion in the latest SemiAnalysis GPU Cloud ClusterMAX™ Rating provides an important external benchmark of the platform’s development progress. The Bronze-tier recognition reflects initial validation of Bitdeer AI’s GPU cloud capabilities, including testing at its Malaysia site using NVIDIA GB200 NVL72 nodes, while also highlighting opportunities for continued advancement in orchestration, monitoring, reliability, and support as the Company scales larger GPU clusters.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deployments include: 2 units of GB300 delivered to our leased Malaysia datacenter at the end of April and 16 units of B300 delivered in the US in early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0" w:lineRule="exact"/>
        <w:rPr>
          <w:sz w:val="20"/>
          <w:szCs w:val="20"/>
          <w:color w:val="auto"/>
        </w:rPr>
      </w:pPr>
    </w:p>
    <w:p>
      <w:pPr>
        <w:ind w:firstLine="8"/>
        <w:spacing w:after="0" w:line="195" w:lineRule="auto"/>
        <w:tabs>
          <w:tab w:leader="none" w:pos="121"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Utilization Rate as of the last day of the respective month is calculated as the total number of GPUs under internal and external orders divided by the total number of deployed GPUs.</w:t>
      </w:r>
    </w:p>
    <w:p>
      <w:pPr>
        <w:spacing w:after="0" w:line="24" w:lineRule="exact"/>
        <w:rPr>
          <w:sz w:val="20"/>
          <w:szCs w:val="20"/>
          <w:color w:val="auto"/>
        </w:rPr>
      </w:pPr>
    </w:p>
    <w:p>
      <w:pPr>
        <w:ind w:firstLine="8"/>
        <w:spacing w:after="0" w:line="195" w:lineRule="auto"/>
        <w:tabs>
          <w:tab w:leader="none" w:pos="119"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ARR as of the last day of the respective month is calculated by multiplying the daily revenue generated from all contractually obligated GPU orders on that specific day by 365. This metric provides an annualized view of the revenue run-rate based on active contracts at the end of the reporting period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6140450</wp:posOffset>
            </wp:positionH>
            <wp:positionV relativeFrom="page">
              <wp:posOffset>448945</wp:posOffset>
            </wp:positionV>
            <wp:extent cx="1200150" cy="848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489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Infrastructure Summary:</w:t>
            </w: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(MW)</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Energization</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Planned</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Site</w:t>
            </w:r>
          </w:p>
        </w:tc>
        <w:tc>
          <w:tcPr>
            <w:tcW w:w="2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200" w:type="dxa"/>
            <w:vAlign w:val="bottom"/>
            <w:tcBorders>
              <w:bottom w:val="single" w:sz="8" w:color="auto"/>
            </w:tcBorders>
          </w:tcPr>
          <w:p>
            <w:pPr>
              <w:ind w:left="320"/>
              <w:spacing w:after="0" w:line="270" w:lineRule="exact"/>
              <w:rPr>
                <w:sz w:val="20"/>
                <w:szCs w:val="20"/>
                <w:color w:val="auto"/>
              </w:rPr>
            </w:pPr>
            <w:r>
              <w:rPr>
                <w:rFonts w:ascii="Times New Roman" w:cs="Times New Roman" w:eastAsia="Times New Roman" w:hAnsi="Times New Roman"/>
                <w:sz w:val="18"/>
                <w:szCs w:val="18"/>
                <w:b w:val="1"/>
                <w:bCs w:val="1"/>
                <w:color w:val="auto"/>
              </w:rPr>
              <w:t>Timing</w:t>
            </w:r>
            <w:r>
              <w:rPr>
                <w:rFonts w:ascii="Times New Roman" w:cs="Times New Roman" w:eastAsia="Times New Roman" w:hAnsi="Times New Roman"/>
                <w:sz w:val="29"/>
                <w:szCs w:val="29"/>
                <w:b w:val="1"/>
                <w:bCs w:val="1"/>
                <w:color w:val="auto"/>
                <w:vertAlign w:val="superscript"/>
              </w:rPr>
              <w:t>4</w:t>
            </w:r>
          </w:p>
        </w:tc>
        <w:tc>
          <w:tcPr>
            <w:tcW w:w="2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Usage</w:t>
            </w:r>
          </w:p>
        </w:tc>
        <w:tc>
          <w:tcPr>
            <w:tcW w:w="40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Construction Update</w:t>
            </w:r>
          </w:p>
        </w:tc>
        <w:tc>
          <w:tcPr>
            <w:tcW w:w="0" w:type="dxa"/>
            <w:vAlign w:val="bottom"/>
          </w:tcPr>
          <w:p>
            <w:pPr>
              <w:spacing w:after="0"/>
              <w:rPr>
                <w:sz w:val="1"/>
                <w:szCs w:val="1"/>
                <w:color w:val="auto"/>
              </w:rPr>
            </w:pPr>
          </w:p>
        </w:tc>
      </w:tr>
      <w:tr>
        <w:trPr>
          <w:trHeight w:val="23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Online Electrical Capacity:</w:t>
            </w: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Rockdale, TX</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563</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Colocation / AI</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active evaluation of AI transition</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Cloud</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Knoxville, TN – phase 1</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Q4 ‘26</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AI Cloud</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Phase 1  AI  data  center  conversion  design  work</w:t>
            </w: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Knoxville, TN – phase 2</w:t>
            </w:r>
          </w:p>
        </w:tc>
        <w:tc>
          <w:tcPr>
            <w:tcW w:w="13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49</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Q1 ‘27</w:t>
            </w: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initiated, targeting to complete by Q4 ‘26.</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22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Wenatchee, WA</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Q4 ‘26</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AI Cloud</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AI data center design documents and building permit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submitted for approval. Core equipment is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being delivered in succession; we plan to begin with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GB300 cluster. Dismantling of the crypto mining</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datacenter started in March 2026. Completion targeted</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Q4 ‘26.</w:t>
            </w: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Molde, Norway</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and in early</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assessment of converting to</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 Cloud</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Tydal, Norway – phase 1</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Q4 ‘26</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 to Colocation</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Planning and design continue to advance. Orders for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critical  long-lead  equipment  have  been  placed.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Engaged Data Center Installations AS as Bitdeer’s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design  and  construction  partner  for  Tydal  AI</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datacenter conversion</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Tydal, Norway – phase 2</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175</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Q4 ‘26</w:t>
            </w:r>
          </w:p>
        </w:tc>
        <w:tc>
          <w:tcPr>
            <w:tcW w:w="2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Gedu, Bhutan</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Jigmeling, Bhutan</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500</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Oromia Region, Ethiopia</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 of the 50 MW site has been completed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energized, with ongoing energization in phases</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driven by SEALMINER deliveries</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Massillon, OH</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121</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Crypto</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Cyberjaya, Malaysia5</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 Cloud</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Online Electrical Subtotal:</w:t>
            </w:r>
          </w:p>
        </w:tc>
        <w:tc>
          <w:tcPr>
            <w:tcW w:w="13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1,744</w:t>
            </w:r>
          </w:p>
        </w:tc>
        <w:tc>
          <w:tcPr>
            <w:tcW w:w="1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5"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for completion of power. All timing references are to calendar quarters and years</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Capacity under lease arrangement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6140450</wp:posOffset>
            </wp:positionH>
            <wp:positionV relativeFrom="page">
              <wp:posOffset>448945</wp:posOffset>
            </wp:positionV>
            <wp:extent cx="1200150" cy="848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489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Pipeline Electrical Capacity:</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Massilon, OH</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 / 26</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Q3 ‘26</w:t>
            </w:r>
          </w:p>
        </w:tc>
        <w:tc>
          <w:tcPr>
            <w:tcW w:w="2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Crypto</w:t>
            </w: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Due to delivery delays for key electrical components,</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74 MW is expected to be energized in phases during</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Q3  ‘26.  Reconstruction  of  the  two  fire-damaged</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buildings  (26MW)  is  currently  underway  and</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9"/>
              </w:rPr>
              <w:t>expected to be rebuilt and energized by the end of Q3’</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98"/>
              </w:rPr>
              <w:t>26. We anticipate that the total reconstruction cost will</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be  almost  fully  recovered  through  the  supplier’s</w:t>
            </w:r>
          </w:p>
        </w:tc>
      </w:tr>
      <w:tr>
        <w:trPr>
          <w:trHeight w:val="234"/>
        </w:trPr>
        <w:tc>
          <w:tcPr>
            <w:tcW w:w="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insurance coverage.</w:t>
            </w: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Clarington, OH</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570</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 be</w:t>
            </w:r>
          </w:p>
        </w:tc>
        <w:tc>
          <w:tcPr>
            <w:tcW w:w="2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Colocation</w:t>
            </w: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570 MW of power under contract with a local utility.</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updated</w:t>
            </w: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Timing of power availability and construction may be</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affected by ongoing legal proceedings filed by a</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neighboring  company,  American  Heavy  Plate</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Solutions, LLC., which is under extensive influence</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from MHR, a New York based PE firm founded by</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Mark H. Rachesky. Design and other preparation</w:t>
            </w:r>
          </w:p>
        </w:tc>
      </w:tr>
      <w:tr>
        <w:trPr>
          <w:trHeight w:val="234"/>
        </w:trPr>
        <w:tc>
          <w:tcPr>
            <w:tcW w:w="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 continues.</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Niles, OH</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300</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Q4 ‘28</w:t>
            </w:r>
          </w:p>
        </w:tc>
        <w:tc>
          <w:tcPr>
            <w:tcW w:w="2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Colocation / AI Cloud</w:t>
            </w: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300 MW grid-interconnected development site, with</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target energization in Q4 ‘28. The project includes</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41.8 acres of owned land and a transmission line</w:t>
            </w:r>
          </w:p>
        </w:tc>
      </w:tr>
      <w:tr>
        <w:trPr>
          <w:trHeight w:val="234"/>
        </w:trPr>
        <w:tc>
          <w:tcPr>
            <w:tcW w:w="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extension agreement with a local utility company</w:t>
            </w: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Rockdale, TX</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179</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2026</w:t>
            </w:r>
          </w:p>
        </w:tc>
        <w:tc>
          <w:tcPr>
            <w:tcW w:w="2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Colocation / AI Cloud</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Planning</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Fox Creek, Alberta, Canada</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Q2 ‘27</w:t>
            </w:r>
          </w:p>
        </w:tc>
        <w:tc>
          <w:tcPr>
            <w:tcW w:w="2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Crypto</w:t>
            </w: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101 MW site acquired, fully licensed and permitted</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1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for the construction of an on-site natural gas power</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plant.  Assessing</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potential  to</w:t>
            </w:r>
          </w:p>
        </w:tc>
      </w:tr>
      <w:tr>
        <w:trPr>
          <w:trHeight w:val="216"/>
        </w:trPr>
        <w:tc>
          <w:tcPr>
            <w:tcW w:w="2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accommodate</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future</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AIDC</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requirements.</w:t>
            </w:r>
          </w:p>
        </w:tc>
      </w:tr>
      <w:tr>
        <w:trPr>
          <w:trHeight w:val="234"/>
        </w:trPr>
        <w:tc>
          <w:tcPr>
            <w:tcW w:w="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1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Groundbreaking planned for June 2026.</w:t>
            </w:r>
          </w:p>
        </w:tc>
        <w:tc>
          <w:tcPr>
            <w:tcW w:w="1020" w:type="dxa"/>
            <w:vAlign w:val="bottom"/>
          </w:tcPr>
          <w:p>
            <w:pPr>
              <w:spacing w:after="0"/>
              <w:rPr>
                <w:sz w:val="20"/>
                <w:szCs w:val="20"/>
                <w:color w:val="auto"/>
              </w:rPr>
            </w:pPr>
          </w:p>
        </w:tc>
      </w:tr>
      <w:tr>
        <w:trPr>
          <w:trHeight w:val="595"/>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Cyberjaya, Malaysia</w:t>
            </w:r>
            <w:r>
              <w:rPr>
                <w:rFonts w:ascii="Times New Roman" w:cs="Times New Roman" w:eastAsia="Times New Roman" w:hAnsi="Times New Roman"/>
                <w:sz w:val="29"/>
                <w:szCs w:val="29"/>
                <w:color w:val="auto"/>
                <w:vertAlign w:val="superscript"/>
              </w:rPr>
              <w:t>10</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9.5</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Q4 ‘26</w:t>
            </w:r>
          </w:p>
        </w:tc>
        <w:tc>
          <w:tcPr>
            <w:tcW w:w="2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AI Cloud</w:t>
            </w:r>
          </w:p>
        </w:tc>
        <w:tc>
          <w:tcPr>
            <w:tcW w:w="1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Progress</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Pipeline Electrical Subtotal:</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1,259.5</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3,003.5</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55"/>
        </w:trPr>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6140450</wp:posOffset>
            </wp:positionH>
            <wp:positionV relativeFrom="page">
              <wp:posOffset>448945</wp:posOffset>
            </wp:positionV>
            <wp:extent cx="1200150" cy="848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4899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May 18, 2026: </w:t>
      </w:r>
      <w:r>
        <w:rPr>
          <w:rFonts w:ascii="Times New Roman" w:cs="Times New Roman" w:eastAsia="Times New Roman" w:hAnsi="Times New Roman"/>
          <w:sz w:val="18"/>
          <w:szCs w:val="18"/>
          <w:color w:val="auto"/>
        </w:rPr>
        <w:t>Goldman Sachs Asia Communacopia + Technology Conference – Hong Kong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May 21, 2026: </w:t>
      </w:r>
      <w:r>
        <w:rPr>
          <w:rFonts w:ascii="Times New Roman" w:cs="Times New Roman" w:eastAsia="Times New Roman" w:hAnsi="Times New Roman"/>
          <w:sz w:val="18"/>
          <w:szCs w:val="18"/>
          <w:color w:val="auto"/>
        </w:rPr>
        <w:t>B. Riley Securities 26th Annual Investor Conference – Marina del Rey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May 27, 2026: </w:t>
      </w:r>
      <w:r>
        <w:rPr>
          <w:rFonts w:ascii="Times New Roman" w:cs="Times New Roman" w:eastAsia="Times New Roman" w:hAnsi="Times New Roman"/>
          <w:sz w:val="18"/>
          <w:szCs w:val="18"/>
          <w:color w:val="auto"/>
        </w:rPr>
        <w:t>Benchmark / StoneX Digital Asset Summit – New York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2, 2026: </w:t>
      </w:r>
      <w:r>
        <w:rPr>
          <w:rFonts w:ascii="Times New Roman" w:cs="Times New Roman" w:eastAsia="Times New Roman" w:hAnsi="Times New Roman"/>
          <w:sz w:val="18"/>
          <w:szCs w:val="18"/>
          <w:color w:val="auto"/>
        </w:rPr>
        <w:t>Evercore TMT Global Conference – San Francisco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3, 2026: </w:t>
      </w:r>
      <w:r>
        <w:rPr>
          <w:rFonts w:ascii="Times New Roman" w:cs="Times New Roman" w:eastAsia="Times New Roman" w:hAnsi="Times New Roman"/>
          <w:sz w:val="18"/>
          <w:szCs w:val="18"/>
          <w:color w:val="auto"/>
        </w:rPr>
        <w:t>BofA Securities Global Technology Conference – San Francisco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15-19, 2026: </w:t>
      </w:r>
      <w:r>
        <w:rPr>
          <w:rFonts w:ascii="Times New Roman" w:cs="Times New Roman" w:eastAsia="Times New Roman" w:hAnsi="Times New Roman"/>
          <w:sz w:val="18"/>
          <w:szCs w:val="18"/>
          <w:color w:val="auto"/>
        </w:rPr>
        <w:t>Morgan Stanley Europe NDR – London, Paris, Geneva, Zurich, Frankfurt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18, 2026: </w:t>
      </w:r>
      <w:r>
        <w:rPr>
          <w:rFonts w:ascii="Times New Roman" w:cs="Times New Roman" w:eastAsia="Times New Roman" w:hAnsi="Times New Roman"/>
          <w:sz w:val="18"/>
          <w:szCs w:val="18"/>
          <w:color w:val="auto"/>
        </w:rPr>
        <w:t>Roth London Conference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June 23, 2026: </w:t>
      </w:r>
      <w:r>
        <w:rPr>
          <w:rFonts w:ascii="Times New Roman" w:cs="Times New Roman" w:eastAsia="Times New Roman" w:hAnsi="Times New Roman"/>
          <w:sz w:val="18"/>
          <w:szCs w:val="18"/>
          <w:color w:val="auto"/>
        </w:rPr>
        <w:t>Northland Capital Markets Growth Conference - Virtual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and Ethiopia. To learn more, visit https://ir.bitdeer.com/ or follow Bitdeer on X@Bitdeer and LinkedIn @Bitdeer.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 Dahya,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tesh.dahya@bitdeer.com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5"/>
      <w:numFmt w:val="bullet"/>
      <w:start w:val="1"/>
    </w:lvl>
  </w:abstractNum>
  <w:abstractNum w:abstractNumId="7">
    <w:nsid w:val="1F16E9E8"/>
    <w:multiLevelType w:val="hybridMultilevel"/>
    <w:lvl w:ilvl="0">
      <w:lvlJc w:val="left"/>
      <w:lvlText w:val="6"/>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2"/>
      <w:numFmt w:val="bullet"/>
      <w:start w:val="1"/>
    </w:lvl>
  </w:abstractNum>
  <w:abstractNum w:abstractNumId="11">
    <w:nsid w:val="3352255A"/>
    <w:multiLevelType w:val="hybridMultilevel"/>
    <w:lvl w:ilvl="0">
      <w:lvlJc w:val="left"/>
      <w:lvlText w:val="3"/>
      <w:numFmt w:val="bullet"/>
      <w:start w:val="1"/>
    </w:lvl>
  </w:abstractNum>
  <w:abstractNum w:abstractNumId="12">
    <w:nsid w:val="109CF92E"/>
    <w:multiLevelType w:val="hybridMultilevel"/>
    <w:lvl w:ilvl="0">
      <w:lvlJc w:val="left"/>
      <w:lvlText w:val="4"/>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2026-05-12T07:12:43Z</dcterms:created>
  <dcterms:modified xsi:type="dcterms:W3CDTF">2026-05-12T07:12:43Z</dcterms:modified>
</cp:coreProperties>
</file>