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333-283732</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Preliminary Prospectus Supplement, dated November 12,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10,661,140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156845</wp:posOffset>
            </wp:positionV>
            <wp:extent cx="194564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564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no. 1 (this “prospectus supplement”) amends and supplements our preliminary prospectus supplement, dated November 12, 2025 (the “preliminary prospectus supplement”), which is in respect of our offering (the “Class A ordinary shares offering”) of our Class A ordinary shares, par value US$0.0000001 per share (the “Class A ordinary shares”), and supplements our prospectus, dated December 18, 2024 (the “base prospectus” and as supplemented by the preliminary prospectus supplement, the “preliminary prospectus”), that forms a part of our Registration Statement on Form S-3 (Registration Statement No. 333-283732). This prospectus supplement is being filed to update and supplement the preliminary prospectus with pricing terms for the Class A ordinary shares offering and certain other material information with respect to our concurrent notes transactions referred to in the preliminary prospectus. Accordingly, we have attached such pricing terms and other material information in a term sheet attached to this prospectus supplement. Terms used but not defined in this prospectus supplement have the respective meanings as set forth in the preliminary prospectus.</w:t>
      </w:r>
    </w:p>
    <w:p>
      <w:pPr>
        <w:spacing w:after="0" w:line="19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preliminary prospectus and is not complete without, and may not be delivered or utilized except in combination with, the preliminary prospectus, including the documents incorporated by reference therein and any amendments or supplements thereto. This prospectus supplement should be read in conjunction with the preliminary prospectus and if there is any inconsistency between the information in the preliminary prospectus and this prospectus supplement, you should rely on the information in this prospectus supplement.</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(“Nasdaq”) under the symbol “BTDR.” On November 12, 2025, the last reported sales price of our Class A ordinary shares was US$13.94 per share.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our Class A ordinary shares involves a high degree of risk. See “Risk Factors” beginning on page S-7 of the preliminary prospectus supplement and in our U.S. Securities and Exchange Commission (“SEC”) filings that are incorporated by reference into the preliminary prospectus supplement.</w:t>
      </w:r>
    </w:p>
    <w:p>
      <w:pPr>
        <w:spacing w:after="0" w:line="17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None of the SEC or any state securities commission has approved or disapproved of the securities or passed upon the adequacy or accuracy of this prospectus supplement or the preliminary prospectus. Any representation to the contrary is a criminal offense.</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Barclays</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No. 1 is November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DATED NOVEMBER 12,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438" w:lineRule="exact"/>
        <w:rPr>
          <w:sz w:val="20"/>
          <w:szCs w:val="20"/>
          <w:color w:val="auto"/>
        </w:rPr>
      </w:pPr>
    </w:p>
    <w:p>
      <w:pPr>
        <w:sectPr>
          <w:pgSz w:w="11900" w:h="16838" w:orient="portrait"/>
          <w:cols w:equalWidth="0" w:num="2">
            <w:col w:w="9120" w:space="720"/>
            <w:col w:w="1400"/>
          </w:cols>
          <w:pgMar w:left="320" w:top="900" w:right="339" w:bottom="559" w:gutter="0" w:footer="0" w:header="0"/>
        </w:sectPr>
      </w:pP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Offering of 10,661,140 Class A Ordinary Shares</w:t>
      </w:r>
    </w:p>
    <w:p>
      <w:pPr>
        <w:sectPr>
          <w:pgSz w:w="11900" w:h="16838" w:orient="portrait"/>
          <w:cols w:equalWidth="0" w:num="1">
            <w:col w:w="11240"/>
          </w:cols>
          <w:pgMar w:left="320" w:top="900" w:right="339" w:bottom="559" w:gutter="0" w:footer="0" w:header="0"/>
          <w:type w:val="continuous"/>
        </w:sectPr>
      </w:pP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supplements Bitdeer Technologies Group’s preliminary prospectus supplement, dated November 12, 2025 (the “preliminary prospectus supplement”), including the documents incorporated by reference therein, which is in respect of our offering (the “Class A ordinary shares offering”) of our Clas A ordinary shares, par value US$0.0000001 per share (the “Class A ordinary shares”), and supplements our prospectus, dated December 18, 2024 (the “base prospectus” and, as supplemented by the preliminary prospectus supplement, the “preliminary prospectus”), that forms a part of our Registration Statement on Form S-3 (Registration Statement No. 333-283732). The information in this communication supersedes the information in the preliminary prospectus to the extent inconsistent with the information in the preliminary prospectus. Terms used herein but not defined herein shall have the respective meanings as set forth in the preliminary prospectus. All references to dollar amounts are references to U.S. dollars. References to “we,” “our” and “us” refer to Bitdeer Technologies Group and not to its subsidiaries.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Bitdeer Technologies Group, a Cayman Islands exempted company</w:t>
            </w: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Ticker / Exchange for Class A ordinary shares</w:t>
            </w:r>
            <w:r>
              <w:rPr>
                <w:rFonts w:ascii="Times New Roman" w:cs="Times New Roman" w:eastAsia="Times New Roman" w:hAnsi="Times New Roman"/>
                <w:sz w:val="18"/>
                <w:szCs w:val="18"/>
                <w:color w:val="auto"/>
              </w:rPr>
              <w:t>:</w:t>
            </w:r>
          </w:p>
        </w:tc>
        <w:tc>
          <w:tcPr>
            <w:tcW w:w="42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BTDR / Nasdaq Capital Market (“Nasdaq”)</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Shares Offered</w:t>
            </w:r>
            <w:r>
              <w:rPr>
                <w:rFonts w:ascii="Times New Roman" w:cs="Times New Roman" w:eastAsia="Times New Roman" w:hAnsi="Times New Roman"/>
                <w:sz w:val="18"/>
                <w:szCs w:val="18"/>
                <w:color w:val="auto"/>
              </w:rPr>
              <w:t>:</w:t>
            </w:r>
          </w:p>
        </w:tc>
        <w:tc>
          <w:tcPr>
            <w:tcW w:w="42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10,661,140 Class A ordinary shares</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r>
              <w:rPr>
                <w:rFonts w:ascii="Times New Roman" w:cs="Times New Roman" w:eastAsia="Times New Roman" w:hAnsi="Times New Roman"/>
                <w:sz w:val="18"/>
                <w:szCs w:val="18"/>
                <w:color w:val="auto"/>
              </w:rPr>
              <w:t>:</w:t>
            </w:r>
          </w:p>
        </w:tc>
        <w:tc>
          <w:tcPr>
            <w:tcW w:w="2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November 13, 2025</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95"/>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w:t>
            </w:r>
          </w:p>
        </w:tc>
        <w:tc>
          <w:tcPr>
            <w:tcW w:w="2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November 19, 2025 (T+4)</w:t>
            </w:r>
            <w:r>
              <w:rPr>
                <w:rFonts w:ascii="Times New Roman" w:cs="Times New Roman" w:eastAsia="Times New Roman" w:hAnsi="Times New Roman"/>
                <w:sz w:val="29"/>
                <w:szCs w:val="29"/>
                <w:color w:val="auto"/>
                <w:vertAlign w:val="superscript"/>
              </w:rPr>
              <w:t>1</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7"/>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Last Reported Sale Price of Class A ordinary shares on</w:t>
            </w:r>
          </w:p>
        </w:tc>
        <w:tc>
          <w:tcPr>
            <w:tcW w:w="2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$13.94 per Class A ordinary share</w:t>
            </w: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November 12, 2025</w:t>
            </w: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Price</w:t>
            </w:r>
            <w:r>
              <w:rPr>
                <w:rFonts w:ascii="Times New Roman" w:cs="Times New Roman" w:eastAsia="Times New Roman" w:hAnsi="Times New Roman"/>
                <w:sz w:val="18"/>
                <w:szCs w:val="18"/>
                <w:color w:val="auto"/>
              </w:rPr>
              <w:t>:</w:t>
            </w:r>
          </w:p>
        </w:tc>
        <w:tc>
          <w:tcPr>
            <w:tcW w:w="2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$13.94 per Class A ordinary share</w:t>
            </w: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We estimate that the net proceeds from the offering of our Class A ordinary</w:t>
            </w:r>
          </w:p>
        </w:tc>
      </w:tr>
      <w:tr>
        <w:trPr>
          <w:trHeight w:val="216"/>
        </w:trPr>
        <w:tc>
          <w:tcPr>
            <w:tcW w:w="5240" w:type="dxa"/>
            <w:vAlign w:val="bottom"/>
          </w:tcPr>
          <w:p>
            <w:pPr>
              <w:spacing w:after="0"/>
              <w:rPr>
                <w:sz w:val="18"/>
                <w:szCs w:val="18"/>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w w:val="99"/>
              </w:rPr>
              <w:t>shares will be approximately US$148.4 million, after deducting our estimated</w:t>
            </w:r>
          </w:p>
        </w:tc>
      </w:tr>
      <w:tr>
        <w:trPr>
          <w:trHeight w:val="216"/>
        </w:trPr>
        <w:tc>
          <w:tcPr>
            <w:tcW w:w="5240" w:type="dxa"/>
            <w:vAlign w:val="bottom"/>
          </w:tcPr>
          <w:p>
            <w:pPr>
              <w:spacing w:after="0"/>
              <w:rPr>
                <w:sz w:val="18"/>
                <w:szCs w:val="18"/>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offering expenses payable by us. We estimate that the net proceeds from the</w:t>
            </w:r>
          </w:p>
        </w:tc>
      </w:tr>
      <w:tr>
        <w:trPr>
          <w:trHeight w:val="216"/>
        </w:trPr>
        <w:tc>
          <w:tcPr>
            <w:tcW w:w="5240" w:type="dxa"/>
            <w:vAlign w:val="bottom"/>
          </w:tcPr>
          <w:p>
            <w:pPr>
              <w:spacing w:after="0"/>
              <w:rPr>
                <w:sz w:val="18"/>
                <w:szCs w:val="18"/>
                <w:color w:val="auto"/>
              </w:rPr>
            </w:pPr>
          </w:p>
        </w:tc>
        <w:tc>
          <w:tcPr>
            <w:tcW w:w="1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Concurrent</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  Offering</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below)</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will  be</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approximately</w:t>
            </w:r>
          </w:p>
        </w:tc>
      </w:tr>
      <w:tr>
        <w:trPr>
          <w:trHeight w:val="216"/>
        </w:trPr>
        <w:tc>
          <w:tcPr>
            <w:tcW w:w="5240" w:type="dxa"/>
            <w:vAlign w:val="bottom"/>
          </w:tcPr>
          <w:p>
            <w:pPr>
              <w:spacing w:after="0"/>
              <w:rPr>
                <w:sz w:val="18"/>
                <w:szCs w:val="18"/>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US$388.0  million  (or  approximately  US$446.4  million  if  the  initial</w:t>
            </w:r>
          </w:p>
        </w:tc>
      </w:tr>
      <w:tr>
        <w:trPr>
          <w:trHeight w:val="216"/>
        </w:trPr>
        <w:tc>
          <w:tcPr>
            <w:tcW w:w="5240" w:type="dxa"/>
            <w:vAlign w:val="bottom"/>
          </w:tcPr>
          <w:p>
            <w:pPr>
              <w:spacing w:after="0"/>
              <w:rPr>
                <w:sz w:val="18"/>
                <w:szCs w:val="18"/>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purchasers in the Concurrent Note Offering exercise their option to purchase</w:t>
            </w:r>
          </w:p>
        </w:tc>
      </w:tr>
      <w:tr>
        <w:trPr>
          <w:trHeight w:val="216"/>
        </w:trPr>
        <w:tc>
          <w:tcPr>
            <w:tcW w:w="5240" w:type="dxa"/>
            <w:vAlign w:val="bottom"/>
          </w:tcPr>
          <w:p>
            <w:pPr>
              <w:spacing w:after="0"/>
              <w:rPr>
                <w:sz w:val="18"/>
                <w:szCs w:val="18"/>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additional New Convertible Notes in full), after deducting initial purchasers’</w:t>
            </w:r>
          </w:p>
        </w:tc>
      </w:tr>
      <w:tr>
        <w:trPr>
          <w:trHeight w:val="234"/>
        </w:trPr>
        <w:tc>
          <w:tcPr>
            <w:tcW w:w="5240" w:type="dxa"/>
            <w:vAlign w:val="bottom"/>
          </w:tcPr>
          <w:p>
            <w:pPr>
              <w:spacing w:after="0"/>
              <w:rPr>
                <w:sz w:val="20"/>
                <w:szCs w:val="20"/>
                <w:color w:val="auto"/>
              </w:rPr>
            </w:pPr>
          </w:p>
        </w:tc>
        <w:tc>
          <w:tcPr>
            <w:tcW w:w="48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discounts and estimated offering expenses payable by us.</w:t>
            </w:r>
          </w:p>
        </w:tc>
        <w:tc>
          <w:tcPr>
            <w:tcW w:w="1120" w:type="dxa"/>
            <w:vAlign w:val="bottom"/>
          </w:tcPr>
          <w:p>
            <w:pPr>
              <w:spacing w:after="0"/>
              <w:rPr>
                <w:sz w:val="20"/>
                <w:szCs w:val="20"/>
                <w:color w:val="auto"/>
              </w:rPr>
            </w:pPr>
          </w:p>
        </w:tc>
      </w:tr>
      <w:tr>
        <w:trPr>
          <w:trHeight w:val="414"/>
        </w:trPr>
        <w:tc>
          <w:tcPr>
            <w:tcW w:w="5240" w:type="dxa"/>
            <w:vAlign w:val="bottom"/>
          </w:tcPr>
          <w:p>
            <w:pPr>
              <w:spacing w:after="0"/>
              <w:rPr>
                <w:sz w:val="24"/>
                <w:szCs w:val="24"/>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We intend to use the net proceeds from this offering and the Concurrent Note</w:t>
            </w:r>
          </w:p>
        </w:tc>
      </w:tr>
      <w:tr>
        <w:trPr>
          <w:trHeight w:val="216"/>
        </w:trPr>
        <w:tc>
          <w:tcPr>
            <w:tcW w:w="5240" w:type="dxa"/>
            <w:vAlign w:val="bottom"/>
          </w:tcPr>
          <w:p>
            <w:pPr>
              <w:spacing w:after="0"/>
              <w:rPr>
                <w:sz w:val="18"/>
                <w:szCs w:val="18"/>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Offering: (i) to pay the approximately US$35.4 million cost of the capped</w:t>
            </w:r>
          </w:p>
        </w:tc>
      </w:tr>
      <w:tr>
        <w:trPr>
          <w:trHeight w:val="216"/>
        </w:trPr>
        <w:tc>
          <w:tcPr>
            <w:tcW w:w="5240" w:type="dxa"/>
            <w:vAlign w:val="bottom"/>
          </w:tcPr>
          <w:p>
            <w:pPr>
              <w:spacing w:after="0"/>
              <w:rPr>
                <w:sz w:val="18"/>
                <w:szCs w:val="18"/>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call transactions referred to in the preliminary prospectus that we entered into</w:t>
            </w:r>
          </w:p>
        </w:tc>
      </w:tr>
      <w:tr>
        <w:trPr>
          <w:trHeight w:val="216"/>
        </w:trPr>
        <w:tc>
          <w:tcPr>
            <w:tcW w:w="5240" w:type="dxa"/>
            <w:vAlign w:val="bottom"/>
          </w:tcPr>
          <w:p>
            <w:pPr>
              <w:spacing w:after="0"/>
              <w:rPr>
                <w:sz w:val="18"/>
                <w:szCs w:val="18"/>
                <w:color w:val="auto"/>
              </w:rPr>
            </w:pPr>
          </w:p>
        </w:tc>
        <w:tc>
          <w:tcPr>
            <w:tcW w:w="1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with  the</w:t>
            </w:r>
          </w:p>
        </w:tc>
        <w:tc>
          <w:tcPr>
            <w:tcW w:w="3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option  counterparties;  and  (ii)  to  pay  the</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approximately</w:t>
            </w:r>
          </w:p>
        </w:tc>
      </w:tr>
      <w:tr>
        <w:trPr>
          <w:trHeight w:val="216"/>
        </w:trPr>
        <w:tc>
          <w:tcPr>
            <w:tcW w:w="5240" w:type="dxa"/>
            <w:vAlign w:val="bottom"/>
          </w:tcPr>
          <w:p>
            <w:pPr>
              <w:spacing w:after="0"/>
              <w:rPr>
                <w:sz w:val="18"/>
                <w:szCs w:val="18"/>
                <w:color w:val="auto"/>
              </w:rPr>
            </w:pPr>
          </w:p>
        </w:tc>
        <w:tc>
          <w:tcPr>
            <w:tcW w:w="1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US$267.9</w:t>
            </w: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million  cost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repurchasing  for</w:t>
            </w:r>
          </w:p>
        </w:tc>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approximately</w:t>
            </w:r>
          </w:p>
        </w:tc>
      </w:tr>
      <w:tr>
        <w:trPr>
          <w:trHeight w:val="216"/>
        </w:trPr>
        <w:tc>
          <w:tcPr>
            <w:tcW w:w="5240" w:type="dxa"/>
            <w:vAlign w:val="bottom"/>
          </w:tcPr>
          <w:p>
            <w:pPr>
              <w:spacing w:after="0"/>
              <w:rPr>
                <w:sz w:val="18"/>
                <w:szCs w:val="18"/>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US$200.0 million aggregate principal amount of the November 2029 notes in</w:t>
            </w:r>
          </w:p>
        </w:tc>
      </w:tr>
      <w:tr>
        <w:trPr>
          <w:trHeight w:val="216"/>
        </w:trPr>
        <w:tc>
          <w:tcPr>
            <w:tcW w:w="5240" w:type="dxa"/>
            <w:vAlign w:val="bottom"/>
          </w:tcPr>
          <w:p>
            <w:pPr>
              <w:spacing w:after="0"/>
              <w:rPr>
                <w:sz w:val="18"/>
                <w:szCs w:val="18"/>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the Concurrent Note Repurchases. We intend to use the remaining net</w:t>
            </w:r>
          </w:p>
        </w:tc>
      </w:tr>
      <w:tr>
        <w:trPr>
          <w:trHeight w:val="234"/>
        </w:trPr>
        <w:tc>
          <w:tcPr>
            <w:tcW w:w="5240" w:type="dxa"/>
            <w:vAlign w:val="bottom"/>
          </w:tcPr>
          <w:p>
            <w:pPr>
              <w:spacing w:after="0"/>
              <w:rPr>
                <w:sz w:val="20"/>
                <w:szCs w:val="20"/>
                <w:color w:val="auto"/>
              </w:rPr>
            </w:pPr>
          </w:p>
        </w:tc>
        <w:tc>
          <w:tcPr>
            <w:tcW w:w="600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proceeds from this offering and the Concurrent Note Offering for datacenter</w:t>
            </w:r>
          </w:p>
        </w:tc>
      </w:tr>
    </w:tbl>
    <w:p>
      <w:pPr>
        <w:ind w:left="5620"/>
        <w:spacing w:after="0"/>
        <w:rPr>
          <w:sz w:val="20"/>
          <w:szCs w:val="20"/>
          <w:color w:val="auto"/>
        </w:rPr>
      </w:pPr>
      <w:r>
        <w:rPr>
          <w:rFonts w:ascii="Times New Roman" w:cs="Times New Roman" w:eastAsia="Times New Roman" w:hAnsi="Times New Roman"/>
          <w:sz w:val="18"/>
          <w:szCs w:val="18"/>
          <w:color w:val="auto"/>
        </w:rPr>
        <w:t>expansion, ASIC-based mining rig development and manufacture, expansion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 our HPC and AI cloud business, as well as working capital and other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corporate purposes.</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the initial purchasers in the Concurrent Note Offering exercise their option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 purchase additional New Convertible Notes (as defined below), we intend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 use net proceeds from the sale of the additional New Convertible Notes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enter into additional capped call transactions with the option counterparties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the remaining net proceeds for datacenter expansion, ASIC-based mining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rig development and manufacture, expansion of our HPC and AI cloud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business, as well as working capital and other general corporate purposes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described above.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See  “Use  of  Proceeds”  in  the  preliminary  prospectus  for  additional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4" w:lineRule="exact"/>
        <w:rPr>
          <w:sz w:val="20"/>
          <w:szCs w:val="20"/>
          <w:color w:val="auto"/>
        </w:rPr>
      </w:pPr>
    </w:p>
    <w:p>
      <w:pPr>
        <w:jc w:val="both"/>
        <w:ind w:left="340" w:hanging="332"/>
        <w:spacing w:after="0" w:line="224"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Under Rule 15c6-1 under the Securities Exchange Act of 1934, as amended (the “Exchange Act”), trades in the secondary market generally are required to settle in one business day, unless the parties to any such trade expressly agree otherwise. Accordingly, purchasers who wish to trade the Class A ordinary shares prior to the business day preceding the settlement date will be required, by virtue of the fact that the notes initially will settle T+4, to specify an alternate settlement cycle at the time of any such trade to prevent a failed settlement. Purchasers of the Class A ordinary shares who wish to trade the shares prior to the business day preceding the settlement date should consult their own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55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Concurrent Convertible Notes Offering</w:t>
            </w:r>
            <w:r>
              <w:rPr>
                <w:rFonts w:ascii="Times New Roman" w:cs="Times New Roman" w:eastAsia="Times New Roman" w:hAnsi="Times New Roman"/>
                <w:sz w:val="18"/>
                <w:szCs w:val="18"/>
                <w:color w:val="auto"/>
              </w:rPr>
              <w:t>:</w:t>
            </w: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Concurrently with the offering of Class A ordinary shares, we are offering</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“Concurrent  Note  Offering”)  US$400,000,000  aggregate  principal</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amount of 4.00% convertible senior notes due 2031 (the “New Convertible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Notes”) (or up to US$460,000,000 aggregate principal amount of New</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Convertible Notes if the initial purchasers in such offering exercise in full</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their option to purchase additional New Convertible Notes). The Concurrent</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Note Offering is being made pursuant to a confidential offering memorandum</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(and not pursuant to the prospectus supplement or this pricing term sheet)</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only to persons reasonably believed to be qualified institutional buyers (as</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defined in Rule 144A under the Securities Act) in transactions that are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exempt from the registration and prospectus-delivery requirements of the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Securities Act. The prospectus supplement and this pricing term sheet do not</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constitute an offer to sell, or the solicitation of an offer to buy, any of the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New Convertible Notes, or the Class A ordinary shares, if any, issuable upon</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conversion of the New Convertible Notes. The completion of the offering of</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Class A ordinary shares is contingent on the completion of the Concurrent</w:t>
            </w:r>
          </w:p>
        </w:tc>
      </w:tr>
      <w:tr>
        <w:trPr>
          <w:trHeight w:val="234"/>
        </w:trPr>
        <w:tc>
          <w:tcPr>
            <w:tcW w:w="4480" w:type="dxa"/>
            <w:vAlign w:val="bottom"/>
          </w:tcPr>
          <w:p>
            <w:pPr>
              <w:spacing w:after="0"/>
              <w:rPr>
                <w:sz w:val="20"/>
                <w:szCs w:val="20"/>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 Offering.</w:t>
            </w:r>
          </w:p>
        </w:tc>
      </w:tr>
      <w:tr>
        <w:trPr>
          <w:trHeight w:val="414"/>
        </w:trPr>
        <w:tc>
          <w:tcPr>
            <w:tcW w:w="4480" w:type="dxa"/>
            <w:vAlign w:val="bottom"/>
          </w:tcPr>
          <w:p>
            <w:pPr>
              <w:spacing w:after="0"/>
              <w:rPr>
                <w:sz w:val="24"/>
                <w:szCs w:val="24"/>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Subject to satisfaction of certain conditions and during certain periods, the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New Convertible Notes may be converted at an initial conversion rate of</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56.2635 Class A ordinary shares per US$1,000 principal amount of New</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Convertible Notes (equivalent to an initial conversion price of approximately</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US$17.77 per Class A ordinary share). The conversion rate is subject to</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adjustment if certain events occur. Notwithstanding anything to the contrary,</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 no event will the conversion rate be increased to an amount that exceeds</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71.7360 Class A ordinary shares per $1,000 principal amount of New</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Convertible Notes, which amount is subject to adjustment in the same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manner as, and at the same time and for the same events for which, the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conversion rate is required to be adjusted pursuant to the indenture governing</w:t>
            </w:r>
          </w:p>
        </w:tc>
      </w:tr>
      <w:tr>
        <w:trPr>
          <w:trHeight w:val="234"/>
        </w:trPr>
        <w:tc>
          <w:tcPr>
            <w:tcW w:w="4480" w:type="dxa"/>
            <w:vAlign w:val="bottom"/>
          </w:tcPr>
          <w:p>
            <w:pPr>
              <w:spacing w:after="0"/>
              <w:rPr>
                <w:sz w:val="20"/>
                <w:szCs w:val="20"/>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notes.</w:t>
            </w:r>
          </w:p>
        </w:tc>
      </w:tr>
      <w:tr>
        <w:trPr>
          <w:trHeight w:val="414"/>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Concurrent Note Repurchase Transactions</w:t>
            </w:r>
            <w:r>
              <w:rPr>
                <w:rFonts w:ascii="Times New Roman" w:cs="Times New Roman" w:eastAsia="Times New Roman" w:hAnsi="Times New Roman"/>
                <w:sz w:val="18"/>
                <w:szCs w:val="18"/>
                <w:color w:val="auto"/>
              </w:rPr>
              <w:t>:</w:t>
            </w: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Concurrently with the offering of Class A ordinary shares, we entered into</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privately negotiated transactions with certain holders of our November 2029</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notes to repurchase for cash approximately US$200.0 million in aggregate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principal amount of the November 2029 notes for approximately US$267.9</w:t>
            </w:r>
          </w:p>
        </w:tc>
      </w:tr>
      <w:tr>
        <w:trPr>
          <w:trHeight w:val="234"/>
        </w:trPr>
        <w:tc>
          <w:tcPr>
            <w:tcW w:w="4480" w:type="dxa"/>
            <w:vAlign w:val="bottom"/>
          </w:tcPr>
          <w:p>
            <w:pPr>
              <w:spacing w:after="0"/>
              <w:rPr>
                <w:sz w:val="20"/>
                <w:szCs w:val="20"/>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million (including accrued and unpaid interest).</w:t>
            </w:r>
          </w:p>
        </w:tc>
      </w:tr>
      <w:tr>
        <w:trPr>
          <w:trHeight w:val="414"/>
        </w:trPr>
        <w:tc>
          <w:tcPr>
            <w:tcW w:w="4480" w:type="dxa"/>
            <w:vAlign w:val="bottom"/>
          </w:tcPr>
          <w:p>
            <w:pPr>
              <w:spacing w:after="0"/>
              <w:rPr>
                <w:sz w:val="24"/>
                <w:szCs w:val="24"/>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 connection with the concurrent note repurchase transactions, we expect</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that holders of the November 2029 notes who have agreed to have their</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November 2029 notes repurchased and who have hedged their equity price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risk with respect to such notes (the “hedged holders”) will unwind all or part</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of their hedge positions by buying our Class A ordinary shares and/or</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entering into or unwinding various derivative transactions with respect to our</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Class A ordinary shares. The amount of our Class A ordinary shares to be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purchased by the hedged holders or in connection with such derivative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transactions may be substantial in relation to the historic average daily</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trading volume of our Class A ordinary shares. This activity by the hedged</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holders could increase (or reduce the size of any decrease in) the market price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of our Class A ordinary shares, including concurrently with the pricing of the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notes. We cannot predict the magnitude of such market activity or the overall</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effect it will have on the price of the notes offered hereby or our Class A</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ordinary shares. See the section titled “Risk Factors—Risks Related to the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Concurrent Notes Offering and the Existing Notes—Any repurchases of the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November 2029 notes may affect the value of our Class A ordinary shares.”</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Each of the prospectus supplement and this pricing term sheet does not</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constitute an offer to buy, or the solicitation of an offer to sell, any of our</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November 2029 notes. The completion of the concurrent note repurchase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transactions is contingent upon the completion of the offering of Class A</w:t>
            </w:r>
          </w:p>
        </w:tc>
      </w:tr>
      <w:tr>
        <w:trPr>
          <w:trHeight w:val="234"/>
        </w:trPr>
        <w:tc>
          <w:tcPr>
            <w:tcW w:w="4480" w:type="dxa"/>
            <w:vAlign w:val="bottom"/>
          </w:tcPr>
          <w:p>
            <w:pPr>
              <w:spacing w:after="0"/>
              <w:rPr>
                <w:sz w:val="20"/>
                <w:szCs w:val="20"/>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ordinary shares and the Concurrent Note Offering.</w:t>
            </w:r>
          </w:p>
        </w:tc>
      </w:tr>
      <w:tr>
        <w:trPr>
          <w:trHeight w:val="414"/>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 Price:</w:t>
            </w: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cap price of the capped call transactions referred to in the preliminary</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prospectus that we entered into with the option counterparties will initially be</w:t>
            </w:r>
          </w:p>
        </w:tc>
      </w:tr>
      <w:tr>
        <w:trPr>
          <w:trHeight w:val="216"/>
        </w:trPr>
        <w:tc>
          <w:tcPr>
            <w:tcW w:w="4480" w:type="dxa"/>
            <w:vAlign w:val="bottom"/>
          </w:tcPr>
          <w:p>
            <w:pPr>
              <w:spacing w:after="0"/>
              <w:rPr>
                <w:sz w:val="18"/>
                <w:szCs w:val="18"/>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US$27.88 per share, which represents a premium of 100% above the offering</w:t>
            </w:r>
          </w:p>
        </w:tc>
      </w:tr>
      <w:tr>
        <w:trPr>
          <w:trHeight w:val="234"/>
        </w:trPr>
        <w:tc>
          <w:tcPr>
            <w:tcW w:w="4480" w:type="dxa"/>
            <w:vAlign w:val="bottom"/>
          </w:tcPr>
          <w:p>
            <w:pPr>
              <w:spacing w:after="0"/>
              <w:rPr>
                <w:sz w:val="20"/>
                <w:szCs w:val="20"/>
                <w:color w:val="auto"/>
              </w:rPr>
            </w:pPr>
          </w:p>
        </w:tc>
        <w:tc>
          <w:tcPr>
            <w:tcW w:w="67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price per share in the offering of our Class A ordinary shares.</w:t>
            </w:r>
          </w:p>
        </w:tc>
      </w:tr>
      <w:tr>
        <w:trPr>
          <w:trHeight w:val="682"/>
        </w:trPr>
        <w:tc>
          <w:tcPr>
            <w:tcW w:w="448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798" w:gutter="0" w:footer="0" w:header="0"/>
        </w:sectPr>
      </w:pPr>
    </w:p>
    <w:bookmarkStart w:id="3" w:name="page4"/>
    <w:bookmarkEnd w:id="3"/>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THE OFFERING. YOU MAY GET THESE DOCUMENTS FOR FREE BY VISITING EDGAR ON THE SEC WEBSITE AT WWW.SEC.GOV.</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2025-11-13T07:24:48Z</dcterms:created>
  <dcterms:modified xsi:type="dcterms:W3CDTF">2025-11-13T07:24:48Z</dcterms:modified>
</cp:coreProperties>
</file>