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009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00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Trainor-Degirolamo Sheldon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339509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9,472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07/01/2033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7,113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7.03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7,083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10.59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Share Option (right to buy)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8,850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Includes 7,112 shares and 2,360 shares acquired upon the exercise of share options granted on July 1, 2023, and July 1, 2024, respectively.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8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the unexercised portion of an option to purchase 14,225 Class A Ordinary Shares granted on July 1, 2023. The option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6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the unexercised portion of an option to purchase 9,443 Class A Ordinary Shares granted on July 1, 2024. The option vests in four equal annual installments of 25% on each anniversary of the grant date, subject to the Reporting Person's continued service with the Issuer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2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an option to purchase 8,850 Class A Ordinary Shares granted on July 1, 2025. The option vests in four equal annual installments of 25% on each anniversary of the grant date, subject to the Reporting Person's continued service with the Issuer on each such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both"/>
        <w:ind w:left="40" w:right="300"/>
        <w:spacing w:after="0" w:line="2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solely to amend the original Form 3 filed on March 18, 2026 to add explanatory footnotes. These footnotes clarify the original grant amounts of the share options reported in Table II and the source of the Class A Ordinary Shares reported in Table I. The number of securities beneficially owned reported in the original Form 3 remains unchanged.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Sheldon Trainor-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Degirolamo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90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4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08966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2026-03-31T06:50:13Z</dcterms:created>
  <dcterms:modified xsi:type="dcterms:W3CDTF">2026-03-31T06:50:13Z</dcterms:modified>
</cp:coreProperties>
</file>