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line="207" w:lineRule="exact"/>
        <w:tabs>
          <w:tab w:leader="none" w:pos="98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509" w:right="67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Form 6-K is hereby incorporated by reference in the registration statements of Bitdeer Technologies Group on Form F-3 (No. </w:t>
      </w:r>
      <w:hyperlink r:id="rId18">
        <w:r>
          <w:rPr>
            <w:rFonts w:ascii="Times New Roman" w:cs="Times New Roman" w:eastAsia="Times New Roman" w:hAnsi="Times New Roman"/>
            <w:sz w:val="18"/>
            <w:szCs w:val="18"/>
            <w:u w:val="single" w:color="auto"/>
            <w:color w:val="0000EE"/>
          </w:rPr>
          <w:t>333-273905</w:t>
        </w:r>
      </w:hyperlink>
      <w:r>
        <w:rPr>
          <w:rFonts w:ascii="Times New Roman" w:cs="Times New Roman" w:eastAsia="Times New Roman" w:hAnsi="Times New Roman"/>
          <w:sz w:val="18"/>
          <w:szCs w:val="18"/>
          <w:color w:val="auto"/>
        </w:rPr>
        <w:t xml:space="preserve">, No. </w:t>
      </w:r>
      <w:hyperlink r:id="rId19">
        <w:r>
          <w:rPr>
            <w:rFonts w:ascii="Times New Roman" w:cs="Times New Roman" w:eastAsia="Times New Roman" w:hAnsi="Times New Roman"/>
            <w:sz w:val="18"/>
            <w:szCs w:val="18"/>
            <w:u w:val="single" w:color="auto"/>
            <w:color w:val="0000EE"/>
          </w:rPr>
          <w:t>333-278027</w:t>
        </w:r>
      </w:hyperlink>
      <w:r>
        <w:rPr>
          <w:rFonts w:ascii="Times New Roman" w:cs="Times New Roman" w:eastAsia="Times New Roman" w:hAnsi="Times New Roman"/>
          <w:sz w:val="18"/>
          <w:szCs w:val="18"/>
          <w:color w:val="auto"/>
        </w:rPr>
        <w:t xml:space="preserve">, No. </w:t>
      </w:r>
      <w:hyperlink r:id="rId20">
        <w:r>
          <w:rPr>
            <w:rFonts w:ascii="Times New Roman" w:cs="Times New Roman" w:eastAsia="Times New Roman" w:hAnsi="Times New Roman"/>
            <w:sz w:val="18"/>
            <w:szCs w:val="18"/>
            <w:u w:val="single" w:color="auto"/>
            <w:color w:val="0000EE"/>
          </w:rPr>
          <w:t>333-278029</w:t>
        </w:r>
      </w:hyperlink>
      <w:r>
        <w:rPr>
          <w:rFonts w:ascii="Times New Roman" w:cs="Times New Roman" w:eastAsia="Times New Roman" w:hAnsi="Times New Roman"/>
          <w:sz w:val="18"/>
          <w:szCs w:val="18"/>
          <w:color w:val="auto"/>
        </w:rPr>
        <w:t xml:space="preserve">, No. </w:t>
      </w:r>
      <w:hyperlink r:id="rId21">
        <w:r>
          <w:rPr>
            <w:rFonts w:ascii="Times New Roman" w:cs="Times New Roman" w:eastAsia="Times New Roman" w:hAnsi="Times New Roman"/>
            <w:sz w:val="18"/>
            <w:szCs w:val="18"/>
            <w:u w:val="single" w:color="auto"/>
            <w:color w:val="0000EE"/>
          </w:rPr>
          <w:t>333-280041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No. </w:t>
      </w:r>
      <w:hyperlink r:id="rId22">
        <w:r>
          <w:rPr>
            <w:rFonts w:ascii="Times New Roman" w:cs="Times New Roman" w:eastAsia="Times New Roman" w:hAnsi="Times New Roman"/>
            <w:sz w:val="18"/>
            <w:szCs w:val="18"/>
            <w:u w:val="single" w:color="auto"/>
            <w:color w:val="0000EE"/>
          </w:rPr>
          <w:t>333-283732</w:t>
        </w:r>
      </w:hyperlink>
      <w:r>
        <w:rPr>
          <w:rFonts w:ascii="Times New Roman" w:cs="Times New Roman" w:eastAsia="Times New Roman" w:hAnsi="Times New Roman"/>
          <w:sz w:val="18"/>
          <w:szCs w:val="18"/>
          <w:color w:val="auto"/>
        </w:rPr>
        <w:t xml:space="preserve">) and Form S-8 (No. </w:t>
      </w:r>
      <w:hyperlink r:id="rId23">
        <w:r>
          <w:rPr>
            <w:rFonts w:ascii="Times New Roman" w:cs="Times New Roman" w:eastAsia="Times New Roman" w:hAnsi="Times New Roman"/>
            <w:sz w:val="18"/>
            <w:szCs w:val="18"/>
            <w:u w:val="single" w:color="auto"/>
            <w:color w:val="0000EE"/>
          </w:rPr>
          <w:t>333-272858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No. </w:t>
      </w:r>
      <w:hyperlink r:id="rId24">
        <w:r>
          <w:rPr>
            <w:rFonts w:ascii="Times New Roman" w:cs="Times New Roman" w:eastAsia="Times New Roman" w:hAnsi="Times New Roman"/>
            <w:sz w:val="18"/>
            <w:szCs w:val="18"/>
            <w:u w:val="single" w:color="auto"/>
            <w:color w:val="0000EE"/>
          </w:rPr>
          <w:t>333-275342</w:t>
        </w:r>
      </w:hyperlink>
      <w:r>
        <w:rPr>
          <w:rFonts w:ascii="Times New Roman" w:cs="Times New Roman" w:eastAsia="Times New Roman" w:hAnsi="Times New Roman"/>
          <w:sz w:val="18"/>
          <w:szCs w:val="18"/>
          <w:color w:val="auto"/>
        </w:rPr>
        <w:t>), to the extent not superseded by documents or reports subsequently filed or furnished.</w:t>
      </w:r>
    </w:p>
    <w:p>
      <w:pPr>
        <w:spacing w:after="0" w:line="3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Bitdeer Reports Unaudited Financial Results for the First Quarter of 2025</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480" w:type="dxa"/>
            <w:vAlign w:val="bottom"/>
            <w:tcBorders>
              <w:top w:val="single" w:sz="8" w:color="0000EE"/>
              <w:bottom w:val="single" w:sz="8" w:color="auto"/>
            </w:tcBorders>
          </w:tcPr>
          <w:p>
            <w:pPr>
              <w:jc w:val="right"/>
              <w:ind w:right="1870"/>
              <w:spacing w:after="0"/>
              <w:rPr>
                <w:sz w:val="20"/>
                <w:szCs w:val="20"/>
                <w:color w:val="auto"/>
              </w:rPr>
            </w:pPr>
            <w:r>
              <w:rPr>
                <w:rFonts w:ascii="Times New Roman" w:cs="Times New Roman" w:eastAsia="Times New Roman" w:hAnsi="Times New Roman"/>
                <w:sz w:val="18"/>
                <w:szCs w:val="18"/>
                <w:color w:val="auto"/>
              </w:rPr>
              <w:t>2</w:t>
            </w:r>
          </w:p>
        </w:tc>
        <w:tc>
          <w:tcPr>
            <w:tcW w:w="36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156845</wp:posOffset>
            </wp:positionV>
            <wp:extent cx="1654175" cy="334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65417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Bitdeer Reports Unaudited Financial Results for the First Quarter of 2025</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May 15, 2025 (GLOBE NEWSWIRE) -- </w:t>
      </w:r>
      <w:r>
        <w:rPr>
          <w:rFonts w:ascii="Times New Roman" w:cs="Times New Roman" w:eastAsia="Times New Roman" w:hAnsi="Times New Roman"/>
          <w:sz w:val="18"/>
          <w:szCs w:val="18"/>
          <w:color w:val="auto"/>
        </w:rPr>
        <w:t>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Bitcoin mining, today released its unaudited financial results for the first quarter ended March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2025 Financial Highlights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compared to Q1 2024 unless otherwise noted</w:t>
      </w:r>
    </w:p>
    <w:p>
      <w:pPr>
        <w:spacing w:after="0" w:line="203"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US$70.1 million vs. US$119.5 million.</w:t>
      </w:r>
    </w:p>
    <w:p>
      <w:pPr>
        <w:spacing w:after="0" w:line="3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revenue </w:t>
      </w:r>
      <w:r>
        <w:rPr>
          <w:rFonts w:ascii="Times New Roman" w:cs="Times New Roman" w:eastAsia="Times New Roman" w:hAnsi="Times New Roman"/>
          <w:sz w:val="18"/>
          <w:szCs w:val="18"/>
          <w:color w:val="auto"/>
        </w:rPr>
        <w:t>was US$73.4 million vs. US$85.4 million.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negative US$3.2 million vs. positive US$34.1 million.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US$409.5 million vs. US$0.6 million.</w:t>
      </w:r>
    </w:p>
    <w:p>
      <w:pPr>
        <w:spacing w:after="0" w:line="9" w:lineRule="exact"/>
        <w:rPr>
          <w:rFonts w:ascii="Times New Roman" w:cs="Times New Roman" w:eastAsia="Times New Roman" w:hAnsi="Times New Roman"/>
          <w:sz w:val="18"/>
          <w:szCs w:val="18"/>
          <w:color w:val="auto"/>
        </w:rPr>
      </w:pPr>
    </w:p>
    <w:p>
      <w:pPr>
        <w:ind w:left="340" w:hanging="332"/>
        <w:spacing w:after="0" w:line="192" w:lineRule="auto"/>
        <w:tabs>
          <w:tab w:leader="none" w:pos="340" w:val="left"/>
        </w:tabs>
        <w:numPr>
          <w:ilvl w:val="0"/>
          <w:numId w:val="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b w:val="1"/>
          <w:bCs w:val="1"/>
          <w:color w:val="auto"/>
        </w:rPr>
        <w:t>Adjusted EBITDA</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was negative US$56.1 million, vs. positive US$27.3</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million.</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were US$215.6 million as of March 31, 2025.</w:t>
      </w:r>
    </w:p>
    <w:p>
      <w:pPr>
        <w:spacing w:after="0" w:line="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 balance: </w:t>
      </w:r>
      <w:r>
        <w:rPr>
          <w:rFonts w:ascii="Times New Roman" w:cs="Times New Roman" w:eastAsia="Times New Roman" w:hAnsi="Times New Roman"/>
          <w:sz w:val="18"/>
          <w:szCs w:val="18"/>
          <w:color w:val="auto"/>
        </w:rPr>
        <w:t>US$131.1 million as of March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 marked the continued execution of our SEALMINER roadmap,” said Matt Kong, Chief Business Officer at Bitdeer. “We have energized 3.7 EH/s and 0.5 EH/s of SEALMINER A1 and SEALMINER A2, respectively, bringing our self-mining hashrate to 12.4 EH/s by the end of April. With our SEALMINER mining rigs quickly coming off the production line and ample global power capacity available, we expect to achieve rapid growth in our self-mining hashrate towards our 40 EH/s target by October 2025. Looking ahead, our R&amp;D efforts are now focused on our SEALMINER A4 project, for which we are targeting an unprecedent chip efficiency of approximately 5 J/TH at the chip level. We believe this new chip design will revolutionize the way Bitcoin mining ASICs are made in the future and tape-out is on track for Q4 2025. We believe SEALMINER A4, along with our 3rd generation chip, will position Bitdeer as the leading supplier of the world’s most energy efficient mining rigs.”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Kong concluded, “On the energy front, construction of our global power infrastructure remains on schedule. We expect to have nearly 1.6 GW of available global power capacity by the end of Q2 2025 and 1.8 GW by year-end. As part of our HPC/AI initiative, we engaged Northland Capital Markets in March to serve as our financial advisor for the development of our HPC/AI data center strategy. We have advanced our discussions with development partners and potential end users regarding selected large-scale sites in the U.S. targeted for HPC and AI cloud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Summary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0" w:type="dxa"/>
            <w:vAlign w:val="bottom"/>
            <w:tcBorders>
              <w:right w:val="single" w:sz="8" w:color="auto"/>
            </w:tcBorders>
          </w:tcPr>
          <w:p>
            <w:pPr>
              <w:spacing w:after="0"/>
              <w:rPr>
                <w:sz w:val="21"/>
                <w:szCs w:val="21"/>
                <w:color w:val="auto"/>
              </w:rPr>
            </w:pPr>
          </w:p>
        </w:tc>
        <w:tc>
          <w:tcPr>
            <w:tcW w:w="6040" w:type="dxa"/>
            <w:vAlign w:val="bottom"/>
            <w:tcBorders>
              <w:top w:val="single" w:sz="8" w:color="auto"/>
              <w:bottom w:val="single" w:sz="8" w:color="auto"/>
              <w:right w:val="single" w:sz="8" w:color="auto"/>
            </w:tcBorders>
            <w:shd w:val="clear" w:color="auto" w:fill="F2F2F2"/>
          </w:tcPr>
          <w:p>
            <w:pPr>
              <w:ind w:left="2720"/>
              <w:spacing w:after="0"/>
              <w:rPr>
                <w:sz w:val="20"/>
                <w:szCs w:val="20"/>
                <w:color w:val="auto"/>
              </w:rPr>
            </w:pPr>
            <w:r>
              <w:rPr>
                <w:rFonts w:ascii="Times New Roman" w:cs="Times New Roman" w:eastAsia="Times New Roman" w:hAnsi="Times New Roman"/>
                <w:sz w:val="18"/>
                <w:szCs w:val="18"/>
                <w:b w:val="1"/>
                <w:bCs w:val="1"/>
                <w:color w:val="auto"/>
              </w:rPr>
              <w:t>Metrics</w:t>
            </w:r>
          </w:p>
        </w:tc>
        <w:tc>
          <w:tcPr>
            <w:tcW w:w="4040" w:type="dxa"/>
            <w:vAlign w:val="bottom"/>
            <w:tcBorders>
              <w:top w:val="single" w:sz="8" w:color="auto"/>
              <w:bottom w:val="single" w:sz="8" w:color="auto"/>
              <w:right w:val="single" w:sz="8" w:color="auto"/>
            </w:tcBorders>
            <w:gridSpan w:val="2"/>
            <w:shd w:val="clear" w:color="auto" w:fill="F2F2F2"/>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 Mar 31</w:t>
            </w:r>
          </w:p>
        </w:tc>
        <w:tc>
          <w:tcPr>
            <w:tcW w:w="560" w:type="dxa"/>
            <w:vAlign w:val="bottom"/>
          </w:tcPr>
          <w:p>
            <w:pPr>
              <w:spacing w:after="0"/>
              <w:rPr>
                <w:sz w:val="21"/>
                <w:szCs w:val="21"/>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shd w:val="clear" w:color="auto" w:fill="F2F2F2"/>
          </w:tcPr>
          <w:p>
            <w:pPr>
              <w:spacing w:after="0"/>
              <w:rPr>
                <w:sz w:val="19"/>
                <w:szCs w:val="19"/>
                <w:color w:val="auto"/>
              </w:rPr>
            </w:pPr>
          </w:p>
        </w:tc>
        <w:tc>
          <w:tcPr>
            <w:tcW w:w="20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hash rate under management (EH/s)</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24.2</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22.5</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Proprietary hash rate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8.4</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Self-mining</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11.5</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Cloud Hash Rate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Delivered but not yet hashing</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Hosting</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Mining rigs under management</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175,000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226,000</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Self-owned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97,000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86,000</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Hosted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78,000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140,000</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Bitcoin mined (self-mining only)</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350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911</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Bitcoins held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1,156</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58</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power usage (MWh)</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881,000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1,361,000</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Average cost of electricity ($/MWh)</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48</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43</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Average miner efficiency (J/TH)</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29.0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31.7</w:t>
            </w:r>
          </w:p>
        </w:tc>
        <w:tc>
          <w:tcPr>
            <w:tcW w:w="560" w:type="dxa"/>
            <w:vAlign w:val="bottom"/>
          </w:tcPr>
          <w:p>
            <w:pPr>
              <w:spacing w:after="0"/>
              <w:rPr>
                <w:sz w:val="19"/>
                <w:szCs w:val="19"/>
                <w:color w:val="auto"/>
              </w:rPr>
            </w:pPr>
          </w:p>
        </w:tc>
      </w:tr>
      <w:tr>
        <w:trPr>
          <w:trHeight w:val="439"/>
        </w:trPr>
        <w:tc>
          <w:tcPr>
            <w:tcW w:w="6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Power Infrastructure Summary (as of April 30, 2025)</w:t>
      </w:r>
    </w:p>
    <w:p>
      <w:pPr>
        <w:spacing w:after="0" w:line="227" w:lineRule="exact"/>
        <w:rPr>
          <w:sz w:val="20"/>
          <w:szCs w:val="20"/>
          <w:color w:val="auto"/>
        </w:rPr>
      </w:pPr>
    </w:p>
    <w:tbl>
      <w:tblPr>
        <w:tblLayout w:type="fixed"/>
        <w:tblInd w:w="590" w:type="dxa"/>
        <w:tblCellMar>
          <w:top w:w="0" w:type="dxa"/>
          <w:left w:w="0" w:type="dxa"/>
          <w:bottom w:w="0" w:type="dxa"/>
          <w:right w:w="0" w:type="dxa"/>
        </w:tblCellMar>
      </w:tblPr>
      <w:tr>
        <w:trPr>
          <w:trHeight w:val="291"/>
        </w:trPr>
        <w:tc>
          <w:tcPr>
            <w:tcW w:w="3460" w:type="dxa"/>
            <w:vAlign w:val="bottom"/>
            <w:tcBorders>
              <w:top w:val="single" w:sz="8" w:color="auto"/>
              <w:left w:val="single" w:sz="8" w:color="auto"/>
              <w:bottom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18"/>
                <w:szCs w:val="18"/>
                <w:b w:val="1"/>
                <w:bCs w:val="1"/>
                <w:color w:val="auto"/>
              </w:rPr>
              <w:t>Site / Location</w:t>
            </w:r>
          </w:p>
        </w:tc>
        <w:tc>
          <w:tcPr>
            <w:tcW w:w="2200" w:type="dxa"/>
            <w:vAlign w:val="bottom"/>
            <w:tcBorders>
              <w:top w:val="single" w:sz="8" w:color="auto"/>
              <w:bottom w:val="single" w:sz="8" w:color="auto"/>
              <w:right w:val="single" w:sz="8" w:color="auto"/>
            </w:tcBorders>
            <w:shd w:val="clear" w:color="auto" w:fill="F2F2F2"/>
          </w:tcPr>
          <w:p>
            <w:pPr>
              <w:ind w:left="480"/>
              <w:spacing w:after="0"/>
              <w:rPr>
                <w:sz w:val="20"/>
                <w:szCs w:val="20"/>
                <w:color w:val="auto"/>
              </w:rPr>
            </w:pPr>
            <w:r>
              <w:rPr>
                <w:rFonts w:ascii="Times New Roman" w:cs="Times New Roman" w:eastAsia="Times New Roman" w:hAnsi="Times New Roman"/>
                <w:sz w:val="18"/>
                <w:szCs w:val="18"/>
                <w:b w:val="1"/>
                <w:bCs w:val="1"/>
                <w:color w:val="auto"/>
              </w:rPr>
              <w:t>Capacity (MW)</w:t>
            </w:r>
          </w:p>
        </w:tc>
        <w:tc>
          <w:tcPr>
            <w:tcW w:w="222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220" w:type="dxa"/>
            <w:vAlign w:val="bottom"/>
            <w:tcBorders>
              <w:top w:val="single" w:sz="8" w:color="auto"/>
              <w:bottom w:val="single" w:sz="8" w:color="auto"/>
              <w:right w:val="single" w:sz="8" w:color="auto"/>
            </w:tcBorders>
            <w:shd w:val="clear" w:color="auto" w:fill="F2F2F2"/>
          </w:tcPr>
          <w:p>
            <w:pPr>
              <w:jc w:val="center"/>
              <w:spacing w:after="0" w:line="284" w:lineRule="exact"/>
              <w:rPr>
                <w:sz w:val="20"/>
                <w:szCs w:val="20"/>
                <w:color w:val="auto"/>
              </w:rPr>
            </w:pPr>
            <w:r>
              <w:rPr>
                <w:rFonts w:ascii="Times New Roman" w:cs="Times New Roman" w:eastAsia="Times New Roman" w:hAnsi="Times New Roman"/>
                <w:sz w:val="18"/>
                <w:szCs w:val="18"/>
                <w:b w:val="1"/>
                <w:bCs w:val="1"/>
                <w:color w:val="auto"/>
                <w:w w:val="94"/>
              </w:rPr>
              <w:t>Timing</w:t>
            </w:r>
            <w:r>
              <w:rPr>
                <w:rFonts w:ascii="Times New Roman" w:cs="Times New Roman" w:eastAsia="Times New Roman" w:hAnsi="Times New Roman"/>
                <w:sz w:val="29"/>
                <w:szCs w:val="29"/>
                <w:b w:val="1"/>
                <w:bCs w:val="1"/>
                <w:color w:val="auto"/>
                <w:w w:val="94"/>
                <w:vertAlign w:val="superscript"/>
              </w:rPr>
              <w:t>3</w:t>
            </w:r>
          </w:p>
        </w:tc>
      </w:tr>
      <w:tr>
        <w:trPr>
          <w:trHeight w:val="223"/>
        </w:trPr>
        <w:tc>
          <w:tcPr>
            <w:tcW w:w="3460" w:type="dxa"/>
            <w:vAlign w:val="bottom"/>
            <w:tcBorders>
              <w:left w:val="single" w:sz="8" w:color="auto"/>
              <w:bottom w:val="single" w:sz="8" w:color="auto"/>
              <w:right w:val="single" w:sz="8" w:color="auto"/>
            </w:tcBorders>
            <w:shd w:val="clear" w:color="auto" w:fill="F2F2F2"/>
          </w:tcPr>
          <w:p>
            <w:pPr>
              <w:ind w:left="160"/>
              <w:spacing w:after="0"/>
              <w:rPr>
                <w:sz w:val="20"/>
                <w:szCs w:val="20"/>
                <w:color w:val="auto"/>
              </w:rPr>
            </w:pPr>
            <w:r>
              <w:rPr>
                <w:rFonts w:ascii="Times New Roman" w:cs="Times New Roman" w:eastAsia="Times New Roman" w:hAnsi="Times New Roman"/>
                <w:sz w:val="18"/>
                <w:szCs w:val="18"/>
                <w:b w:val="1"/>
                <w:bCs w:val="1"/>
                <w:color w:val="auto"/>
              </w:rPr>
              <w:t>Electrical capacity</w:t>
            </w:r>
          </w:p>
        </w:tc>
        <w:tc>
          <w:tcPr>
            <w:tcW w:w="2200" w:type="dxa"/>
            <w:vAlign w:val="bottom"/>
            <w:tcBorders>
              <w:bottom w:val="single" w:sz="8" w:color="auto"/>
              <w:right w:val="single" w:sz="8" w:color="auto"/>
            </w:tcBorders>
            <w:shd w:val="clear" w:color="auto" w:fill="F2F2F2"/>
          </w:tcPr>
          <w:p>
            <w:pPr>
              <w:spacing w:after="0"/>
              <w:rPr>
                <w:sz w:val="19"/>
                <w:szCs w:val="19"/>
                <w:color w:val="auto"/>
              </w:rPr>
            </w:pPr>
          </w:p>
        </w:tc>
        <w:tc>
          <w:tcPr>
            <w:tcW w:w="2220" w:type="dxa"/>
            <w:vAlign w:val="bottom"/>
            <w:tcBorders>
              <w:bottom w:val="single" w:sz="8" w:color="auto"/>
              <w:right w:val="single" w:sz="8" w:color="auto"/>
            </w:tcBorders>
            <w:shd w:val="clear" w:color="auto" w:fill="F2F2F2"/>
          </w:tcPr>
          <w:p>
            <w:pPr>
              <w:spacing w:after="0"/>
              <w:rPr>
                <w:sz w:val="19"/>
                <w:szCs w:val="19"/>
                <w:color w:val="auto"/>
              </w:rPr>
            </w:pPr>
          </w:p>
        </w:tc>
        <w:tc>
          <w:tcPr>
            <w:tcW w:w="222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Rockdale, Texas</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563</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Knoxville, Tennessee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Wenatchee, Washington</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Molde, Norway</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Tydal, Norway</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Gedu, Bhutan</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Jimeling, Bhutan</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132</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63"/>
        </w:trPr>
        <w:tc>
          <w:tcPr>
            <w:tcW w:w="3460" w:type="dxa"/>
            <w:vAlign w:val="bottom"/>
            <w:tcBorders>
              <w:left w:val="single" w:sz="8" w:color="auto"/>
              <w:bottom w:val="single" w:sz="8" w:color="auto"/>
              <w:right w:val="single" w:sz="8" w:color="auto"/>
            </w:tcBorders>
            <w:shd w:val="clear" w:color="auto" w:fill="F2F2F2"/>
          </w:tcPr>
          <w:p>
            <w:pPr>
              <w:ind w:left="160"/>
              <w:spacing w:after="0"/>
              <w:rPr>
                <w:sz w:val="20"/>
                <w:szCs w:val="20"/>
                <w:color w:val="auto"/>
              </w:rPr>
            </w:pPr>
            <w:r>
              <w:rPr>
                <w:rFonts w:ascii="Times New Roman" w:cs="Times New Roman" w:eastAsia="Times New Roman" w:hAnsi="Times New Roman"/>
                <w:sz w:val="18"/>
                <w:szCs w:val="18"/>
                <w:b w:val="1"/>
                <w:bCs w:val="1"/>
                <w:color w:val="auto"/>
              </w:rPr>
              <w:t>Total electrical capacity</w:t>
            </w:r>
          </w:p>
        </w:tc>
        <w:tc>
          <w:tcPr>
            <w:tcW w:w="2200" w:type="dxa"/>
            <w:vAlign w:val="bottom"/>
            <w:tcBorders>
              <w:bottom w:val="single" w:sz="8" w:color="auto"/>
              <w:right w:val="single" w:sz="8" w:color="auto"/>
            </w:tcBorders>
            <w:shd w:val="clear" w:color="auto" w:fill="F2F2F2"/>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5"/>
              </w:rPr>
              <w:t>1,098</w:t>
            </w:r>
            <w:r>
              <w:rPr>
                <w:rFonts w:ascii="Times New Roman" w:cs="Times New Roman" w:eastAsia="Times New Roman" w:hAnsi="Times New Roman"/>
                <w:sz w:val="29"/>
                <w:szCs w:val="29"/>
                <w:color w:val="auto"/>
                <w:w w:val="95"/>
                <w:vertAlign w:val="superscript"/>
              </w:rPr>
              <w:t>4</w:t>
            </w:r>
          </w:p>
        </w:tc>
        <w:tc>
          <w:tcPr>
            <w:tcW w:w="2220" w:type="dxa"/>
            <w:vAlign w:val="bottom"/>
            <w:tcBorders>
              <w:bottom w:val="single" w:sz="8" w:color="auto"/>
              <w:right w:val="single" w:sz="8" w:color="auto"/>
            </w:tcBorders>
            <w:shd w:val="clear" w:color="auto" w:fill="F2F2F2"/>
          </w:tcPr>
          <w:p>
            <w:pPr>
              <w:spacing w:after="0"/>
              <w:rPr>
                <w:sz w:val="22"/>
                <w:szCs w:val="22"/>
                <w:color w:val="auto"/>
              </w:rPr>
            </w:pPr>
          </w:p>
        </w:tc>
        <w:tc>
          <w:tcPr>
            <w:tcW w:w="2220" w:type="dxa"/>
            <w:vAlign w:val="bottom"/>
            <w:tcBorders>
              <w:bottom w:val="single" w:sz="8" w:color="auto"/>
              <w:right w:val="single" w:sz="8" w:color="auto"/>
            </w:tcBorders>
            <w:shd w:val="clear" w:color="auto" w:fill="F2F2F2"/>
          </w:tcPr>
          <w:p>
            <w:pPr>
              <w:spacing w:after="0"/>
              <w:rPr>
                <w:sz w:val="22"/>
                <w:szCs w:val="22"/>
                <w:color w:val="auto"/>
              </w:rPr>
            </w:pPr>
          </w:p>
        </w:tc>
      </w:tr>
      <w:tr>
        <w:trPr>
          <w:trHeight w:val="223"/>
        </w:trPr>
        <w:tc>
          <w:tcPr>
            <w:tcW w:w="34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Pipeline capacity</w:t>
            </w:r>
          </w:p>
        </w:tc>
        <w:tc>
          <w:tcPr>
            <w:tcW w:w="220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Tydal, Norway Phase 2</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Q2 2025</w:t>
            </w: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Massillon, Ohio</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221</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Q3-Q4 2025</w:t>
            </w: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Clarington, Ohio Phase 1</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266</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Paused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Clarington, Ohio Phase 2</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304</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 approval</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Jigmeling, Bhutan</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368</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Q2 2025</w:t>
            </w: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Rockdale, Texas</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179</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planning</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Estimate 2026</w:t>
            </w: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Alberta, Canada</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planning</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Q4 2026</w:t>
            </w:r>
          </w:p>
        </w:tc>
      </w:tr>
      <w:tr>
        <w:trPr>
          <w:trHeight w:val="223"/>
        </w:trPr>
        <w:tc>
          <w:tcPr>
            <w:tcW w:w="34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Oromia Region, Ethiopia</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planning</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Q4 2025</w:t>
            </w:r>
          </w:p>
        </w:tc>
      </w:tr>
      <w:tr>
        <w:trPr>
          <w:trHeight w:val="223"/>
        </w:trPr>
        <w:tc>
          <w:tcPr>
            <w:tcW w:w="3460" w:type="dxa"/>
            <w:vAlign w:val="bottom"/>
            <w:tcBorders>
              <w:left w:val="single" w:sz="8" w:color="auto"/>
              <w:bottom w:val="single" w:sz="8" w:color="auto"/>
              <w:right w:val="single" w:sz="8" w:color="auto"/>
            </w:tcBorders>
            <w:shd w:val="clear" w:color="auto" w:fill="F2F2F2"/>
          </w:tcPr>
          <w:p>
            <w:pPr>
              <w:ind w:left="160"/>
              <w:spacing w:after="0"/>
              <w:rPr>
                <w:sz w:val="20"/>
                <w:szCs w:val="20"/>
                <w:color w:val="auto"/>
              </w:rPr>
            </w:pPr>
            <w:r>
              <w:rPr>
                <w:rFonts w:ascii="Times New Roman" w:cs="Times New Roman" w:eastAsia="Times New Roman" w:hAnsi="Times New Roman"/>
                <w:sz w:val="18"/>
                <w:szCs w:val="18"/>
                <w:b w:val="1"/>
                <w:bCs w:val="1"/>
                <w:color w:val="auto"/>
              </w:rPr>
              <w:t>Total pipeline capacity</w:t>
            </w:r>
          </w:p>
        </w:tc>
        <w:tc>
          <w:tcPr>
            <w:tcW w:w="22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1,592</w:t>
            </w:r>
          </w:p>
        </w:tc>
        <w:tc>
          <w:tcPr>
            <w:tcW w:w="2220" w:type="dxa"/>
            <w:vAlign w:val="bottom"/>
            <w:tcBorders>
              <w:bottom w:val="single" w:sz="8" w:color="auto"/>
              <w:right w:val="single" w:sz="8" w:color="auto"/>
            </w:tcBorders>
            <w:shd w:val="clear" w:color="auto" w:fill="F2F2F2"/>
          </w:tcPr>
          <w:p>
            <w:pPr>
              <w:spacing w:after="0"/>
              <w:rPr>
                <w:sz w:val="19"/>
                <w:szCs w:val="19"/>
                <w:color w:val="auto"/>
              </w:rPr>
            </w:pPr>
          </w:p>
        </w:tc>
        <w:tc>
          <w:tcPr>
            <w:tcW w:w="222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34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global electrical capacity</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2,690</w:t>
            </w:r>
          </w:p>
        </w:tc>
        <w:tc>
          <w:tcPr>
            <w:tcW w:w="222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MD&amp;A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variances are current quarter compared to the same quarter last year. All figures in this section are rounded</w:t>
      </w:r>
      <w:r>
        <w:rPr>
          <w:rFonts w:ascii="Times New Roman" w:cs="Times New Roman" w:eastAsia="Times New Roman" w:hAnsi="Times New Roman"/>
          <w:sz w:val="29"/>
          <w:szCs w:val="29"/>
          <w:i w:val="1"/>
          <w:iCs w:val="1"/>
          <w:color w:val="auto"/>
          <w:vertAlign w:val="superscript"/>
        </w:rPr>
        <w:t>4</w:t>
      </w:r>
      <w:r>
        <w:rPr>
          <w:rFonts w:ascii="Times New Roman" w:cs="Times New Roman" w:eastAsia="Times New Roman" w:hAnsi="Times New Roman"/>
          <w:sz w:val="18"/>
          <w:szCs w:val="18"/>
          <w:i w:val="1"/>
          <w:i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2025 High-Level P&amp;L and Disaggregated Revenue Details: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600" w:type="dxa"/>
            <w:vAlign w:val="bottom"/>
            <w:tcBorders>
              <w:right w:val="single" w:sz="8" w:color="auto"/>
            </w:tcBorders>
          </w:tcPr>
          <w:p>
            <w:pPr>
              <w:spacing w:after="0"/>
              <w:rPr>
                <w:sz w:val="21"/>
                <w:szCs w:val="21"/>
                <w:color w:val="auto"/>
              </w:rPr>
            </w:pPr>
          </w:p>
        </w:tc>
        <w:tc>
          <w:tcPr>
            <w:tcW w:w="2800" w:type="dxa"/>
            <w:vAlign w:val="bottom"/>
            <w:tcBorders>
              <w:top w:val="single" w:sz="8" w:color="auto"/>
              <w:bottom w:val="single" w:sz="8" w:color="auto"/>
              <w:right w:val="single" w:sz="8" w:color="F2F2F2"/>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US $ in millions</w:t>
            </w:r>
          </w:p>
        </w:tc>
        <w:tc>
          <w:tcPr>
            <w:tcW w:w="640" w:type="dxa"/>
            <w:vAlign w:val="bottom"/>
            <w:tcBorders>
              <w:top w:val="single" w:sz="8" w:color="auto"/>
              <w:bottom w:val="single" w:sz="8" w:color="auto"/>
              <w:right w:val="single" w:sz="8" w:color="auto"/>
            </w:tcBorders>
            <w:shd w:val="clear" w:color="auto" w:fill="F2F2F2"/>
          </w:tcPr>
          <w:p>
            <w:pPr>
              <w:spacing w:after="0"/>
              <w:rPr>
                <w:sz w:val="21"/>
                <w:szCs w:val="21"/>
                <w:color w:val="auto"/>
              </w:rPr>
            </w:pPr>
          </w:p>
        </w:tc>
        <w:tc>
          <w:tcPr>
            <w:tcW w:w="740" w:type="dxa"/>
            <w:vAlign w:val="bottom"/>
            <w:tcBorders>
              <w:top w:val="single" w:sz="8" w:color="auto"/>
              <w:bottom w:val="single" w:sz="8" w:color="auto"/>
            </w:tcBorders>
            <w:shd w:val="clear" w:color="auto" w:fill="F2F2F2"/>
          </w:tcPr>
          <w:p>
            <w:pPr>
              <w:spacing w:after="0"/>
              <w:rPr>
                <w:sz w:val="21"/>
                <w:szCs w:val="21"/>
                <w:color w:val="auto"/>
              </w:rPr>
            </w:pPr>
          </w:p>
        </w:tc>
        <w:tc>
          <w:tcPr>
            <w:tcW w:w="200" w:type="dxa"/>
            <w:vAlign w:val="bottom"/>
            <w:tcBorders>
              <w:top w:val="single" w:sz="8" w:color="auto"/>
              <w:bottom w:val="single" w:sz="8" w:color="auto"/>
              <w:right w:val="single" w:sz="8" w:color="F2F2F2"/>
            </w:tcBorders>
            <w:shd w:val="clear" w:color="auto" w:fill="F2F2F2"/>
          </w:tcPr>
          <w:p>
            <w:pPr>
              <w:spacing w:after="0"/>
              <w:rPr>
                <w:sz w:val="21"/>
                <w:szCs w:val="21"/>
                <w:color w:val="auto"/>
              </w:rPr>
            </w:pPr>
          </w:p>
        </w:tc>
        <w:tc>
          <w:tcPr>
            <w:tcW w:w="1260" w:type="dxa"/>
            <w:vAlign w:val="bottom"/>
            <w:tcBorders>
              <w:top w:val="single" w:sz="8" w:color="auto"/>
              <w:bottom w:val="single" w:sz="8" w:color="auto"/>
              <w:right w:val="single" w:sz="8" w:color="F2F2F2"/>
            </w:tcBorders>
            <w:shd w:val="clear" w:color="auto" w:fill="F2F2F2"/>
          </w:tcPr>
          <w:p>
            <w:pPr>
              <w:spacing w:after="0"/>
              <w:rPr>
                <w:sz w:val="21"/>
                <w:szCs w:val="21"/>
                <w:color w:val="auto"/>
              </w:rPr>
            </w:pPr>
          </w:p>
        </w:tc>
        <w:tc>
          <w:tcPr>
            <w:tcW w:w="300" w:type="dxa"/>
            <w:vAlign w:val="bottom"/>
            <w:tcBorders>
              <w:top w:val="single" w:sz="8" w:color="auto"/>
              <w:bottom w:val="single" w:sz="8" w:color="auto"/>
              <w:right w:val="single" w:sz="8" w:color="F2F2F2"/>
            </w:tcBorders>
            <w:shd w:val="clear" w:color="auto" w:fill="F2F2F2"/>
          </w:tcPr>
          <w:p>
            <w:pPr>
              <w:spacing w:after="0"/>
              <w:rPr>
                <w:sz w:val="21"/>
                <w:szCs w:val="21"/>
                <w:color w:val="auto"/>
              </w:rPr>
            </w:pPr>
          </w:p>
        </w:tc>
        <w:tc>
          <w:tcPr>
            <w:tcW w:w="1740" w:type="dxa"/>
            <w:vAlign w:val="bottom"/>
            <w:tcBorders>
              <w:top w:val="single" w:sz="8" w:color="auto"/>
              <w:bottom w:val="single" w:sz="8" w:color="auto"/>
            </w:tcBorders>
            <w:gridSpan w:val="2"/>
            <w:shd w:val="clear" w:color="auto" w:fill="F2F2F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Borders>
              <w:top w:val="single" w:sz="8" w:color="auto"/>
              <w:bottom w:val="single" w:sz="8" w:color="auto"/>
              <w:right w:val="single" w:sz="8" w:color="F2F2F2"/>
            </w:tcBorders>
            <w:shd w:val="clear" w:color="auto" w:fill="F2F2F2"/>
          </w:tcPr>
          <w:p>
            <w:pPr>
              <w:spacing w:after="0"/>
              <w:rPr>
                <w:sz w:val="21"/>
                <w:szCs w:val="21"/>
                <w:color w:val="auto"/>
              </w:rPr>
            </w:pPr>
          </w:p>
        </w:tc>
        <w:tc>
          <w:tcPr>
            <w:tcW w:w="1220" w:type="dxa"/>
            <w:vAlign w:val="bottom"/>
            <w:tcBorders>
              <w:top w:val="single" w:sz="8" w:color="auto"/>
              <w:bottom w:val="single" w:sz="8" w:color="auto"/>
              <w:right w:val="single" w:sz="8" w:color="F2F2F2"/>
            </w:tcBorders>
            <w:shd w:val="clear" w:color="auto" w:fill="F2F2F2"/>
          </w:tcPr>
          <w:p>
            <w:pPr>
              <w:spacing w:after="0"/>
              <w:rPr>
                <w:sz w:val="21"/>
                <w:szCs w:val="21"/>
                <w:color w:val="auto"/>
              </w:rPr>
            </w:pPr>
          </w:p>
        </w:tc>
        <w:tc>
          <w:tcPr>
            <w:tcW w:w="140" w:type="dxa"/>
            <w:vAlign w:val="bottom"/>
            <w:tcBorders>
              <w:top w:val="single" w:sz="8" w:color="auto"/>
              <w:bottom w:val="single" w:sz="8" w:color="auto"/>
            </w:tcBorders>
            <w:shd w:val="clear" w:color="auto" w:fill="F2F2F2"/>
          </w:tcPr>
          <w:p>
            <w:pPr>
              <w:spacing w:after="0"/>
              <w:rPr>
                <w:sz w:val="21"/>
                <w:szCs w:val="21"/>
                <w:color w:val="auto"/>
              </w:rPr>
            </w:pPr>
          </w:p>
        </w:tc>
        <w:tc>
          <w:tcPr>
            <w:tcW w:w="860" w:type="dxa"/>
            <w:vAlign w:val="bottom"/>
            <w:tcBorders>
              <w:top w:val="single" w:sz="8" w:color="auto"/>
              <w:bottom w:val="single" w:sz="8" w:color="auto"/>
              <w:right w:val="single" w:sz="8" w:color="auto"/>
            </w:tcBorders>
            <w:shd w:val="clear" w:color="auto" w:fill="F2F2F2"/>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 31, 2024</w:t>
            </w:r>
          </w:p>
        </w:tc>
        <w:tc>
          <w:tcPr>
            <w:tcW w:w="18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6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jc w:val="center"/>
              <w:ind w:right="690"/>
              <w:spacing w:after="0"/>
              <w:rPr>
                <w:sz w:val="20"/>
                <w:szCs w:val="20"/>
                <w:color w:val="auto"/>
              </w:rPr>
            </w:pPr>
            <w:r>
              <w:rPr>
                <w:rFonts w:ascii="Times New Roman" w:cs="Times New Roman" w:eastAsia="Times New Roman" w:hAnsi="Times New Roman"/>
                <w:sz w:val="18"/>
                <w:szCs w:val="18"/>
                <w:color w:val="auto"/>
              </w:rPr>
              <w:t>70.1</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8"/>
              </w:rPr>
              <w:t>119.5</w:t>
            </w:r>
          </w:p>
        </w:tc>
        <w:tc>
          <w:tcPr>
            <w:tcW w:w="860" w:type="dxa"/>
            <w:vAlign w:val="bottom"/>
            <w:tcBorders>
              <w:bottom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6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jc w:val="center"/>
              <w:ind w:right="690"/>
              <w:spacing w:after="0"/>
              <w:rPr>
                <w:sz w:val="20"/>
                <w:szCs w:val="20"/>
                <w:color w:val="auto"/>
              </w:rPr>
            </w:pPr>
            <w:r>
              <w:rPr>
                <w:rFonts w:ascii="Times New Roman" w:cs="Times New Roman" w:eastAsia="Times New Roman" w:hAnsi="Times New Roman"/>
                <w:sz w:val="18"/>
                <w:szCs w:val="18"/>
                <w:color w:val="auto"/>
              </w:rPr>
              <w:t>(73.4)</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(85.4)</w:t>
            </w:r>
          </w:p>
        </w:tc>
        <w:tc>
          <w:tcPr>
            <w:tcW w:w="860" w:type="dxa"/>
            <w:vAlign w:val="bottom"/>
            <w:tcBorders>
              <w:bottom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Gross profit/(loss)</w:t>
            </w:r>
          </w:p>
        </w:tc>
        <w:tc>
          <w:tcPr>
            <w:tcW w:w="6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jc w:val="center"/>
              <w:ind w:right="670"/>
              <w:spacing w:after="0"/>
              <w:rPr>
                <w:sz w:val="20"/>
                <w:szCs w:val="20"/>
                <w:color w:val="auto"/>
              </w:rPr>
            </w:pPr>
            <w:r>
              <w:rPr>
                <w:rFonts w:ascii="Times New Roman" w:cs="Times New Roman" w:eastAsia="Times New Roman" w:hAnsi="Times New Roman"/>
                <w:sz w:val="18"/>
                <w:szCs w:val="18"/>
                <w:color w:val="auto"/>
                <w:w w:val="98"/>
              </w:rPr>
              <w:t>(3.2)</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34.1</w:t>
            </w:r>
          </w:p>
        </w:tc>
        <w:tc>
          <w:tcPr>
            <w:tcW w:w="860" w:type="dxa"/>
            <w:vAlign w:val="bottom"/>
            <w:tcBorders>
              <w:bottom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profit/(loss)</w:t>
            </w:r>
          </w:p>
        </w:tc>
        <w:tc>
          <w:tcPr>
            <w:tcW w:w="6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jc w:val="center"/>
              <w:ind w:right="690"/>
              <w:spacing w:after="0"/>
              <w:rPr>
                <w:sz w:val="20"/>
                <w:szCs w:val="20"/>
                <w:color w:val="auto"/>
              </w:rPr>
            </w:pPr>
            <w:r>
              <w:rPr>
                <w:rFonts w:ascii="Times New Roman" w:cs="Times New Roman" w:eastAsia="Times New Roman" w:hAnsi="Times New Roman"/>
                <w:sz w:val="18"/>
                <w:szCs w:val="18"/>
                <w:color w:val="auto"/>
                <w:w w:val="98"/>
              </w:rPr>
              <w:t>409.5</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(531.9)</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0.6</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00" w:type="dxa"/>
            <w:vAlign w:val="bottom"/>
            <w:tcBorders>
              <w:right w:val="single" w:sz="8" w:color="auto"/>
            </w:tcBorders>
          </w:tcPr>
          <w:p>
            <w:pPr>
              <w:spacing w:after="0"/>
              <w:rPr>
                <w:sz w:val="22"/>
                <w:szCs w:val="22"/>
                <w:color w:val="auto"/>
              </w:rPr>
            </w:pP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6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60" w:type="dxa"/>
            <w:vAlign w:val="bottom"/>
            <w:tcBorders>
              <w:bottom w:val="single" w:sz="8" w:color="auto"/>
              <w:right w:val="single" w:sz="8" w:color="auto"/>
            </w:tcBorders>
            <w:gridSpan w:val="2"/>
          </w:tcPr>
          <w:p>
            <w:pPr>
              <w:jc w:val="center"/>
              <w:ind w:right="690"/>
              <w:spacing w:after="0"/>
              <w:rPr>
                <w:sz w:val="20"/>
                <w:szCs w:val="20"/>
                <w:color w:val="auto"/>
              </w:rPr>
            </w:pPr>
            <w:r>
              <w:rPr>
                <w:rFonts w:ascii="Times New Roman" w:cs="Times New Roman" w:eastAsia="Times New Roman" w:hAnsi="Times New Roman"/>
                <w:sz w:val="18"/>
                <w:szCs w:val="18"/>
                <w:color w:val="auto"/>
              </w:rPr>
              <w:t>(56.1)</w:t>
            </w:r>
          </w:p>
        </w:tc>
        <w:tc>
          <w:tcPr>
            <w:tcW w:w="3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tcBorders>
            <w:gridSpan w:val="2"/>
          </w:tcPr>
          <w:p>
            <w:pPr>
              <w:jc w:val="center"/>
              <w:ind w:left="730"/>
              <w:spacing w:after="0" w:line="256" w:lineRule="exact"/>
              <w:rPr>
                <w:sz w:val="20"/>
                <w:szCs w:val="20"/>
                <w:color w:val="auto"/>
              </w:rPr>
            </w:pPr>
            <w:r>
              <w:rPr>
                <w:rFonts w:ascii="Times New Roman" w:cs="Times New Roman" w:eastAsia="Times New Roman" w:hAnsi="Times New Roman"/>
                <w:sz w:val="18"/>
                <w:szCs w:val="18"/>
                <w:color w:val="auto"/>
                <w:w w:val="92"/>
              </w:rPr>
              <w:t>27.3</w:t>
            </w:r>
            <w:r>
              <w:rPr>
                <w:rFonts w:ascii="Times New Roman" w:cs="Times New Roman" w:eastAsia="Times New Roman" w:hAnsi="Times New Roman"/>
                <w:sz w:val="29"/>
                <w:szCs w:val="29"/>
                <w:color w:val="auto"/>
                <w:w w:val="92"/>
                <w:vertAlign w:val="superscript"/>
              </w:rPr>
              <w:t>2</w:t>
            </w:r>
          </w:p>
        </w:tc>
        <w:tc>
          <w:tcPr>
            <w:tcW w:w="860" w:type="dxa"/>
            <w:vAlign w:val="bottom"/>
            <w:tcBorders>
              <w:bottom w:val="single" w:sz="8" w:color="auto"/>
              <w:righ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2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jc w:val="center"/>
              <w:ind w:right="690"/>
              <w:spacing w:after="0"/>
              <w:rPr>
                <w:sz w:val="20"/>
                <w:szCs w:val="20"/>
                <w:color w:val="auto"/>
              </w:rPr>
            </w:pPr>
            <w:r>
              <w:rPr>
                <w:rFonts w:ascii="Times New Roman" w:cs="Times New Roman" w:eastAsia="Times New Roman" w:hAnsi="Times New Roman"/>
                <w:sz w:val="18"/>
                <w:szCs w:val="18"/>
                <w:color w:val="auto"/>
                <w:w w:val="98"/>
              </w:rPr>
              <w:t>215.6</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476.3</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8"/>
              </w:rPr>
              <w:t>118.5</w:t>
            </w:r>
          </w:p>
        </w:tc>
        <w:tc>
          <w:tcPr>
            <w:tcW w:w="860" w:type="dxa"/>
            <w:vAlign w:val="bottom"/>
            <w:tcBorders>
              <w:bottom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gridSpan w:val="2"/>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gridSpan w:val="2"/>
            <w:shd w:val="clear" w:color="auto" w:fill="F2F2F2"/>
          </w:tcPr>
          <w:p>
            <w:pPr>
              <w:ind w:left="140"/>
              <w:spacing w:after="0"/>
              <w:rPr>
                <w:sz w:val="20"/>
                <w:szCs w:val="20"/>
                <w:color w:val="auto"/>
              </w:rPr>
            </w:pPr>
            <w:r>
              <w:rPr>
                <w:rFonts w:ascii="Times New Roman" w:cs="Times New Roman" w:eastAsia="Times New Roman" w:hAnsi="Times New Roman"/>
                <w:sz w:val="18"/>
                <w:szCs w:val="18"/>
                <w:color w:val="auto"/>
              </w:rPr>
              <w:t>US $ in millions</w:t>
            </w:r>
          </w:p>
        </w:tc>
        <w:tc>
          <w:tcPr>
            <w:tcW w:w="640" w:type="dxa"/>
            <w:vAlign w:val="bottom"/>
            <w:tcBorders>
              <w:bottom w:val="single" w:sz="8" w:color="auto"/>
              <w:right w:val="single" w:sz="8" w:color="F2F2F2"/>
            </w:tcBorders>
            <w:shd w:val="clear" w:color="auto" w:fill="F2F2F2"/>
          </w:tcPr>
          <w:p>
            <w:pPr>
              <w:spacing w:after="0"/>
              <w:rPr>
                <w:sz w:val="19"/>
                <w:szCs w:val="19"/>
                <w:color w:val="auto"/>
              </w:rPr>
            </w:pPr>
          </w:p>
        </w:tc>
        <w:tc>
          <w:tcPr>
            <w:tcW w:w="740" w:type="dxa"/>
            <w:vAlign w:val="bottom"/>
            <w:tcBorders>
              <w:bottom w:val="single" w:sz="8" w:color="auto"/>
            </w:tcBorders>
            <w:shd w:val="clear" w:color="auto" w:fill="F2F2F2"/>
          </w:tcPr>
          <w:p>
            <w:pPr>
              <w:spacing w:after="0"/>
              <w:rPr>
                <w:sz w:val="19"/>
                <w:szCs w:val="19"/>
                <w:color w:val="auto"/>
              </w:rPr>
            </w:pPr>
          </w:p>
        </w:tc>
        <w:tc>
          <w:tcPr>
            <w:tcW w:w="200" w:type="dxa"/>
            <w:vAlign w:val="bottom"/>
            <w:tcBorders>
              <w:bottom w:val="single" w:sz="8" w:color="auto"/>
              <w:right w:val="single" w:sz="8" w:color="F2F2F2"/>
            </w:tcBorders>
            <w:shd w:val="clear" w:color="auto" w:fill="F2F2F2"/>
          </w:tcPr>
          <w:p>
            <w:pPr>
              <w:spacing w:after="0"/>
              <w:rPr>
                <w:sz w:val="19"/>
                <w:szCs w:val="19"/>
                <w:color w:val="auto"/>
              </w:rPr>
            </w:pPr>
          </w:p>
        </w:tc>
        <w:tc>
          <w:tcPr>
            <w:tcW w:w="4840" w:type="dxa"/>
            <w:vAlign w:val="bottom"/>
            <w:tcBorders>
              <w:bottom w:val="single" w:sz="8" w:color="auto"/>
            </w:tcBorders>
            <w:gridSpan w:val="7"/>
            <w:shd w:val="clear" w:color="auto" w:fill="F2F2F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 Mar 31, 2025</w:t>
            </w:r>
          </w:p>
        </w:tc>
        <w:tc>
          <w:tcPr>
            <w:tcW w:w="860" w:type="dxa"/>
            <w:vAlign w:val="bottom"/>
            <w:tcBorders>
              <w:bottom w:val="single" w:sz="8" w:color="auto"/>
              <w:right w:val="single" w:sz="8" w:color="F2F2F2"/>
            </w:tcBorders>
            <w:shd w:val="clear" w:color="auto" w:fill="F2F2F2"/>
          </w:tcPr>
          <w:p>
            <w:pPr>
              <w:spacing w:after="0"/>
              <w:rPr>
                <w:sz w:val="19"/>
                <w:szCs w:val="19"/>
                <w:color w:val="auto"/>
              </w:rPr>
            </w:pPr>
          </w:p>
        </w:tc>
        <w:tc>
          <w:tcPr>
            <w:tcW w:w="560" w:type="dxa"/>
            <w:vAlign w:val="bottom"/>
            <w:tcBorders>
              <w:bottom w:val="single" w:sz="8" w:color="auto"/>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400" w:type="dxa"/>
            <w:vAlign w:val="bottom"/>
            <w:tcBorders>
              <w:left w:val="single" w:sz="8" w:color="auto"/>
              <w:right w:val="single" w:sz="8" w:color="auto"/>
            </w:tcBorders>
            <w:gridSpan w:val="2"/>
            <w:vMerge w:val="restart"/>
            <w:shd w:val="clear" w:color="auto" w:fill="F2F2F2"/>
          </w:tcPr>
          <w:p>
            <w:pPr>
              <w:ind w:left="140"/>
              <w:spacing w:after="0"/>
              <w:rPr>
                <w:sz w:val="20"/>
                <w:szCs w:val="20"/>
                <w:color w:val="auto"/>
              </w:rPr>
            </w:pPr>
            <w:r>
              <w:rPr>
                <w:rFonts w:ascii="Times New Roman" w:cs="Times New Roman" w:eastAsia="Times New Roman" w:hAnsi="Times New Roman"/>
                <w:sz w:val="18"/>
                <w:szCs w:val="18"/>
                <w:b w:val="1"/>
                <w:bCs w:val="1"/>
                <w:color w:val="auto"/>
              </w:rPr>
              <w:t>Business lines</w:t>
            </w:r>
          </w:p>
        </w:tc>
        <w:tc>
          <w:tcPr>
            <w:tcW w:w="1380" w:type="dxa"/>
            <w:vAlign w:val="bottom"/>
            <w:gridSpan w:val="2"/>
            <w:vMerge w:val="restart"/>
            <w:shd w:val="clear" w:color="auto" w:fill="F2F2F2"/>
          </w:tcPr>
          <w:p>
            <w:pPr>
              <w:ind w:left="320"/>
              <w:spacing w:after="0"/>
              <w:rPr>
                <w:sz w:val="20"/>
                <w:szCs w:val="20"/>
                <w:color w:val="auto"/>
              </w:rPr>
            </w:pPr>
            <w:r>
              <w:rPr>
                <w:rFonts w:ascii="Times New Roman" w:cs="Times New Roman" w:eastAsia="Times New Roman" w:hAnsi="Times New Roman"/>
                <w:sz w:val="18"/>
                <w:szCs w:val="18"/>
                <w:b w:val="1"/>
                <w:bCs w:val="1"/>
                <w:color w:val="auto"/>
              </w:rPr>
              <w:t>Self-Mining</w:t>
            </w:r>
          </w:p>
        </w:tc>
        <w:tc>
          <w:tcPr>
            <w:tcW w:w="200" w:type="dxa"/>
            <w:vAlign w:val="bottom"/>
            <w:tcBorders>
              <w:right w:val="single" w:sz="8" w:color="auto"/>
            </w:tcBorders>
            <w:shd w:val="clear" w:color="auto" w:fill="F2F2F2"/>
          </w:tcPr>
          <w:p>
            <w:pPr>
              <w:spacing w:after="0"/>
              <w:rPr>
                <w:sz w:val="16"/>
                <w:szCs w:val="16"/>
                <w:color w:val="auto"/>
              </w:rPr>
            </w:pPr>
          </w:p>
        </w:tc>
        <w:tc>
          <w:tcPr>
            <w:tcW w:w="1560" w:type="dxa"/>
            <w:vAlign w:val="bottom"/>
            <w:tcBorders>
              <w:right w:val="single" w:sz="8" w:color="auto"/>
            </w:tcBorders>
            <w:gridSpan w:val="2"/>
            <w:vMerge w:val="restart"/>
            <w:shd w:val="clear" w:color="auto" w:fill="F2F2F2"/>
          </w:tcPr>
          <w:p>
            <w:pPr>
              <w:ind w:left="100"/>
              <w:spacing w:after="0"/>
              <w:rPr>
                <w:sz w:val="20"/>
                <w:szCs w:val="20"/>
                <w:color w:val="auto"/>
              </w:rPr>
            </w:pPr>
            <w:r>
              <w:rPr>
                <w:rFonts w:ascii="Times New Roman" w:cs="Times New Roman" w:eastAsia="Times New Roman" w:hAnsi="Times New Roman"/>
                <w:sz w:val="18"/>
                <w:szCs w:val="18"/>
                <w:b w:val="1"/>
                <w:bCs w:val="1"/>
                <w:color w:val="auto"/>
              </w:rPr>
              <w:t>Cloud Hash Rate</w:t>
            </w:r>
          </w:p>
        </w:tc>
        <w:tc>
          <w:tcPr>
            <w:tcW w:w="15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General Hosting</w:t>
            </w:r>
          </w:p>
        </w:tc>
        <w:tc>
          <w:tcPr>
            <w:tcW w:w="180" w:type="dxa"/>
            <w:vAlign w:val="bottom"/>
            <w:shd w:val="clear" w:color="auto" w:fill="F2F2F2"/>
          </w:tcPr>
          <w:p>
            <w:pPr>
              <w:spacing w:after="0"/>
              <w:rPr>
                <w:sz w:val="16"/>
                <w:szCs w:val="16"/>
                <w:color w:val="auto"/>
              </w:rPr>
            </w:pPr>
          </w:p>
        </w:tc>
        <w:tc>
          <w:tcPr>
            <w:tcW w:w="1400" w:type="dxa"/>
            <w:vAlign w:val="bottom"/>
            <w:tcBorders>
              <w:right w:val="single" w:sz="8" w:color="auto"/>
            </w:tcBorders>
            <w:gridSpan w:val="2"/>
            <w:shd w:val="clear" w:color="auto" w:fill="F2F2F2"/>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Membership</w:t>
            </w:r>
          </w:p>
        </w:tc>
        <w:tc>
          <w:tcPr>
            <w:tcW w:w="140" w:type="dxa"/>
            <w:vAlign w:val="bottom"/>
            <w:shd w:val="clear" w:color="auto" w:fill="F2F2F2"/>
          </w:tcPr>
          <w:p>
            <w:pPr>
              <w:spacing w:after="0"/>
              <w:rPr>
                <w:sz w:val="16"/>
                <w:szCs w:val="16"/>
                <w:color w:val="auto"/>
              </w:rPr>
            </w:pPr>
          </w:p>
        </w:tc>
        <w:tc>
          <w:tcPr>
            <w:tcW w:w="1420" w:type="dxa"/>
            <w:vAlign w:val="bottom"/>
            <w:tcBorders>
              <w:right w:val="single" w:sz="8" w:color="auto"/>
            </w:tcBorders>
            <w:gridSpan w:val="2"/>
            <w:shd w:val="clear" w:color="auto" w:fill="F2F2F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Sales of</w:t>
            </w:r>
          </w:p>
        </w:tc>
        <w:tc>
          <w:tcPr>
            <w:tcW w:w="0" w:type="dxa"/>
            <w:vAlign w:val="bottom"/>
          </w:tcPr>
          <w:p>
            <w:pPr>
              <w:spacing w:after="0"/>
              <w:rPr>
                <w:sz w:val="1"/>
                <w:szCs w:val="1"/>
                <w:color w:val="auto"/>
              </w:rPr>
            </w:pPr>
          </w:p>
        </w:tc>
      </w:tr>
      <w:tr>
        <w:trPr>
          <w:trHeight w:val="130"/>
        </w:trPr>
        <w:tc>
          <w:tcPr>
            <w:tcW w:w="3400" w:type="dxa"/>
            <w:vAlign w:val="bottom"/>
            <w:tcBorders>
              <w:left w:val="single" w:sz="8" w:color="auto"/>
              <w:right w:val="single" w:sz="8" w:color="auto"/>
            </w:tcBorders>
            <w:gridSpan w:val="2"/>
            <w:vMerge w:val="continue"/>
            <w:shd w:val="clear" w:color="auto" w:fill="F2F2F2"/>
          </w:tcPr>
          <w:p>
            <w:pPr>
              <w:spacing w:after="0"/>
              <w:rPr>
                <w:sz w:val="11"/>
                <w:szCs w:val="11"/>
                <w:color w:val="auto"/>
              </w:rPr>
            </w:pPr>
          </w:p>
        </w:tc>
        <w:tc>
          <w:tcPr>
            <w:tcW w:w="1380" w:type="dxa"/>
            <w:vAlign w:val="bottom"/>
            <w:gridSpan w:val="2"/>
            <w:vMerge w:val="continue"/>
            <w:shd w:val="clear" w:color="auto" w:fill="F2F2F2"/>
          </w:tcPr>
          <w:p>
            <w:pPr>
              <w:spacing w:after="0"/>
              <w:rPr>
                <w:sz w:val="11"/>
                <w:szCs w:val="11"/>
                <w:color w:val="auto"/>
              </w:rPr>
            </w:pPr>
          </w:p>
        </w:tc>
        <w:tc>
          <w:tcPr>
            <w:tcW w:w="200" w:type="dxa"/>
            <w:vAlign w:val="bottom"/>
            <w:tcBorders>
              <w:right w:val="single" w:sz="8" w:color="auto"/>
            </w:tcBorders>
            <w:shd w:val="clear" w:color="auto" w:fill="F2F2F2"/>
          </w:tcPr>
          <w:p>
            <w:pPr>
              <w:spacing w:after="0"/>
              <w:rPr>
                <w:sz w:val="11"/>
                <w:szCs w:val="11"/>
                <w:color w:val="auto"/>
              </w:rPr>
            </w:pPr>
          </w:p>
        </w:tc>
        <w:tc>
          <w:tcPr>
            <w:tcW w:w="1560" w:type="dxa"/>
            <w:vAlign w:val="bottom"/>
            <w:tcBorders>
              <w:right w:val="single" w:sz="8" w:color="auto"/>
            </w:tcBorders>
            <w:gridSpan w:val="2"/>
            <w:vMerge w:val="continue"/>
            <w:shd w:val="clear" w:color="auto" w:fill="F2F2F2"/>
          </w:tcPr>
          <w:p>
            <w:pPr>
              <w:spacing w:after="0"/>
              <w:rPr>
                <w:sz w:val="11"/>
                <w:szCs w:val="11"/>
                <w:color w:val="auto"/>
              </w:rPr>
            </w:pPr>
          </w:p>
        </w:tc>
        <w:tc>
          <w:tcPr>
            <w:tcW w:w="1560" w:type="dxa"/>
            <w:vAlign w:val="bottom"/>
            <w:tcBorders>
              <w:right w:val="single" w:sz="8" w:color="auto"/>
            </w:tcBorders>
            <w:vMerge w:val="continue"/>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180" w:type="dxa"/>
            <w:vAlign w:val="bottom"/>
            <w:tcBorders>
              <w:right w:val="single" w:sz="8" w:color="F2F2F2"/>
            </w:tcBorders>
            <w:shd w:val="clear" w:color="auto" w:fill="F2F2F2"/>
          </w:tcPr>
          <w:p>
            <w:pPr>
              <w:spacing w:after="0"/>
              <w:rPr>
                <w:sz w:val="11"/>
                <w:szCs w:val="11"/>
                <w:color w:val="auto"/>
              </w:rPr>
            </w:pPr>
          </w:p>
        </w:tc>
        <w:tc>
          <w:tcPr>
            <w:tcW w:w="1220" w:type="dxa"/>
            <w:vAlign w:val="bottom"/>
            <w:tcBorders>
              <w:right w:val="single" w:sz="8" w:color="auto"/>
            </w:tcBorders>
            <w:vMerge w:val="restart"/>
            <w:shd w:val="clear" w:color="auto" w:fill="F2F2F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Hosting</w:t>
            </w:r>
          </w:p>
        </w:tc>
        <w:tc>
          <w:tcPr>
            <w:tcW w:w="140" w:type="dxa"/>
            <w:vAlign w:val="bottom"/>
            <w:shd w:val="clear" w:color="auto" w:fill="F2F2F2"/>
          </w:tcPr>
          <w:p>
            <w:pPr>
              <w:spacing w:after="0"/>
              <w:rPr>
                <w:sz w:val="11"/>
                <w:szCs w:val="11"/>
                <w:color w:val="auto"/>
              </w:rPr>
            </w:pPr>
          </w:p>
        </w:tc>
        <w:tc>
          <w:tcPr>
            <w:tcW w:w="1420" w:type="dxa"/>
            <w:vAlign w:val="bottom"/>
            <w:tcBorders>
              <w:right w:val="single" w:sz="8" w:color="auto"/>
            </w:tcBorders>
            <w:gridSpan w:val="2"/>
            <w:vMerge w:val="restart"/>
            <w:shd w:val="clear" w:color="auto" w:fill="F2F2F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SEALMINERs</w:t>
            </w:r>
          </w:p>
        </w:tc>
        <w:tc>
          <w:tcPr>
            <w:tcW w:w="0" w:type="dxa"/>
            <w:vAlign w:val="bottom"/>
          </w:tcPr>
          <w:p>
            <w:pPr>
              <w:spacing w:after="0"/>
              <w:rPr>
                <w:sz w:val="1"/>
                <w:szCs w:val="1"/>
                <w:color w:val="auto"/>
              </w:rPr>
            </w:pPr>
          </w:p>
        </w:tc>
      </w:tr>
      <w:tr>
        <w:trPr>
          <w:trHeight w:val="115"/>
        </w:trPr>
        <w:tc>
          <w:tcPr>
            <w:tcW w:w="600" w:type="dxa"/>
            <w:vAlign w:val="bottom"/>
            <w:tcBorders>
              <w:left w:val="single" w:sz="8" w:color="auto"/>
              <w:bottom w:val="single" w:sz="8" w:color="auto"/>
              <w:right w:val="single" w:sz="8" w:color="F2F2F2"/>
            </w:tcBorders>
            <w:shd w:val="clear" w:color="auto" w:fill="F2F2F2"/>
          </w:tcPr>
          <w:p>
            <w:pPr>
              <w:spacing w:after="0"/>
              <w:rPr>
                <w:sz w:val="10"/>
                <w:szCs w:val="10"/>
                <w:color w:val="auto"/>
              </w:rPr>
            </w:pPr>
          </w:p>
        </w:tc>
        <w:tc>
          <w:tcPr>
            <w:tcW w:w="2800" w:type="dxa"/>
            <w:vAlign w:val="bottom"/>
            <w:tcBorders>
              <w:bottom w:val="single" w:sz="8" w:color="auto"/>
              <w:right w:val="single" w:sz="8" w:color="auto"/>
            </w:tcBorders>
            <w:shd w:val="clear" w:color="auto" w:fill="F2F2F2"/>
          </w:tcPr>
          <w:p>
            <w:pPr>
              <w:spacing w:after="0"/>
              <w:rPr>
                <w:sz w:val="10"/>
                <w:szCs w:val="10"/>
                <w:color w:val="auto"/>
              </w:rPr>
            </w:pPr>
          </w:p>
        </w:tc>
        <w:tc>
          <w:tcPr>
            <w:tcW w:w="640" w:type="dxa"/>
            <w:vAlign w:val="bottom"/>
            <w:tcBorders>
              <w:bottom w:val="single" w:sz="8" w:color="auto"/>
              <w:right w:val="single" w:sz="8" w:color="F2F2F2"/>
            </w:tcBorders>
            <w:shd w:val="clear" w:color="auto" w:fill="F2F2F2"/>
          </w:tcPr>
          <w:p>
            <w:pPr>
              <w:spacing w:after="0"/>
              <w:rPr>
                <w:sz w:val="10"/>
                <w:szCs w:val="10"/>
                <w:color w:val="auto"/>
              </w:rPr>
            </w:pPr>
          </w:p>
        </w:tc>
        <w:tc>
          <w:tcPr>
            <w:tcW w:w="740" w:type="dxa"/>
            <w:vAlign w:val="bottom"/>
            <w:tcBorders>
              <w:bottom w:val="single" w:sz="8" w:color="auto"/>
            </w:tcBorders>
            <w:shd w:val="clear" w:color="auto" w:fill="F2F2F2"/>
          </w:tcPr>
          <w:p>
            <w:pPr>
              <w:spacing w:after="0"/>
              <w:rPr>
                <w:sz w:val="10"/>
                <w:szCs w:val="10"/>
                <w:color w:val="auto"/>
              </w:rPr>
            </w:pPr>
          </w:p>
        </w:tc>
        <w:tc>
          <w:tcPr>
            <w:tcW w:w="200" w:type="dxa"/>
            <w:vAlign w:val="bottom"/>
            <w:tcBorders>
              <w:bottom w:val="single" w:sz="8" w:color="auto"/>
              <w:right w:val="single" w:sz="8" w:color="auto"/>
            </w:tcBorders>
            <w:shd w:val="clear" w:color="auto" w:fill="F2F2F2"/>
          </w:tcPr>
          <w:p>
            <w:pPr>
              <w:spacing w:after="0"/>
              <w:rPr>
                <w:sz w:val="10"/>
                <w:szCs w:val="10"/>
                <w:color w:val="auto"/>
              </w:rPr>
            </w:pPr>
          </w:p>
        </w:tc>
        <w:tc>
          <w:tcPr>
            <w:tcW w:w="1260" w:type="dxa"/>
            <w:vAlign w:val="bottom"/>
            <w:tcBorders>
              <w:bottom w:val="single" w:sz="8" w:color="auto"/>
              <w:right w:val="single" w:sz="8" w:color="F2F2F2"/>
            </w:tcBorders>
            <w:shd w:val="clear" w:color="auto" w:fill="F2F2F2"/>
          </w:tcPr>
          <w:p>
            <w:pPr>
              <w:spacing w:after="0"/>
              <w:rPr>
                <w:sz w:val="10"/>
                <w:szCs w:val="10"/>
                <w:color w:val="auto"/>
              </w:rPr>
            </w:pPr>
          </w:p>
        </w:tc>
        <w:tc>
          <w:tcPr>
            <w:tcW w:w="300" w:type="dxa"/>
            <w:vAlign w:val="bottom"/>
            <w:tcBorders>
              <w:bottom w:val="single" w:sz="8" w:color="auto"/>
              <w:right w:val="single" w:sz="8" w:color="auto"/>
            </w:tcBorders>
            <w:shd w:val="clear" w:color="auto" w:fill="F2F2F2"/>
          </w:tcPr>
          <w:p>
            <w:pPr>
              <w:spacing w:after="0"/>
              <w:rPr>
                <w:sz w:val="10"/>
                <w:szCs w:val="10"/>
                <w:color w:val="auto"/>
              </w:rPr>
            </w:pPr>
          </w:p>
        </w:tc>
        <w:tc>
          <w:tcPr>
            <w:tcW w:w="1560" w:type="dxa"/>
            <w:vAlign w:val="bottom"/>
            <w:tcBorders>
              <w:bottom w:val="single" w:sz="8" w:color="auto"/>
              <w:right w:val="single" w:sz="8" w:color="auto"/>
            </w:tcBorders>
            <w:shd w:val="clear" w:color="auto" w:fill="F2F2F2"/>
          </w:tcPr>
          <w:p>
            <w:pPr>
              <w:spacing w:after="0"/>
              <w:rPr>
                <w:sz w:val="10"/>
                <w:szCs w:val="10"/>
                <w:color w:val="auto"/>
              </w:rPr>
            </w:pPr>
          </w:p>
        </w:tc>
        <w:tc>
          <w:tcPr>
            <w:tcW w:w="180" w:type="dxa"/>
            <w:vAlign w:val="bottom"/>
            <w:tcBorders>
              <w:bottom w:val="single" w:sz="8" w:color="auto"/>
            </w:tcBorders>
            <w:shd w:val="clear" w:color="auto" w:fill="F2F2F2"/>
          </w:tcPr>
          <w:p>
            <w:pPr>
              <w:spacing w:after="0"/>
              <w:rPr>
                <w:sz w:val="10"/>
                <w:szCs w:val="10"/>
                <w:color w:val="auto"/>
              </w:rPr>
            </w:pPr>
          </w:p>
        </w:tc>
        <w:tc>
          <w:tcPr>
            <w:tcW w:w="180" w:type="dxa"/>
            <w:vAlign w:val="bottom"/>
            <w:tcBorders>
              <w:bottom w:val="single" w:sz="8" w:color="auto"/>
              <w:right w:val="single" w:sz="8" w:color="F2F2F2"/>
            </w:tcBorders>
            <w:shd w:val="clear" w:color="auto" w:fill="F2F2F2"/>
          </w:tcPr>
          <w:p>
            <w:pPr>
              <w:spacing w:after="0"/>
              <w:rPr>
                <w:sz w:val="10"/>
                <w:szCs w:val="10"/>
                <w:color w:val="auto"/>
              </w:rPr>
            </w:pPr>
          </w:p>
        </w:tc>
        <w:tc>
          <w:tcPr>
            <w:tcW w:w="1220" w:type="dxa"/>
            <w:vAlign w:val="bottom"/>
            <w:tcBorders>
              <w:bottom w:val="single" w:sz="8" w:color="auto"/>
              <w:right w:val="single" w:sz="8" w:color="auto"/>
            </w:tcBorders>
            <w:vMerge w:val="continue"/>
            <w:shd w:val="clear" w:color="auto" w:fill="F2F2F2"/>
          </w:tcPr>
          <w:p>
            <w:pPr>
              <w:spacing w:after="0"/>
              <w:rPr>
                <w:sz w:val="10"/>
                <w:szCs w:val="10"/>
                <w:color w:val="auto"/>
              </w:rPr>
            </w:pPr>
          </w:p>
        </w:tc>
        <w:tc>
          <w:tcPr>
            <w:tcW w:w="140" w:type="dxa"/>
            <w:vAlign w:val="bottom"/>
            <w:tcBorders>
              <w:bottom w:val="single" w:sz="8" w:color="auto"/>
            </w:tcBorders>
            <w:shd w:val="clear" w:color="auto" w:fill="F2F2F2"/>
          </w:tcPr>
          <w:p>
            <w:pPr>
              <w:spacing w:after="0"/>
              <w:rPr>
                <w:sz w:val="10"/>
                <w:szCs w:val="10"/>
                <w:color w:val="auto"/>
              </w:rPr>
            </w:pPr>
          </w:p>
        </w:tc>
        <w:tc>
          <w:tcPr>
            <w:tcW w:w="1420" w:type="dxa"/>
            <w:vAlign w:val="bottom"/>
            <w:tcBorders>
              <w:bottom w:val="single" w:sz="8" w:color="auto"/>
              <w:right w:val="single" w:sz="8" w:color="auto"/>
            </w:tcBorders>
            <w:gridSpan w:val="2"/>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37.2</w:t>
            </w:r>
          </w:p>
        </w:tc>
        <w:tc>
          <w:tcPr>
            <w:tcW w:w="2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0.1</w:t>
            </w:r>
          </w:p>
        </w:tc>
        <w:tc>
          <w:tcPr>
            <w:tcW w:w="3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9.6</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16.3</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4.1</w:t>
            </w: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Electricity cost in operating mining rigs</w:t>
            </w:r>
          </w:p>
        </w:tc>
        <w:tc>
          <w:tcPr>
            <w:tcW w:w="138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(6.8)</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Depreciation and SBC expenses</w:t>
            </w:r>
          </w:p>
        </w:tc>
        <w:tc>
          <w:tcPr>
            <w:tcW w:w="138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8"/>
              </w:rPr>
              <w:t>(0.1)</w:t>
            </w:r>
          </w:p>
        </w:tc>
        <w:tc>
          <w:tcPr>
            <w:tcW w:w="3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Cost of products sold</w:t>
            </w:r>
          </w:p>
        </w:tc>
        <w:tc>
          <w:tcPr>
            <w:tcW w:w="13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(3.3)</w:t>
            </w: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Other cash costs</w:t>
            </w:r>
          </w:p>
        </w:tc>
        <w:tc>
          <w:tcPr>
            <w:tcW w:w="138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38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(41.0)</w:t>
            </w:r>
          </w:p>
        </w:tc>
        <w:tc>
          <w:tcPr>
            <w:tcW w:w="2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3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(9.1)</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(15.4)</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(3.3)</w:t>
            </w: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Gross profit/(loss)</w:t>
            </w:r>
          </w:p>
        </w:tc>
        <w:tc>
          <w:tcPr>
            <w:tcW w:w="138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(3.8)</w:t>
            </w:r>
          </w:p>
        </w:tc>
        <w:tc>
          <w:tcPr>
            <w:tcW w:w="2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0.5</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0.9</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0.8</w:t>
            </w: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6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400" w:type="dxa"/>
            <w:vAlign w:val="bottom"/>
            <w:tcBorders>
              <w:top w:val="single" w:sz="8" w:color="auto"/>
              <w:left w:val="single" w:sz="8" w:color="auto"/>
              <w:bottom w:val="single" w:sz="8" w:color="auto"/>
              <w:right w:val="single" w:sz="8" w:color="auto"/>
            </w:tcBorders>
            <w:shd w:val="clear" w:color="auto" w:fill="F2F2F2"/>
          </w:tcPr>
          <w:p>
            <w:pPr>
              <w:ind w:left="140"/>
              <w:spacing w:after="0"/>
              <w:rPr>
                <w:sz w:val="20"/>
                <w:szCs w:val="20"/>
                <w:color w:val="auto"/>
              </w:rPr>
            </w:pPr>
            <w:r>
              <w:rPr>
                <w:rFonts w:ascii="Times New Roman" w:cs="Times New Roman" w:eastAsia="Times New Roman" w:hAnsi="Times New Roman"/>
                <w:sz w:val="18"/>
                <w:szCs w:val="18"/>
                <w:color w:val="auto"/>
              </w:rPr>
              <w:t>US $ in millions</w:t>
            </w:r>
          </w:p>
        </w:tc>
        <w:tc>
          <w:tcPr>
            <w:tcW w:w="1580" w:type="dxa"/>
            <w:vAlign w:val="bottom"/>
            <w:tcBorders>
              <w:top w:val="single" w:sz="8" w:color="auto"/>
              <w:bottom w:val="single" w:sz="8" w:color="auto"/>
              <w:right w:val="single" w:sz="8" w:color="F2F2F2"/>
            </w:tcBorders>
            <w:shd w:val="clear" w:color="auto" w:fill="F2F2F2"/>
          </w:tcPr>
          <w:p>
            <w:pPr>
              <w:spacing w:after="0"/>
              <w:rPr>
                <w:sz w:val="21"/>
                <w:szCs w:val="21"/>
                <w:color w:val="auto"/>
              </w:rPr>
            </w:pPr>
          </w:p>
        </w:tc>
        <w:tc>
          <w:tcPr>
            <w:tcW w:w="3120" w:type="dxa"/>
            <w:vAlign w:val="bottom"/>
            <w:tcBorders>
              <w:top w:val="single" w:sz="8" w:color="auto"/>
              <w:bottom w:val="single" w:sz="8" w:color="auto"/>
              <w:right w:val="single" w:sz="8" w:color="F2F2F2"/>
            </w:tcBorders>
            <w:gridSpan w:val="2"/>
            <w:shd w:val="clear" w:color="auto" w:fill="F2F2F2"/>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Mar 31, 2024</w:t>
            </w:r>
          </w:p>
        </w:tc>
        <w:tc>
          <w:tcPr>
            <w:tcW w:w="1580" w:type="dxa"/>
            <w:vAlign w:val="bottom"/>
            <w:tcBorders>
              <w:top w:val="single" w:sz="8" w:color="auto"/>
              <w:bottom w:val="single" w:sz="8" w:color="auto"/>
              <w:right w:val="single" w:sz="8" w:color="auto"/>
            </w:tcBorders>
            <w:shd w:val="clear" w:color="auto" w:fill="F2F2F2"/>
          </w:tcPr>
          <w:p>
            <w:pPr>
              <w:spacing w:after="0"/>
              <w:rPr>
                <w:sz w:val="21"/>
                <w:szCs w:val="21"/>
                <w:color w:val="auto"/>
              </w:rPr>
            </w:pPr>
          </w:p>
        </w:tc>
        <w:tc>
          <w:tcPr>
            <w:tcW w:w="1560" w:type="dxa"/>
            <w:vAlign w:val="bottom"/>
            <w:tcBorders>
              <w:top w:val="single" w:sz="8" w:color="auto"/>
              <w:bottom w:val="single" w:sz="8" w:color="auto"/>
              <w:right w:val="single" w:sz="8" w:color="auto"/>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0" w:type="dxa"/>
            <w:vAlign w:val="bottom"/>
            <w:tcBorders>
              <w:left w:val="single" w:sz="8" w:color="auto"/>
              <w:right w:val="single" w:sz="8" w:color="auto"/>
            </w:tcBorders>
            <w:vMerge w:val="restart"/>
            <w:shd w:val="clear" w:color="auto" w:fill="F2F2F2"/>
          </w:tcPr>
          <w:p>
            <w:pPr>
              <w:ind w:left="140"/>
              <w:spacing w:after="0"/>
              <w:rPr>
                <w:sz w:val="20"/>
                <w:szCs w:val="20"/>
                <w:color w:val="auto"/>
              </w:rPr>
            </w:pPr>
            <w:r>
              <w:rPr>
                <w:rFonts w:ascii="Times New Roman" w:cs="Times New Roman" w:eastAsia="Times New Roman" w:hAnsi="Times New Roman"/>
                <w:sz w:val="18"/>
                <w:szCs w:val="18"/>
                <w:b w:val="1"/>
                <w:bCs w:val="1"/>
                <w:color w:val="auto"/>
              </w:rPr>
              <w:t>Business lines</w:t>
            </w:r>
          </w:p>
        </w:tc>
        <w:tc>
          <w:tcPr>
            <w:tcW w:w="1580" w:type="dxa"/>
            <w:vAlign w:val="bottom"/>
            <w:tcBorders>
              <w:right w:val="single" w:sz="8" w:color="auto"/>
            </w:tcBorders>
            <w:vMerge w:val="restart"/>
            <w:shd w:val="clear" w:color="auto" w:fill="F2F2F2"/>
          </w:tcPr>
          <w:p>
            <w:pPr>
              <w:ind w:left="320"/>
              <w:spacing w:after="0"/>
              <w:rPr>
                <w:sz w:val="20"/>
                <w:szCs w:val="20"/>
                <w:color w:val="auto"/>
              </w:rPr>
            </w:pPr>
            <w:r>
              <w:rPr>
                <w:rFonts w:ascii="Times New Roman" w:cs="Times New Roman" w:eastAsia="Times New Roman" w:hAnsi="Times New Roman"/>
                <w:sz w:val="18"/>
                <w:szCs w:val="18"/>
                <w:b w:val="1"/>
                <w:bCs w:val="1"/>
                <w:color w:val="auto"/>
              </w:rPr>
              <w:t>Self-Mining</w:t>
            </w:r>
          </w:p>
        </w:tc>
        <w:tc>
          <w:tcPr>
            <w:tcW w:w="1560" w:type="dxa"/>
            <w:vAlign w:val="bottom"/>
            <w:tcBorders>
              <w:right w:val="single" w:sz="8" w:color="auto"/>
            </w:tcBorders>
            <w:vMerge w:val="restart"/>
            <w:shd w:val="clear" w:color="auto" w:fill="F2F2F2"/>
          </w:tcPr>
          <w:p>
            <w:pPr>
              <w:ind w:left="100"/>
              <w:spacing w:after="0"/>
              <w:rPr>
                <w:sz w:val="20"/>
                <w:szCs w:val="20"/>
                <w:color w:val="auto"/>
              </w:rPr>
            </w:pPr>
            <w:r>
              <w:rPr>
                <w:rFonts w:ascii="Times New Roman" w:cs="Times New Roman" w:eastAsia="Times New Roman" w:hAnsi="Times New Roman"/>
                <w:sz w:val="18"/>
                <w:szCs w:val="18"/>
                <w:b w:val="1"/>
                <w:bCs w:val="1"/>
                <w:color w:val="auto"/>
              </w:rPr>
              <w:t>Cloud Hash Rate</w:t>
            </w:r>
          </w:p>
        </w:tc>
        <w:tc>
          <w:tcPr>
            <w:tcW w:w="1560" w:type="dxa"/>
            <w:vAlign w:val="bottom"/>
            <w:tcBorders>
              <w:right w:val="single" w:sz="8" w:color="auto"/>
            </w:tcBorders>
            <w:vMerge w:val="restart"/>
            <w:shd w:val="clear" w:color="auto" w:fill="F2F2F2"/>
          </w:tcPr>
          <w:p>
            <w:pPr>
              <w:ind w:left="140"/>
              <w:spacing w:after="0"/>
              <w:rPr>
                <w:sz w:val="20"/>
                <w:szCs w:val="20"/>
                <w:color w:val="auto"/>
              </w:rPr>
            </w:pPr>
            <w:r>
              <w:rPr>
                <w:rFonts w:ascii="Times New Roman" w:cs="Times New Roman" w:eastAsia="Times New Roman" w:hAnsi="Times New Roman"/>
                <w:sz w:val="18"/>
                <w:szCs w:val="18"/>
                <w:b w:val="1"/>
                <w:bCs w:val="1"/>
                <w:color w:val="auto"/>
              </w:rPr>
              <w:t>General Hosting</w:t>
            </w:r>
          </w:p>
        </w:tc>
        <w:tc>
          <w:tcPr>
            <w:tcW w:w="1580" w:type="dxa"/>
            <w:vAlign w:val="bottom"/>
            <w:tcBorders>
              <w:right w:val="single" w:sz="8" w:color="auto"/>
            </w:tcBorders>
            <w:shd w:val="clear" w:color="auto" w:fill="F2F2F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Membership</w:t>
            </w:r>
          </w:p>
        </w:tc>
        <w:tc>
          <w:tcPr>
            <w:tcW w:w="1560" w:type="dxa"/>
            <w:vAlign w:val="bottom"/>
            <w:tcBorders>
              <w:right w:val="single" w:sz="8" w:color="auto"/>
            </w:tcBorders>
            <w:shd w:val="clear" w:color="auto" w:fill="F2F2F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Sales of</w:t>
            </w:r>
          </w:p>
        </w:tc>
        <w:tc>
          <w:tcPr>
            <w:tcW w:w="0" w:type="dxa"/>
            <w:vAlign w:val="bottom"/>
          </w:tcPr>
          <w:p>
            <w:pPr>
              <w:spacing w:after="0"/>
              <w:rPr>
                <w:sz w:val="1"/>
                <w:szCs w:val="1"/>
                <w:color w:val="auto"/>
              </w:rPr>
            </w:pPr>
          </w:p>
        </w:tc>
      </w:tr>
      <w:tr>
        <w:trPr>
          <w:trHeight w:val="130"/>
        </w:trPr>
        <w:tc>
          <w:tcPr>
            <w:tcW w:w="3400" w:type="dxa"/>
            <w:vAlign w:val="bottom"/>
            <w:tcBorders>
              <w:left w:val="single" w:sz="8" w:color="auto"/>
              <w:right w:val="single" w:sz="8" w:color="auto"/>
            </w:tcBorders>
            <w:vMerge w:val="continue"/>
            <w:shd w:val="clear" w:color="auto" w:fill="F2F2F2"/>
          </w:tcPr>
          <w:p>
            <w:pPr>
              <w:spacing w:after="0"/>
              <w:rPr>
                <w:sz w:val="11"/>
                <w:szCs w:val="11"/>
                <w:color w:val="auto"/>
              </w:rPr>
            </w:pPr>
          </w:p>
        </w:tc>
        <w:tc>
          <w:tcPr>
            <w:tcW w:w="1580" w:type="dxa"/>
            <w:vAlign w:val="bottom"/>
            <w:tcBorders>
              <w:right w:val="single" w:sz="8" w:color="auto"/>
            </w:tcBorders>
            <w:vMerge w:val="continue"/>
            <w:shd w:val="clear" w:color="auto" w:fill="F2F2F2"/>
          </w:tcPr>
          <w:p>
            <w:pPr>
              <w:spacing w:after="0"/>
              <w:rPr>
                <w:sz w:val="11"/>
                <w:szCs w:val="11"/>
                <w:color w:val="auto"/>
              </w:rPr>
            </w:pPr>
          </w:p>
        </w:tc>
        <w:tc>
          <w:tcPr>
            <w:tcW w:w="1560" w:type="dxa"/>
            <w:vAlign w:val="bottom"/>
            <w:tcBorders>
              <w:right w:val="single" w:sz="8" w:color="auto"/>
            </w:tcBorders>
            <w:vMerge w:val="continue"/>
            <w:shd w:val="clear" w:color="auto" w:fill="F2F2F2"/>
          </w:tcPr>
          <w:p>
            <w:pPr>
              <w:spacing w:after="0"/>
              <w:rPr>
                <w:sz w:val="11"/>
                <w:szCs w:val="11"/>
                <w:color w:val="auto"/>
              </w:rPr>
            </w:pPr>
          </w:p>
        </w:tc>
        <w:tc>
          <w:tcPr>
            <w:tcW w:w="1560" w:type="dxa"/>
            <w:vAlign w:val="bottom"/>
            <w:tcBorders>
              <w:right w:val="single" w:sz="8" w:color="auto"/>
            </w:tcBorders>
            <w:vMerge w:val="continue"/>
            <w:shd w:val="clear" w:color="auto" w:fill="F2F2F2"/>
          </w:tcPr>
          <w:p>
            <w:pPr>
              <w:spacing w:after="0"/>
              <w:rPr>
                <w:sz w:val="11"/>
                <w:szCs w:val="11"/>
                <w:color w:val="auto"/>
              </w:rPr>
            </w:pPr>
          </w:p>
        </w:tc>
        <w:tc>
          <w:tcPr>
            <w:tcW w:w="158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Hosting</w:t>
            </w:r>
          </w:p>
        </w:tc>
        <w:tc>
          <w:tcPr>
            <w:tcW w:w="156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SEALMINERs</w:t>
            </w:r>
          </w:p>
        </w:tc>
        <w:tc>
          <w:tcPr>
            <w:tcW w:w="0" w:type="dxa"/>
            <w:vAlign w:val="bottom"/>
          </w:tcPr>
          <w:p>
            <w:pPr>
              <w:spacing w:after="0"/>
              <w:rPr>
                <w:sz w:val="1"/>
                <w:szCs w:val="1"/>
                <w:color w:val="auto"/>
              </w:rPr>
            </w:pPr>
          </w:p>
        </w:tc>
      </w:tr>
      <w:tr>
        <w:trPr>
          <w:trHeight w:val="115"/>
        </w:trPr>
        <w:tc>
          <w:tcPr>
            <w:tcW w:w="3400" w:type="dxa"/>
            <w:vAlign w:val="bottom"/>
            <w:tcBorders>
              <w:left w:val="single" w:sz="8" w:color="auto"/>
              <w:bottom w:val="single" w:sz="8" w:color="auto"/>
              <w:right w:val="single" w:sz="8" w:color="auto"/>
            </w:tcBorders>
            <w:shd w:val="clear" w:color="auto" w:fill="F2F2F2"/>
          </w:tcPr>
          <w:p>
            <w:pPr>
              <w:spacing w:after="0"/>
              <w:rPr>
                <w:sz w:val="10"/>
                <w:szCs w:val="10"/>
                <w:color w:val="auto"/>
              </w:rPr>
            </w:pPr>
          </w:p>
        </w:tc>
        <w:tc>
          <w:tcPr>
            <w:tcW w:w="1580" w:type="dxa"/>
            <w:vAlign w:val="bottom"/>
            <w:tcBorders>
              <w:bottom w:val="single" w:sz="8" w:color="auto"/>
              <w:right w:val="single" w:sz="8" w:color="auto"/>
            </w:tcBorders>
            <w:shd w:val="clear" w:color="auto" w:fill="F2F2F2"/>
          </w:tcPr>
          <w:p>
            <w:pPr>
              <w:spacing w:after="0"/>
              <w:rPr>
                <w:sz w:val="10"/>
                <w:szCs w:val="10"/>
                <w:color w:val="auto"/>
              </w:rPr>
            </w:pPr>
          </w:p>
        </w:tc>
        <w:tc>
          <w:tcPr>
            <w:tcW w:w="1560" w:type="dxa"/>
            <w:vAlign w:val="bottom"/>
            <w:tcBorders>
              <w:bottom w:val="single" w:sz="8" w:color="auto"/>
              <w:right w:val="single" w:sz="8" w:color="auto"/>
            </w:tcBorders>
            <w:shd w:val="clear" w:color="auto" w:fill="F2F2F2"/>
          </w:tcPr>
          <w:p>
            <w:pPr>
              <w:spacing w:after="0"/>
              <w:rPr>
                <w:sz w:val="10"/>
                <w:szCs w:val="10"/>
                <w:color w:val="auto"/>
              </w:rPr>
            </w:pPr>
          </w:p>
        </w:tc>
        <w:tc>
          <w:tcPr>
            <w:tcW w:w="1560" w:type="dxa"/>
            <w:vAlign w:val="bottom"/>
            <w:tcBorders>
              <w:bottom w:val="single" w:sz="8" w:color="auto"/>
              <w:right w:val="single" w:sz="8" w:color="auto"/>
            </w:tcBorders>
            <w:shd w:val="clear" w:color="auto" w:fill="F2F2F2"/>
          </w:tcPr>
          <w:p>
            <w:pPr>
              <w:spacing w:after="0"/>
              <w:rPr>
                <w:sz w:val="10"/>
                <w:szCs w:val="10"/>
                <w:color w:val="auto"/>
              </w:rPr>
            </w:pPr>
          </w:p>
        </w:tc>
        <w:tc>
          <w:tcPr>
            <w:tcW w:w="1580" w:type="dxa"/>
            <w:vAlign w:val="bottom"/>
            <w:tcBorders>
              <w:bottom w:val="single" w:sz="8" w:color="auto"/>
              <w:right w:val="single" w:sz="8" w:color="auto"/>
            </w:tcBorders>
            <w:vMerge w:val="continue"/>
            <w:shd w:val="clear" w:color="auto" w:fill="F2F2F2"/>
          </w:tcPr>
          <w:p>
            <w:pPr>
              <w:spacing w:after="0"/>
              <w:rPr>
                <w:sz w:val="10"/>
                <w:szCs w:val="10"/>
                <w:color w:val="auto"/>
              </w:rPr>
            </w:pPr>
          </w:p>
        </w:tc>
        <w:tc>
          <w:tcPr>
            <w:tcW w:w="1560" w:type="dxa"/>
            <w:vAlign w:val="bottom"/>
            <w:tcBorders>
              <w:bottom w:val="single" w:sz="8" w:color="auto"/>
              <w:right w:val="single" w:sz="8" w:color="auto"/>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48.4</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18.1</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29.0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19.5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15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Electricity cost in operating mining rigs</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(5.3)</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Depreciation and SBC expenses</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Other cash costs</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(37.6)</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(9.6)</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(18.6)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(16.2)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10.8</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8.5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10.3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2025 Management’s Discussion and Analysis (compared to Q1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US$70.1 million vs. US$119.5 million.</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revenue </w:t>
      </w:r>
      <w:r>
        <w:rPr>
          <w:rFonts w:ascii="Times New Roman" w:cs="Times New Roman" w:eastAsia="Times New Roman" w:hAnsi="Times New Roman"/>
          <w:sz w:val="18"/>
          <w:szCs w:val="18"/>
          <w:color w:val="auto"/>
        </w:rPr>
        <w:t>was US$37.2 million vs. US$48.4 million, primarily due to the effect of the April 2024 halving and higher global network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hashrate, partially offset by the increase in the average self-mining hashrate for the quarter by 44.8% to 9.7 EH/s from 6.7 EH/s last year and higher year-over-year Bitcoin prices.</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revenue </w:t>
      </w:r>
      <w:r>
        <w:rPr>
          <w:rFonts w:ascii="Times New Roman" w:cs="Times New Roman" w:eastAsia="Times New Roman" w:hAnsi="Times New Roman"/>
          <w:sz w:val="18"/>
          <w:szCs w:val="18"/>
          <w:color w:val="auto"/>
        </w:rPr>
        <w:t>was US$0.1 million vs. US$18.1 million. The decline was primarily due to expiration of long-term Cloud Hashrate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and subsequent reallocation of nearly all machines to self-mining operations by the end of 2024.</w:t>
      </w:r>
    </w:p>
    <w:p>
      <w:pPr>
        <w:jc w:val="both"/>
        <w:ind w:left="3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Hosting revenue </w:t>
      </w:r>
      <w:r>
        <w:rPr>
          <w:rFonts w:ascii="Times New Roman" w:cs="Times New Roman" w:eastAsia="Times New Roman" w:hAnsi="Times New Roman"/>
          <w:sz w:val="18"/>
          <w:szCs w:val="18"/>
          <w:color w:val="auto"/>
        </w:rPr>
        <w:t>was US$9.6 million vs. US$29.0 million. The decline was primarily due to the expiration of certain hosting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as well as the removal of older and less efficient machines by other hosting customers following the April 2024 halving as a result of reduced mining economics.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Membership Hosting revenue </w:t>
      </w:r>
      <w:r>
        <w:rPr>
          <w:rFonts w:ascii="Times New Roman" w:cs="Times New Roman" w:eastAsia="Times New Roman" w:hAnsi="Times New Roman"/>
          <w:sz w:val="18"/>
          <w:szCs w:val="18"/>
          <w:color w:val="auto"/>
        </w:rPr>
        <w:t>was US$16.3 million vs. US$19.5 million. Similar to general hosting, the decline was primarily driven by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scaling down operations for older and less efficient rigs following the April 2024 halving as a result of reduced mining economics.</w:t>
      </w: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SEALMINER sales revenue </w:t>
      </w:r>
      <w:r>
        <w:rPr>
          <w:rFonts w:ascii="Times New Roman" w:cs="Times New Roman" w:eastAsia="Times New Roman" w:hAnsi="Times New Roman"/>
          <w:sz w:val="18"/>
          <w:szCs w:val="18"/>
          <w:color w:val="auto"/>
        </w:rPr>
        <w:t>was US$4.1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31" w:lineRule="exact"/>
        <w:rPr>
          <w:sz w:val="20"/>
          <w:szCs w:val="20"/>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revenue </w:t>
      </w:r>
      <w:r>
        <w:rPr>
          <w:rFonts w:ascii="Times New Roman" w:cs="Times New Roman" w:eastAsia="Times New Roman" w:hAnsi="Times New Roman"/>
          <w:sz w:val="18"/>
          <w:szCs w:val="18"/>
          <w:color w:val="auto"/>
        </w:rPr>
        <w:t>was US$73.4 million vs US$85.4 million. The decrease was primarily driven by lower power usage from hosted mining rigs, partially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offset by the increase in costs of SEALMINERs sold to customers and depreciation expenses for SEALMINER launched in our datacenters during Q1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3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negative US$3.2 million vs. positive US$34.1 million.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-4.6% vs. 28.6%.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operating expenses below was US$75.8 million vs. US$37.8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were US$1.4 million vs. US$1.7 million, about flat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US$15.4 million vs. US$15.0 million, about flat year-over-year.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US$59.0 million vs. US$21.2 million, primarily due to higher R&amp;D costs related to the one-off development and tape out costs of SEAL03 chip, higher engineering costs related to the Company’s ASIC development roadmap, and non-cash amortization expenses of intangible assets related to the acquisition of FreeChain in Q4 2024.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 Gain</w:t>
      </w:r>
    </w:p>
    <w:p>
      <w:pPr>
        <w:spacing w:after="0" w:line="31" w:lineRule="exact"/>
        <w:rPr>
          <w:sz w:val="20"/>
          <w:szCs w:val="20"/>
          <w:color w:val="auto"/>
        </w:rPr>
      </w:pPr>
    </w:p>
    <w:p>
      <w:pPr>
        <w:jc w:val="both"/>
        <w:ind w:left="34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gain was US$503.1 million primarily due to the non-cash, fair value changes of derivative liabilities, which were the US$448.7 million of gain on fair value changes for the convertible notes issued in August 2024 and November 2024 and the US$58.4 million of gain on fair value changes for the Tether warrants.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3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US$409.5 million vs. US$0.6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Profit / (Loss) (Non-IFRS)</w:t>
      </w:r>
      <w:r>
        <w:rPr>
          <w:rFonts w:ascii="Times New Roman" w:cs="Times New Roman" w:eastAsia="Times New Roman" w:hAnsi="Times New Roman"/>
          <w:sz w:val="29"/>
          <w:szCs w:val="29"/>
          <w:b w:val="1"/>
          <w:bCs w:val="1"/>
          <w:i w:val="1"/>
          <w:iCs w:val="1"/>
          <w:color w:val="auto"/>
          <w:vertAlign w:val="superscript"/>
        </w:rPr>
        <w:t>5</w:t>
      </w:r>
    </w:p>
    <w:p>
      <w:pPr>
        <w:ind w:left="340" w:right="20" w:hanging="332"/>
        <w:spacing w:after="0" w:line="182" w:lineRule="auto"/>
        <w:tabs>
          <w:tab w:leader="none" w:pos="340" w:val="left"/>
        </w:tabs>
        <w:numPr>
          <w:ilvl w:val="0"/>
          <w:numId w:val="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loss was US$89.8 million vs. adjusted profit of US$9.7</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million. The change was primarily due to the year-over-year revenue decline, lower gross profit margins and higher R&amp;D expenses as described above.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(Non-IFRS)</w:t>
      </w:r>
    </w:p>
    <w:p>
      <w:pPr>
        <w:spacing w:after="0" w:line="31" w:lineRule="exact"/>
        <w:rPr>
          <w:sz w:val="20"/>
          <w:szCs w:val="20"/>
          <w:color w:val="auto"/>
        </w:rPr>
      </w:pPr>
    </w:p>
    <w:p>
      <w:pPr>
        <w:ind w:left="340" w:right="20" w:hanging="332"/>
        <w:spacing w:after="0" w:line="182" w:lineRule="auto"/>
        <w:tabs>
          <w:tab w:leader="none" w:pos="34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 was negative US$56.1 million vs. positive US$27.3</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million. The decrease was primarily due to the year-over-year revenue decline, lower gross profit margins as a result of the halving and higher R&amp;D expenses as described above.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31" w:lineRule="exact"/>
        <w:rPr>
          <w:sz w:val="20"/>
          <w:szCs w:val="20"/>
          <w:color w:val="auto"/>
        </w:rPr>
      </w:pP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was US$284.0 million, primarily driven by working capital payments to suppliers for SEALMINER mass production.</w:t>
      </w:r>
    </w:p>
    <w:p>
      <w:pPr>
        <w:jc w:val="both"/>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investing activities was US$73.6 million, which included US$45.7 million of capital expenditures for infrastructure construction and mining rigs, US$18.2 million for the purchase of cryptocurrencies, US$21.9 million to acquire the site and gas-fired power project in Alberta, and US$12.3 million of proceeds from disposal of cryptocurrencies from principal business.</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generated from financing activities was US$94.9 million, primarily driven by US$118.4 million net proceeds from issuance of ordinary shares and partially offset by US$21.0 million used for share repurchases.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Capex</w:t>
      </w:r>
    </w:p>
    <w:p>
      <w:pPr>
        <w:spacing w:after="0" w:line="31" w:lineRule="exact"/>
        <w:rPr>
          <w:sz w:val="20"/>
          <w:szCs w:val="20"/>
          <w:color w:val="auto"/>
        </w:rPr>
      </w:pPr>
    </w:p>
    <w:p>
      <w:pPr>
        <w:jc w:val="both"/>
        <w:ind w:left="340" w:hanging="332"/>
        <w:spacing w:after="0" w:line="255"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power and datacenter infrastructure capex lowered to be in the range of US$260 to US$290 million from prior guidance of US$340 to US$370 million primarily due to the pause of bitcoin-mining infrastructure construction at Bitdeer’s Clarington, Ohio site due to advancing discussions with development partners and potential end users for HPC/AI. This updated range includes reported infrastructure capex in Q1.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of March 31, 2025 unless stated otherwise (compared to December 31, 2024)</w:t>
      </w:r>
    </w:p>
    <w:p>
      <w:pPr>
        <w:spacing w:after="0" w:line="9"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US$215.6 million in cash and cash equivalents, US$131.1 million in cryptocurrencies and US$215.4 million in borrowing.</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US$381.7 million prepayments and other assets, up from US$310.2 million. Change primarily driven by advanced payments to suppliers for SEALMINER mass volume production.</w:t>
      </w: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US$153.7 million inventories, up from US$64.9 million. Increase driven by wafers, chips, WIP and finished SEALMINER inventory.</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US$256.8 million derivative liabilities mainly due to the issuance of warrants to Tether, and convertible senior notes issued in August 2024 and November 2024.</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Further information regarding the Company’s first quarter 2025 financial and operations results can be found on the SEC’s website </w:t>
      </w:r>
      <w:r>
        <w:rPr>
          <w:rFonts w:ascii="Times New Roman" w:cs="Times New Roman" w:eastAsia="Times New Roman" w:hAnsi="Times New Roman"/>
          <w:sz w:val="18"/>
          <w:szCs w:val="18"/>
          <w:u w:val="single" w:color="auto"/>
          <w:color w:val="auto"/>
        </w:rPr>
        <w:t>https://sec.gov</w:t>
      </w:r>
      <w:r>
        <w:rPr>
          <w:rFonts w:ascii="Times New Roman" w:cs="Times New Roman" w:eastAsia="Times New Roman" w:hAnsi="Times New Roman"/>
          <w:sz w:val="18"/>
          <w:szCs w:val="18"/>
          <w:color w:val="auto"/>
        </w:rPr>
        <w:t xml:space="preserve"> and the Company’s Investor Relations website </w:t>
      </w:r>
      <w:r>
        <w:rPr>
          <w:rFonts w:ascii="Times New Roman" w:cs="Times New Roman" w:eastAsia="Times New Roman" w:hAnsi="Times New Roman"/>
          <w:sz w:val="18"/>
          <w:szCs w:val="18"/>
          <w:u w:val="single" w:color="auto"/>
          <w:color w:val="auto"/>
        </w:rPr>
        <w:t>https://ir.bitdeer.com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Bitdeer is a world-leading technology company for Bitcoin mining. Bitdeer is committed to providing comprehensive Bitcoin mining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 To learn more, please visit </w:t>
      </w:r>
      <w:r>
        <w:rPr>
          <w:rFonts w:ascii="Times New Roman" w:cs="Times New Roman" w:eastAsia="Times New Roman" w:hAnsi="Times New Roman"/>
          <w:sz w:val="18"/>
          <w:szCs w:val="18"/>
          <w:u w:val="single" w:color="auto"/>
          <w:color w:val="auto"/>
        </w:rPr>
        <w:t>https://ir.bitdeer.com/</w:t>
      </w:r>
      <w:r>
        <w:rPr>
          <w:rFonts w:ascii="Times New Roman" w:cs="Times New Roman" w:eastAsia="Times New Roman" w:hAnsi="Times New Roman"/>
          <w:sz w:val="18"/>
          <w:szCs w:val="18"/>
          <w:color w:val="auto"/>
        </w:rPr>
        <w:t xml:space="preserve"> or follow Bitdeer on X @</w:t>
      </w:r>
      <w:r>
        <w:rPr>
          <w:rFonts w:ascii="Times New Roman" w:cs="Times New Roman" w:eastAsia="Times New Roman" w:hAnsi="Times New Roman"/>
          <w:sz w:val="18"/>
          <w:szCs w:val="18"/>
          <w:u w:val="single" w:color="auto"/>
          <w:color w:val="auto"/>
        </w:rPr>
        <w:t>BitdeerOfficial</w:t>
      </w:r>
      <w:r>
        <w:rPr>
          <w:rFonts w:ascii="Times New Roman" w:cs="Times New Roman" w:eastAsia="Times New Roman" w:hAnsi="Times New Roman"/>
          <w:sz w:val="18"/>
          <w:szCs w:val="18"/>
          <w:color w:val="auto"/>
        </w:rPr>
        <w:t xml:space="preserve"> and LinkedIn @ </w:t>
      </w:r>
      <w:r>
        <w:rPr>
          <w:rFonts w:ascii="Times New Roman" w:cs="Times New Roman" w:eastAsia="Times New Roman" w:hAnsi="Times New Roman"/>
          <w:sz w:val="18"/>
          <w:szCs w:val="18"/>
          <w:u w:val="single" w:color="auto"/>
          <w:color w:val="auto"/>
        </w:rPr>
        <w:t>Bitdeer Group</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 looking statement, whether due to new information, future events, or otherwise. Readers should not rely upon the information on this page as current or accurate after its publication date. Separate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4"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EBITDA” is defined as earnings before interest, taxes, depreciation and amortization, further adjusted to exclude share-based payment</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expenses under IFRS 2, changes in fair value of derivative liabilities, and changes in fair value of cryptocurrency-settled receivables and payables.</w:t>
      </w:r>
    </w:p>
    <w:p>
      <w:pPr>
        <w:spacing w:after="0" w:line="7" w:lineRule="exact"/>
        <w:rPr>
          <w:sz w:val="20"/>
          <w:szCs w:val="20"/>
          <w:color w:val="auto"/>
        </w:rPr>
      </w:pPr>
    </w:p>
    <w:p>
      <w:pPr>
        <w:jc w:val="both"/>
        <w:ind w:left="340" w:hanging="332"/>
        <w:spacing w:after="0" w:line="187"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During the current period, we revised definition of our previously reported non-IFRS Adjusted Profit and Adjusted EBITDA and recast the prior period for comparability. This revision, which resulted in a US$1.3 million revision to Q1 2024 metrics, reflects non-cash fair value changes in</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cryptocurrency-settled receivables and payables as they do not represent normal operating expenses (or income) necessary to operate our business.</w:t>
      </w:r>
    </w:p>
    <w:p>
      <w:pPr>
        <w:ind w:left="340" w:hanging="332"/>
        <w:spacing w:after="0" w:line="180" w:lineRule="auto"/>
        <w:tabs>
          <w:tab w:leader="none" w:pos="340"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Indicative timing. All timing references are to calendar quarters and years.</w:t>
      </w:r>
    </w:p>
    <w:p>
      <w:pPr>
        <w:ind w:left="340" w:hanging="332"/>
        <w:spacing w:after="0" w:line="180" w:lineRule="auto"/>
        <w:tabs>
          <w:tab w:leader="none" w:pos="34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Figures may not add due to rounding.</w:t>
      </w:r>
    </w:p>
    <w:p>
      <w:pPr>
        <w:spacing w:after="0" w:line="3" w:lineRule="exact"/>
        <w:rPr>
          <w:sz w:val="20"/>
          <w:szCs w:val="20"/>
          <w:color w:val="auto"/>
        </w:rPr>
      </w:pPr>
    </w:p>
    <w:p>
      <w:pPr>
        <w:ind w:left="340" w:right="20" w:hanging="332"/>
        <w:spacing w:after="0" w:line="187"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profit/(loss)” is defined as profit/(loss) adjusted to exclude share-based payment expenses under IFRS 2, changes in fair value of derivative liabilities, and changes in fair value of cryptocurrency-settled receivables and payables.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002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BITDEER GROUP UNAUDITED CONSOLIDATED STATEMENTS OF FINANCIAL POSITION</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29"/>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vMerge w:val="continue"/>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215,642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12,107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131,144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77,537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a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15,810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335,071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153,740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64,888</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878,317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949,447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46,652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18,244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35,428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37,981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rigs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101,581</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67,324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75,338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69,273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302,210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251,377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properties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30,529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30,723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78,303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35,818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35,818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720,308</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608,407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1,598,625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1,557,854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50,729</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31,471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38,098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40,617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256,775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763,939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61,016</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39,029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215,436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639,174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1,100,119</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68,449</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78,846</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72,673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15,721</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16,614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164,802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181,137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803,976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1,281,256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794,649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276,598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equity</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(181,065)</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(160,926)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(239,531)</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(649,004)</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1,215,245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1,086,528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794,649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276,598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Amount less than US$1,000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785"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002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BITDEER GROUP UNAUDITED CONSOLIDATED OPERATIONS AND COMPREHENSIVE INCOME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8680" w:type="dxa"/>
            <w:vAlign w:val="bottom"/>
          </w:tcPr>
          <w:p>
            <w:pPr>
              <w:spacing w:after="0"/>
              <w:rPr>
                <w:sz w:val="24"/>
                <w:szCs w:val="24"/>
                <w:color w:val="auto"/>
              </w:rPr>
            </w:pPr>
          </w:p>
        </w:tc>
        <w:tc>
          <w:tcPr>
            <w:tcW w:w="25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70,128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119,506</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(73,353)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(85,375)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 (loss)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(15,389)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(14,969)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(59,014)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 (expenses)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net gain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503,050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416,240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 (expenses)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406,897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409,473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for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Item that may be reclassified to profit or loss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Exchange differences on translation of financial statements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 (loss) per share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Weighted average number of shares outstanding (thousand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color w:val="auto"/>
        </w:rPr>
        <w:t>409,473</w:t>
      </w:r>
      <w:r>
        <w:rPr>
          <w:sz w:val="20"/>
          <w:szCs w:val="20"/>
          <w:color w:val="auto"/>
        </w:rPr>
        <w:tab/>
      </w:r>
      <w:r>
        <w:rPr>
          <w:rFonts w:ascii="Times New Roman" w:cs="Times New Roman" w:eastAsia="Times New Roman" w:hAnsi="Times New Roman"/>
          <w:sz w:val="18"/>
          <w:szCs w:val="18"/>
          <w:color w:val="auto"/>
        </w:rPr>
        <w:t>606</w:t>
      </w:r>
    </w:p>
    <w:p>
      <w:pPr>
        <w:spacing w:after="0" w:line="200" w:lineRule="exact"/>
        <w:rPr>
          <w:sz w:val="20"/>
          <w:szCs w:val="20"/>
          <w:color w:val="auto"/>
        </w:rPr>
      </w:pPr>
    </w:p>
    <w:p>
      <w:pPr>
        <w:spacing w:after="0" w:line="255" w:lineRule="exact"/>
        <w:rPr>
          <w:sz w:val="20"/>
          <w:szCs w:val="20"/>
          <w:color w:val="auto"/>
        </w:rPr>
      </w:pPr>
    </w:p>
    <w:p>
      <w:pPr>
        <w:ind w:left="1740" w:hanging="1421"/>
        <w:spacing w:after="0"/>
        <w:tabs>
          <w:tab w:leader="none" w:pos="1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32" w:lineRule="exact"/>
        <w:rPr>
          <w:rFonts w:ascii="Times New Roman" w:cs="Times New Roman" w:eastAsia="Times New Roman" w:hAnsi="Times New Roman"/>
          <w:sz w:val="18"/>
          <w:szCs w:val="18"/>
          <w:color w:val="auto"/>
        </w:rPr>
      </w:pPr>
    </w:p>
    <w:p>
      <w:pPr>
        <w:ind w:left="1740" w:hanging="1421"/>
        <w:spacing w:after="0"/>
        <w:tabs>
          <w:tab w:leader="none" w:pos="17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32</w:t>
      </w:r>
    </w:p>
    <w:p>
      <w:pPr>
        <w:spacing w:after="0" w:line="63"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409,639</w:t>
      </w:r>
      <w:r>
        <w:rPr>
          <w:sz w:val="20"/>
          <w:szCs w:val="20"/>
          <w:color w:val="auto"/>
        </w:rPr>
        <w:tab/>
      </w:r>
      <w:r>
        <w:rPr>
          <w:rFonts w:ascii="Times New Roman" w:cs="Times New Roman" w:eastAsia="Times New Roman" w:hAnsi="Times New Roman"/>
          <w:sz w:val="18"/>
          <w:szCs w:val="18"/>
          <w:b w:val="1"/>
          <w:bCs w:val="1"/>
          <w:color w:val="auto"/>
        </w:rPr>
        <w:t>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19685</wp:posOffset>
            </wp:positionV>
            <wp:extent cx="15601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4"/>
        </w:trPr>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(0.37)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414"/>
        </w:trPr>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190,199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114,843</w:t>
            </w:r>
          </w:p>
        </w:tc>
      </w:tr>
      <w:tr>
        <w:trPr>
          <w:trHeight w:val="234"/>
        </w:trPr>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228,561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117,041</w:t>
            </w:r>
          </w:p>
        </w:tc>
      </w:tr>
    </w:tbl>
    <w:p>
      <w:pPr>
        <w:spacing w:after="0" w:line="200" w:lineRule="exact"/>
        <w:rPr>
          <w:sz w:val="20"/>
          <w:szCs w:val="20"/>
          <w:color w:val="auto"/>
        </w:rPr>
      </w:pPr>
    </w:p>
    <w:p>
      <w:pPr>
        <w:sectPr>
          <w:pgSz w:w="11900" w:h="16838" w:orient="portrait"/>
          <w:cols w:equalWidth="0" w:num="2">
            <w:col w:w="8500" w:space="720"/>
            <w:col w:w="2020"/>
          </w:cols>
          <w:pgMar w:left="320" w:top="900"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100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BITDEER GROUP UNAUDITED CONDENSED CONSOLIDATED STATEMENTS OF CASH FLOWS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8680" w:type="dxa"/>
            <w:vAlign w:val="bottom"/>
          </w:tcPr>
          <w:p>
            <w:pPr>
              <w:spacing w:after="0"/>
              <w:rPr>
                <w:sz w:val="24"/>
                <w:szCs w:val="24"/>
                <w:color w:val="auto"/>
              </w:rPr>
            </w:pPr>
          </w:p>
        </w:tc>
        <w:tc>
          <w:tcPr>
            <w:tcW w:w="256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(280,889)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(132,867)</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Interest paid on leases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on borrowings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(4,493)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2,724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1,813</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(283,988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(132,171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 investment properties and intangible assets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(44,770)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mining rigs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(955)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financial assets at fair value through profit or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cryptocurrencies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(18,159)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cryptocurrencies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12,283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90,380</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the site and gas-fired power project in Alberta, Canada</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(21,870)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 (used in) investing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(1,942)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shares for exercise of share rewards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ordinary shares, net of transaction costs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118,403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49,931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the future issuance cost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(21,010)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transaction costs in connection with convertible senior notes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94,862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48,327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(262,729)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(25,631)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476,270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144,729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movements in exchange rates on cash and cash equivalents held</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Non-IFRS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the Company’s business, the Company considers and uses non-IFRS measures, adjusted EBITDA and adjusted profit / (loss), as supplemental measures to review and assess its operating performance. The Company defines adjusted EBITDA as earnings before interest, taxes, depreciation and amortization, further adjusted to exclude share-based payment expenses under IFRS 2, changes in fair value of derivative liabilities, and changes in fair value of cryptocurrency-settled receivables and payables, and defines adjusted profit/(loss) as profit/(loss) adjusted to exclude share-based payment expenses under IFRS 2, changes in fair value of derivative liabilities, and changes in fair value of cryptocurrency-settled receivables and payables.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presents these non-IFRS financial measures because they are used by its management to evaluate its operating performance and formulate business plans. The Company also believes that the use of these non-IFRS measures facilitate investors’ assessment of its operating performance. These measures are not necessarily comparable to similarly titled measures used by other companies. As a result, investors should not consider these measures in isolation from, or as a substitute analysis for, the Company’s profit or loss for the periods, as determined in accordance with IFRS. The Company compensates for these limitations by reconciling these non-IFRS financial measures to the nearest IFRS performance measure, all of which should be considered when evaluating its performance. The Company encourages investors to review its financial information in its entirety and not rely on a single financial measure.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profit/(loss) for the relevant period to adjusted EBITDA and adjusted profit/ (loss), for the three months ended March 31, 2025 and 2024.</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BITDEER GROUP UNAUDITED NON-IFRS ADJUSTED EBITDA AND ADJUSTED PROFIT / (LOSS) RECONCILIATION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jc w:val="right"/>
              <w:ind w:right="65"/>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409,473</w:t>
            </w:r>
          </w:p>
        </w:tc>
        <w:tc>
          <w:tcPr>
            <w:tcW w:w="12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41"/>
        </w:trPr>
        <w:tc>
          <w:tcPr>
            <w:tcW w:w="868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Add</w:t>
            </w:r>
            <w:r>
              <w:rPr>
                <w:rFonts w:ascii="MS PGothic" w:cs="MS PGothic" w:eastAsia="MS PGothic" w:hAnsi="MS PGothic"/>
                <w:sz w:val="18"/>
                <w:szCs w:val="18"/>
                <w:i w:val="1"/>
                <w:iCs w:val="1"/>
                <w:color w:val="auto"/>
              </w:rPr>
              <w: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25,387</w:t>
            </w:r>
          </w:p>
        </w:tc>
        <w:tc>
          <w:tcPr>
            <w:tcW w:w="12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18,187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 expenses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(2,576)</w:t>
            </w:r>
          </w:p>
        </w:tc>
        <w:tc>
          <w:tcPr>
            <w:tcW w:w="122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 expense,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10,404</w:t>
            </w:r>
          </w:p>
        </w:tc>
        <w:tc>
          <w:tcPr>
            <w:tcW w:w="122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7,803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derivative liabilities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(507,162)</w:t>
            </w:r>
          </w:p>
        </w:tc>
        <w:tc>
          <w:tcPr>
            <w:tcW w:w="12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cryptocurrency-settled receivables and payables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(2,551)</w:t>
            </w:r>
          </w:p>
        </w:tc>
        <w:tc>
          <w:tcPr>
            <w:tcW w:w="122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of Adjusted EBITDA</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2</w:t>
            </w:r>
          </w:p>
        </w:tc>
        <w:tc>
          <w:tcPr>
            <w:tcW w:w="0" w:type="dxa"/>
            <w:vAlign w:val="bottom"/>
          </w:tcPr>
          <w:p>
            <w:pPr>
              <w:spacing w:after="0" w:line="20" w:lineRule="exact"/>
              <w:rPr>
                <w:sz w:val="1"/>
                <w:szCs w:val="1"/>
                <w:color w:val="auto"/>
              </w:rPr>
            </w:pPr>
          </w:p>
        </w:tc>
      </w:tr>
      <w:tr>
        <w:trPr>
          <w:trHeight w:val="264"/>
        </w:trPr>
        <w:tc>
          <w:tcPr>
            <w:tcW w:w="8680" w:type="dxa"/>
            <w:vAlign w:val="bottom"/>
            <w:vMerge w:val="continue"/>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(56,145)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27,339</w:t>
            </w:r>
          </w:p>
        </w:tc>
        <w:tc>
          <w:tcPr>
            <w:tcW w:w="12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Profit / (loss)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409,473</w:t>
            </w:r>
          </w:p>
        </w:tc>
        <w:tc>
          <w:tcPr>
            <w:tcW w:w="122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Add</w:t>
            </w:r>
            <w:r>
              <w:rPr>
                <w:rFonts w:ascii="MS PGothic" w:cs="MS PGothic" w:eastAsia="MS PGothic" w:hAnsi="MS PGothic"/>
                <w:sz w:val="18"/>
                <w:szCs w:val="18"/>
                <w:i w:val="1"/>
                <w:iCs w:val="1"/>
                <w:color w:val="auto"/>
              </w:rPr>
              <w:t>：</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-1737995</wp:posOffset>
            </wp:positionV>
            <wp:extent cx="58420" cy="88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8420" cy="88265"/>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-117475</wp:posOffset>
            </wp:positionV>
            <wp:extent cx="58420" cy="88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8420" cy="8826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Share-based payment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Changes in fair value of derivative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cryptocurrency-settled receivables and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9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of Adjusted Profit / (loss)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bitdeerIR@orangegroupadvisors.com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bitdeer@blocksbridge.com</w:t>
      </w:r>
    </w:p>
    <w:p>
      <w:pPr>
        <w:spacing w:after="0" w:line="20" w:lineRule="exact"/>
        <w:rPr>
          <w:sz w:val="20"/>
          <w:szCs w:val="20"/>
          <w:color w:val="auto"/>
        </w:rPr>
      </w:pPr>
      <w:r>
        <w:rPr>
          <w:sz w:val="20"/>
          <w:szCs w:val="20"/>
          <w:color w:val="auto"/>
        </w:rPr>
        <w:br w:type="column"/>
      </w:r>
    </w:p>
    <w:p>
      <w:pPr>
        <w:ind w:left="140"/>
        <w:spacing w:after="0"/>
        <w:tabs>
          <w:tab w:leader="none" w:pos="1540" w:val="left"/>
        </w:tabs>
        <w:rPr>
          <w:sz w:val="20"/>
          <w:szCs w:val="20"/>
          <w:color w:val="auto"/>
        </w:rPr>
      </w:pPr>
      <w:r>
        <w:rPr>
          <w:rFonts w:ascii="Times New Roman" w:cs="Times New Roman" w:eastAsia="Times New Roman" w:hAnsi="Times New Roman"/>
          <w:sz w:val="18"/>
          <w:szCs w:val="18"/>
          <w:color w:val="auto"/>
        </w:rPr>
        <w:t>10,404</w:t>
      </w:r>
      <w:r>
        <w:rPr>
          <w:sz w:val="20"/>
          <w:szCs w:val="20"/>
          <w:color w:val="auto"/>
        </w:rPr>
        <w:tab/>
      </w:r>
      <w:r>
        <w:rPr>
          <w:rFonts w:ascii="Times New Roman" w:cs="Times New Roman" w:eastAsia="Times New Roman" w:hAnsi="Times New Roman"/>
          <w:sz w:val="18"/>
          <w:szCs w:val="18"/>
          <w:color w:val="auto"/>
        </w:rPr>
        <w:t>7,803</w:t>
      </w:r>
    </w:p>
    <w:p>
      <w:pPr>
        <w:spacing w:after="0" w:line="9"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8"/>
          <w:szCs w:val="18"/>
          <w:color w:val="auto"/>
        </w:rPr>
        <w:t>(507,162)</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80"/>
        <w:spacing w:after="0"/>
        <w:tabs>
          <w:tab w:leader="none" w:pos="1540" w:val="left"/>
        </w:tabs>
        <w:rPr>
          <w:sz w:val="20"/>
          <w:szCs w:val="20"/>
          <w:color w:val="auto"/>
        </w:rPr>
      </w:pPr>
      <w:r>
        <w:rPr>
          <w:rFonts w:ascii="Times New Roman" w:cs="Times New Roman" w:eastAsia="Times New Roman" w:hAnsi="Times New Roman"/>
          <w:sz w:val="18"/>
          <w:szCs w:val="18"/>
          <w:color w:val="auto"/>
        </w:rPr>
        <w:t>(2,551)</w:t>
      </w:r>
      <w:r>
        <w:rPr>
          <w:sz w:val="20"/>
          <w:szCs w:val="20"/>
          <w:color w:val="auto"/>
        </w:rPr>
        <w:tab/>
      </w:r>
      <w:r>
        <w:rPr>
          <w:rFonts w:ascii="Times New Roman" w:cs="Times New Roman" w:eastAsia="Times New Roman" w:hAnsi="Times New Roman"/>
          <w:sz w:val="17"/>
          <w:szCs w:val="17"/>
          <w:color w:val="auto"/>
        </w:rPr>
        <w:t>1,305</w:t>
      </w:r>
    </w:p>
    <w:p>
      <w:pPr>
        <w:spacing w:after="0" w:line="23" w:lineRule="exact"/>
        <w:rPr>
          <w:sz w:val="20"/>
          <w:szCs w:val="20"/>
          <w:color w:val="auto"/>
        </w:rPr>
      </w:pPr>
    </w:p>
    <w:p>
      <w:pPr>
        <w:ind w:left="8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(89,836)</w:t>
      </w:r>
      <w:r>
        <w:rPr>
          <w:sz w:val="20"/>
          <w:szCs w:val="20"/>
          <w:color w:val="auto"/>
        </w:rPr>
        <w:tab/>
      </w:r>
      <w:r>
        <w:rPr>
          <w:rFonts w:ascii="Times New Roman" w:cs="Times New Roman" w:eastAsia="Times New Roman" w:hAnsi="Times New Roman"/>
          <w:sz w:val="17"/>
          <w:szCs w:val="17"/>
          <w:b w:val="1"/>
          <w:bCs w:val="1"/>
          <w:color w:val="auto"/>
        </w:rPr>
        <w:t>9,714</w:t>
      </w:r>
      <w:r>
        <w:rPr>
          <w:rFonts w:ascii="Times New Roman" w:cs="Times New Roman" w:eastAsia="Times New Roman" w:hAnsi="Times New Roman"/>
          <w:sz w:val="28"/>
          <w:szCs w:val="28"/>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1270</wp:posOffset>
            </wp:positionV>
            <wp:extent cx="15513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551305" cy="17145"/>
                    </a:xfrm>
                    <a:prstGeom prst="rect">
                      <a:avLst/>
                    </a:prstGeom>
                    <a:noFill/>
                  </pic:spPr>
                </pic:pic>
              </a:graphicData>
            </a:graphic>
          </wp:anchor>
        </w:drawing>
      </w:r>
    </w:p>
    <w:p>
      <w:pPr>
        <w:spacing w:after="0" w:line="2812" w:lineRule="exact"/>
        <w:rPr>
          <w:sz w:val="20"/>
          <w:szCs w:val="20"/>
          <w:color w:val="auto"/>
        </w:rPr>
      </w:pPr>
    </w:p>
    <w:p>
      <w:pPr>
        <w:sectPr>
          <w:pgSz w:w="11900" w:h="16838" w:orient="portrait"/>
          <w:cols w:equalWidth="0" w:num="2">
            <w:col w:w="8440" w:space="720"/>
            <w:col w:w="2080"/>
          </w:cols>
          <w:pgMar w:left="320" w:top="904" w:right="3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bullet"/>
      <w:start w:val="1"/>
    </w:lvl>
  </w:abstractNum>
  <w:abstractNum w:abstractNumId="13">
    <w:nsid w:val="4E6AFB66"/>
    <w:multiLevelType w:val="hybridMultilevel"/>
    <w:lvl w:ilvl="0">
      <w:lvlJc w:val="left"/>
      <w:lvlText w:val="2"/>
      <w:numFmt w:val="bullet"/>
      <w:start w:val="1"/>
    </w:lvl>
  </w:abstractNum>
  <w:abstractNum w:abstractNumId="14">
    <w:nsid w:val="25E45D32"/>
    <w:multiLevelType w:val="hybridMultilevel"/>
    <w:lvl w:ilvl="0">
      <w:lvlJc w:val="left"/>
      <w:lvlText w:val="3"/>
      <w:numFmt w:val="bullet"/>
      <w:start w:val="1"/>
    </w:lvl>
  </w:abstractNum>
  <w:abstractNum w:abstractNumId="15">
    <w:nsid w:val="519B500D"/>
    <w:multiLevelType w:val="hybridMultilevel"/>
    <w:lvl w:ilvl="0">
      <w:lvlJc w:val="left"/>
      <w:lvlText w:val="4"/>
      <w:numFmt w:val="bullet"/>
      <w:start w:val="1"/>
    </w:lvl>
  </w:abstractNum>
  <w:abstractNum w:abstractNumId="16">
    <w:nsid w:val="431BD7B7"/>
    <w:multiLevelType w:val="hybridMultilevel"/>
    <w:lvl w:ilvl="0">
      <w:lvlJc w:val="left"/>
      <w:lvlText w:val="5"/>
      <w:numFmt w:val="bullet"/>
      <w:start w:val="1"/>
    </w:lvl>
  </w:abstractNum>
  <w:abstractNum w:abstractNumId="17">
    <w:nsid w:val="3F2DBA31"/>
    <w:multiLevelType w:val="hybridMultilevel"/>
    <w:lvl w:ilvl="0">
      <w:lvlJc w:val="left"/>
      <w:lvlText w:val="%1"/>
      <w:numFmt w:val="decimal"/>
      <w:start w:val="166"/>
    </w:lvl>
  </w:abstractNum>
  <w:abstractNum w:abstractNumId="18">
    <w:nsid w:val="7C83E458"/>
    <w:multiLevelType w:val="hybridMultilevel"/>
    <w:lvl w:ilvl="0">
      <w:lvlJc w:val="left"/>
      <w:lvlText w:val="%1"/>
      <w:numFmt w:val="decimal"/>
      <w:start w:val="16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jpe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18" Type="http://schemas.openxmlformats.org/officeDocument/2006/relationships/hyperlink" Target="http://www.sec.gov/Archives/edgar/data/1899123/000114036124021346/ny20023745x7_posam.htm" TargetMode="External"/><Relationship Id="rId19" Type="http://schemas.openxmlformats.org/officeDocument/2006/relationships/hyperlink" Target="https://www.sec.gov/Archives/edgar/data/1899123/000114036124013887/ny20023745x1_f3.htm" TargetMode="External"/><Relationship Id="rId20" Type="http://schemas.openxmlformats.org/officeDocument/2006/relationships/hyperlink" Target="https://www.sec.gov/Archives/edgar/data/1899123/000114036124013888/ny20023745x3_f3.htm" TargetMode="External"/><Relationship Id="rId21" Type="http://schemas.openxmlformats.org/officeDocument/2006/relationships/hyperlink" Target="https://www.sec.gov/Archives/edgar/data/1899123/000114036124029276/ny20030771x1_f3.htm" TargetMode="External"/><Relationship Id="rId22" Type="http://schemas.openxmlformats.org/officeDocument/2006/relationships/hyperlink" Target="https://www.sec.gov/Archives/edgar/data/1899123/000114036124049031/ny20039746x1_f3.htm" TargetMode="External"/><Relationship Id="rId23" Type="http://schemas.openxmlformats.org/officeDocument/2006/relationships/hyperlink" Target="https://www.sec.gov/Archives/edgar/data/1899123/000114036123031108/brhc20054618_s8.htm" TargetMode="External"/><Relationship Id="rId24" Type="http://schemas.openxmlformats.org/officeDocument/2006/relationships/hyperlink" Target="https://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2025-05-15T07:39:50Z</dcterms:created>
  <dcterms:modified xsi:type="dcterms:W3CDTF">2025-05-15T07:39:50Z</dcterms:modified>
</cp:coreProperties>
</file>