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392430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67075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13a-16 OR 15d-16 UNDER</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month of September 2025</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67075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670750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08 Kallang Avenue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Aperia tower 1, #09-03/04</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Singapore 339509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670750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Form 20-F or Form 40-F.</w:t>
      </w:r>
    </w:p>
    <w:p>
      <w:pPr>
        <w:spacing w:after="0" w:line="152" w:lineRule="exact"/>
        <w:rPr>
          <w:sz w:val="24"/>
          <w:szCs w:val="24"/>
          <w:color w:val="auto"/>
        </w:rPr>
      </w:pPr>
    </w:p>
    <w:p>
      <w:pPr>
        <w:jc w:val="center"/>
        <w:spacing w:after="0" w:line="184" w:lineRule="exact"/>
        <w:tabs>
          <w:tab w:leader="none" w:pos="32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67075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158115</wp:posOffset>
            </wp:positionV>
            <wp:extent cx="670750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523875</wp:posOffset>
            </wp:positionV>
            <wp:extent cx="670750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p>
      <w:pPr>
        <w:spacing w:after="0" w:line="178" w:lineRule="exact"/>
        <w:rPr>
          <w:sz w:val="24"/>
          <w:szCs w:val="24"/>
          <w:color w:val="auto"/>
        </w:rPr>
      </w:pPr>
    </w:p>
    <w:p>
      <w:pPr>
        <w:jc w:val="both"/>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current report on Form 6-K is hereby incorporated by reference in the registration statements of Bitdeer Technologies Group on Form F-3 (No.</w:t>
      </w:r>
      <w:hyperlink r:id="rId18">
        <w:r>
          <w:rPr>
            <w:rFonts w:ascii="Times New Roman" w:cs="Times New Roman" w:eastAsia="Times New Roman" w:hAnsi="Times New Roman"/>
            <w:sz w:val="16"/>
            <w:szCs w:val="16"/>
            <w:color w:val="0000EE"/>
          </w:rPr>
          <w:t>333-273905</w:t>
        </w:r>
      </w:hyperlink>
      <w:r>
        <w:rPr>
          <w:rFonts w:ascii="Times New Roman" w:cs="Times New Roman" w:eastAsia="Times New Roman" w:hAnsi="Times New Roman"/>
          <w:sz w:val="16"/>
          <w:szCs w:val="16"/>
          <w:color w:val="auto"/>
        </w:rPr>
        <w:t xml:space="preserve">, No. </w:t>
      </w:r>
      <w:hyperlink r:id="rId19">
        <w:r>
          <w:rPr>
            <w:rFonts w:ascii="Times New Roman" w:cs="Times New Roman" w:eastAsia="Times New Roman" w:hAnsi="Times New Roman"/>
            <w:sz w:val="16"/>
            <w:szCs w:val="16"/>
            <w:u w:val="single" w:color="auto"/>
            <w:color w:val="0000EE"/>
          </w:rPr>
          <w:t>333-278027</w:t>
        </w:r>
      </w:hyperlink>
      <w:r>
        <w:rPr>
          <w:rFonts w:ascii="Times New Roman" w:cs="Times New Roman" w:eastAsia="Times New Roman" w:hAnsi="Times New Roman"/>
          <w:sz w:val="16"/>
          <w:szCs w:val="16"/>
          <w:color w:val="auto"/>
        </w:rPr>
        <w:t xml:space="preserve">, No. </w:t>
      </w:r>
      <w:hyperlink r:id="rId20">
        <w:r>
          <w:rPr>
            <w:rFonts w:ascii="Times New Roman" w:cs="Times New Roman" w:eastAsia="Times New Roman" w:hAnsi="Times New Roman"/>
            <w:sz w:val="16"/>
            <w:szCs w:val="16"/>
            <w:u w:val="single" w:color="auto"/>
            <w:color w:val="0000EE"/>
          </w:rPr>
          <w:t>333 -278029</w:t>
        </w:r>
      </w:hyperlink>
      <w:r>
        <w:rPr>
          <w:rFonts w:ascii="Times New Roman" w:cs="Times New Roman" w:eastAsia="Times New Roman" w:hAnsi="Times New Roman"/>
          <w:sz w:val="16"/>
          <w:szCs w:val="16"/>
          <w:color w:val="auto"/>
        </w:rPr>
        <w:t xml:space="preserve">, No. </w:t>
      </w:r>
      <w:hyperlink r:id="rId21">
        <w:r>
          <w:rPr>
            <w:rFonts w:ascii="Times New Roman" w:cs="Times New Roman" w:eastAsia="Times New Roman" w:hAnsi="Times New Roman"/>
            <w:sz w:val="16"/>
            <w:szCs w:val="16"/>
            <w:u w:val="single" w:color="auto"/>
            <w:color w:val="0000EE"/>
          </w:rPr>
          <w:t>333-280041</w:t>
        </w:r>
      </w:hyperlink>
      <w:r>
        <w:rPr>
          <w:rFonts w:ascii="Times New Roman" w:cs="Times New Roman" w:eastAsia="Times New Roman" w:hAnsi="Times New Roman"/>
          <w:sz w:val="16"/>
          <w:szCs w:val="16"/>
          <w:color w:val="auto"/>
        </w:rPr>
        <w:t xml:space="preserve">, No. </w:t>
      </w:r>
      <w:hyperlink r:id="rId22">
        <w:r>
          <w:rPr>
            <w:rFonts w:ascii="Times New Roman" w:cs="Times New Roman" w:eastAsia="Times New Roman" w:hAnsi="Times New Roman"/>
            <w:sz w:val="16"/>
            <w:szCs w:val="16"/>
            <w:u w:val="single" w:color="auto"/>
            <w:color w:val="0000EE"/>
          </w:rPr>
          <w:t>333-283732</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No. </w:t>
      </w:r>
      <w:hyperlink r:id="rId23">
        <w:r>
          <w:rPr>
            <w:rFonts w:ascii="Times New Roman" w:cs="Times New Roman" w:eastAsia="Times New Roman" w:hAnsi="Times New Roman"/>
            <w:sz w:val="16"/>
            <w:szCs w:val="16"/>
            <w:u w:val="single" w:color="auto"/>
            <w:color w:val="0000EE"/>
          </w:rPr>
          <w:t>333-289855</w:t>
        </w:r>
      </w:hyperlink>
      <w:r>
        <w:rPr>
          <w:rFonts w:ascii="Times New Roman" w:cs="Times New Roman" w:eastAsia="Times New Roman" w:hAnsi="Times New Roman"/>
          <w:sz w:val="16"/>
          <w:szCs w:val="16"/>
          <w:color w:val="auto"/>
        </w:rPr>
        <w:t xml:space="preserve">) and Form S-8 (No. </w:t>
      </w:r>
      <w:hyperlink r:id="rId24">
        <w:r>
          <w:rPr>
            <w:rFonts w:ascii="Times New Roman" w:cs="Times New Roman" w:eastAsia="Times New Roman" w:hAnsi="Times New Roman"/>
            <w:sz w:val="16"/>
            <w:szCs w:val="16"/>
            <w:u w:val="single" w:color="auto"/>
            <w:color w:val="0000EE"/>
          </w:rPr>
          <w:t>333-272858</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No. </w:t>
      </w:r>
      <w:hyperlink r:id="rId25">
        <w:r>
          <w:rPr>
            <w:rFonts w:ascii="Times New Roman" w:cs="Times New Roman" w:eastAsia="Times New Roman" w:hAnsi="Times New Roman"/>
            <w:sz w:val="16"/>
            <w:szCs w:val="16"/>
            <w:u w:val="single" w:color="auto"/>
            <w:color w:val="0000EE"/>
          </w:rPr>
          <w:t>333-275342</w:t>
        </w:r>
      </w:hyperlink>
      <w:r>
        <w:rPr>
          <w:rFonts w:ascii="Times New Roman" w:cs="Times New Roman" w:eastAsia="Times New Roman" w:hAnsi="Times New Roman"/>
          <w:sz w:val="16"/>
          <w:szCs w:val="16"/>
          <w:color w:val="auto"/>
        </w:rPr>
        <w:t>), to the extent not superseded by documents or reports subsequently filed or furnished.</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6208395</wp:posOffset>
            </wp:positionH>
            <wp:positionV relativeFrom="paragraph">
              <wp:posOffset>-252730</wp:posOffset>
            </wp:positionV>
            <wp:extent cx="4800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480060" cy="7620"/>
                    </a:xfrm>
                    <a:prstGeom prst="rect">
                      <a:avLst/>
                    </a:prstGeom>
                    <a:noFill/>
                  </pic:spPr>
                </pic:pic>
              </a:graphicData>
            </a:graphic>
          </wp:anchor>
        </w:drawing>
      </w:r>
    </w:p>
    <w:p>
      <w:pPr>
        <w:spacing w:after="0" w:line="324"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600" w:type="dxa"/>
            <w:vAlign w:val="bottom"/>
            <w:tcBorders>
              <w:bottom w:val="single" w:sz="8" w:color="auto"/>
            </w:tcBorders>
            <w:gridSpan w:val="4"/>
          </w:tcPr>
          <w:p>
            <w:pPr>
              <w:jc w:val="right"/>
              <w:ind w:right="5162"/>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40" w:type="dxa"/>
            <w:vAlign w:val="bottom"/>
            <w:gridSpan w:val="2"/>
          </w:tcPr>
          <w:p>
            <w:pPr>
              <w:jc w:val="center"/>
              <w:ind w:right="2460"/>
              <w:spacing w:after="0"/>
              <w:rPr>
                <w:sz w:val="20"/>
                <w:szCs w:val="20"/>
                <w:color w:val="auto"/>
              </w:rPr>
            </w:pPr>
            <w:r>
              <w:rPr>
                <w:rFonts w:ascii="Times New Roman" w:cs="Times New Roman" w:eastAsia="Times New Roman" w:hAnsi="Times New Roman"/>
                <w:sz w:val="16"/>
                <w:szCs w:val="16"/>
                <w:b w:val="1"/>
                <w:bCs w:val="1"/>
                <w:color w:val="auto"/>
                <w:w w:val="98"/>
              </w:rPr>
              <w:t>EXHIBITS</w:t>
            </w:r>
          </w:p>
        </w:tc>
        <w:tc>
          <w:tcPr>
            <w:tcW w:w="0" w:type="dxa"/>
            <w:vAlign w:val="bottom"/>
          </w:tcPr>
          <w:p>
            <w:pPr>
              <w:spacing w:after="0"/>
              <w:rPr>
                <w:sz w:val="1"/>
                <w:szCs w:val="1"/>
                <w:color w:val="auto"/>
              </w:rPr>
            </w:pPr>
          </w:p>
        </w:tc>
      </w:tr>
      <w:tr>
        <w:trPr>
          <w:trHeight w:val="366"/>
        </w:trPr>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0" w:type="dxa"/>
            <w:vAlign w:val="bottom"/>
          </w:tcPr>
          <w:p>
            <w:pPr>
              <w:spacing w:after="0"/>
              <w:rPr>
                <w:sz w:val="24"/>
                <w:szCs w:val="24"/>
                <w:color w:val="auto"/>
              </w:rPr>
            </w:pPr>
          </w:p>
        </w:tc>
        <w:tc>
          <w:tcPr>
            <w:tcW w:w="95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12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94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99.1</w:t>
            </w:r>
          </w:p>
        </w:tc>
        <w:tc>
          <w:tcPr>
            <w:tcW w:w="100" w:type="dxa"/>
            <w:vAlign w:val="bottom"/>
            <w:tcBorders>
              <w:bottom w:val="single" w:sz="8" w:color="CCEEFF"/>
            </w:tcBorders>
            <w:shd w:val="clear" w:color="auto" w:fill="CCEEFF"/>
          </w:tcPr>
          <w:p>
            <w:pPr>
              <w:spacing w:after="0"/>
              <w:rPr>
                <w:sz w:val="13"/>
                <w:szCs w:val="13"/>
                <w:color w:val="auto"/>
              </w:rPr>
            </w:pPr>
          </w:p>
        </w:tc>
        <w:tc>
          <w:tcPr>
            <w:tcW w:w="9500" w:type="dxa"/>
            <w:vAlign w:val="bottom"/>
            <w:tcBorders>
              <w:bottom w:val="single" w:sz="8" w:color="0000EE"/>
            </w:tcBorders>
            <w:gridSpan w:val="3"/>
            <w:shd w:val="clear" w:color="auto" w:fill="CCEEFF"/>
          </w:tcPr>
          <w:p>
            <w:pPr>
              <w:spacing w:after="0" w:line="156"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Unaudited Condensed Consolidated Financial Statements as of June 30, 2025 and December 31, 2024 and for the Six Months Ended June 30, 2025 and</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0000EE"/>
            </w:tcBorders>
            <w:shd w:val="clear" w:color="auto" w:fill="CCEEFF"/>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2024</w:t>
              </w:r>
            </w:hyperlink>
          </w:p>
        </w:tc>
        <w:tc>
          <w:tcPr>
            <w:tcW w:w="1060" w:type="dxa"/>
            <w:vAlign w:val="bottom"/>
            <w:tcBorders>
              <w:bottom w:val="single" w:sz="8" w:color="CCEEFF"/>
            </w:tcBorders>
            <w:shd w:val="clear" w:color="auto" w:fill="CCEEFF"/>
          </w:tcPr>
          <w:p>
            <w:pPr>
              <w:spacing w:after="0"/>
              <w:rPr>
                <w:sz w:val="14"/>
                <w:szCs w:val="14"/>
                <w:color w:val="auto"/>
              </w:rPr>
            </w:pPr>
          </w:p>
        </w:tc>
        <w:tc>
          <w:tcPr>
            <w:tcW w:w="81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shd w:val="clear" w:color="auto" w:fill="CCEEFF"/>
          </w:tcPr>
          <w:p>
            <w:pPr>
              <w:spacing w:after="0"/>
              <w:rPr>
                <w:sz w:val="13"/>
                <w:szCs w:val="13"/>
                <w:color w:val="auto"/>
              </w:rPr>
            </w:pPr>
          </w:p>
        </w:tc>
        <w:tc>
          <w:tcPr>
            <w:tcW w:w="9500" w:type="dxa"/>
            <w:vAlign w:val="bottom"/>
            <w:gridSpan w:val="3"/>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Recent Developments</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81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101.INS</w:t>
            </w:r>
          </w:p>
        </w:tc>
        <w:tc>
          <w:tcPr>
            <w:tcW w:w="100" w:type="dxa"/>
            <w:vAlign w:val="bottom"/>
            <w:shd w:val="clear" w:color="auto" w:fill="CCEEFF"/>
          </w:tcPr>
          <w:p>
            <w:pPr>
              <w:spacing w:after="0"/>
              <w:rPr>
                <w:sz w:val="14"/>
                <w:szCs w:val="14"/>
                <w:color w:val="auto"/>
              </w:rPr>
            </w:pPr>
          </w:p>
        </w:tc>
        <w:tc>
          <w:tcPr>
            <w:tcW w:w="950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8"/>
              </w:rPr>
              <w:t>Inline XBRL Instance Document – this instance document does not appear in the Interactive Data File because its XBRL tags are embedded within the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101.SCH</w:t>
            </w:r>
          </w:p>
        </w:tc>
        <w:tc>
          <w:tcPr>
            <w:tcW w:w="100" w:type="dxa"/>
            <w:vAlign w:val="bottom"/>
            <w:shd w:val="clear" w:color="auto" w:fill="CCEEFF"/>
          </w:tcPr>
          <w:p>
            <w:pPr>
              <w:spacing w:after="0"/>
              <w:rPr>
                <w:sz w:val="15"/>
                <w:szCs w:val="15"/>
                <w:color w:val="auto"/>
              </w:rPr>
            </w:pPr>
          </w:p>
        </w:tc>
        <w:tc>
          <w:tcPr>
            <w:tcW w:w="95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Inline XBRL Taxonomy Extension Schema</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101.CAL</w:t>
            </w:r>
          </w:p>
        </w:tc>
        <w:tc>
          <w:tcPr>
            <w:tcW w:w="100" w:type="dxa"/>
            <w:vAlign w:val="bottom"/>
            <w:shd w:val="clear" w:color="auto" w:fill="CCEEFF"/>
          </w:tcPr>
          <w:p>
            <w:pPr>
              <w:spacing w:after="0"/>
              <w:rPr>
                <w:sz w:val="15"/>
                <w:szCs w:val="15"/>
                <w:color w:val="auto"/>
              </w:rPr>
            </w:pPr>
          </w:p>
        </w:tc>
        <w:tc>
          <w:tcPr>
            <w:tcW w:w="95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101.DEF</w:t>
            </w:r>
          </w:p>
        </w:tc>
        <w:tc>
          <w:tcPr>
            <w:tcW w:w="100" w:type="dxa"/>
            <w:vAlign w:val="bottom"/>
            <w:shd w:val="clear" w:color="auto" w:fill="CCEEFF"/>
          </w:tcPr>
          <w:p>
            <w:pPr>
              <w:spacing w:after="0"/>
              <w:rPr>
                <w:sz w:val="15"/>
                <w:szCs w:val="15"/>
                <w:color w:val="auto"/>
              </w:rPr>
            </w:pPr>
          </w:p>
        </w:tc>
        <w:tc>
          <w:tcPr>
            <w:tcW w:w="95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101.LAB</w:t>
            </w:r>
          </w:p>
        </w:tc>
        <w:tc>
          <w:tcPr>
            <w:tcW w:w="100" w:type="dxa"/>
            <w:vAlign w:val="bottom"/>
            <w:shd w:val="clear" w:color="auto" w:fill="CCEEFF"/>
          </w:tcPr>
          <w:p>
            <w:pPr>
              <w:spacing w:after="0"/>
              <w:rPr>
                <w:sz w:val="15"/>
                <w:szCs w:val="15"/>
                <w:color w:val="auto"/>
              </w:rPr>
            </w:pPr>
          </w:p>
        </w:tc>
        <w:tc>
          <w:tcPr>
            <w:tcW w:w="95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101.PRE</w:t>
            </w:r>
          </w:p>
        </w:tc>
        <w:tc>
          <w:tcPr>
            <w:tcW w:w="100" w:type="dxa"/>
            <w:vAlign w:val="bottom"/>
            <w:shd w:val="clear" w:color="auto" w:fill="CCEEFF"/>
          </w:tcPr>
          <w:p>
            <w:pPr>
              <w:spacing w:after="0"/>
              <w:rPr>
                <w:sz w:val="15"/>
                <w:szCs w:val="15"/>
                <w:color w:val="auto"/>
              </w:rPr>
            </w:pPr>
          </w:p>
        </w:tc>
        <w:tc>
          <w:tcPr>
            <w:tcW w:w="95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240" w:right="4460" w:hanging="5234"/>
        <w:spacing w:after="0" w:line="745" w:lineRule="auto"/>
        <w:tabs>
          <w:tab w:leader="none" w:pos="105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IXBRL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-716280</wp:posOffset>
            </wp:positionV>
            <wp:extent cx="6707505"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-251460</wp:posOffset>
            </wp:positionV>
            <wp:extent cx="670750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7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ectPr>
          <w:pgSz w:w="11900" w:h="16840" w:orient="portrait"/>
          <w:cols w:equalWidth="0" w:num="1">
            <w:col w:w="10580"/>
          </w:cols>
          <w:pgMar w:left="660" w:top="795" w:right="660" w:bottom="269" w:gutter="0" w:footer="0" w:header="0"/>
        </w:sectPr>
      </w:pPr>
    </w:p>
    <w:bookmarkStart w:id="1" w:name="page2"/>
    <w:bookmarkEnd w:id="1"/>
    <w:p>
      <w:pPr>
        <w:ind w:left="6340"/>
        <w:spacing w:after="0"/>
        <w:rPr>
          <w:sz w:val="20"/>
          <w:szCs w:val="20"/>
          <w:color w:val="auto"/>
        </w:rPr>
      </w:pPr>
      <w:r>
        <w:rPr>
          <w:rFonts w:ascii="Times New Roman" w:cs="Times New Roman" w:eastAsia="Times New Roman" w:hAnsi="Times New Roman"/>
          <w:sz w:val="16"/>
          <w:szCs w:val="16"/>
          <w:b w:val="1"/>
          <w:bCs w:val="1"/>
          <w:color w:val="auto"/>
        </w:rPr>
        <w:t>Bitdeer Technologies Group</w:t>
      </w:r>
    </w:p>
    <w:p>
      <w:pPr>
        <w:spacing w:after="0" w:line="286" w:lineRule="exact"/>
        <w:rPr>
          <w:sz w:val="20"/>
          <w:szCs w:val="20"/>
          <w:color w:val="auto"/>
        </w:rPr>
      </w:pPr>
    </w:p>
    <w:tbl>
      <w:tblPr>
        <w:tblLayout w:type="fixed"/>
        <w:tblInd w:w="6340" w:type="dxa"/>
        <w:tblCellMar>
          <w:top w:w="0" w:type="dxa"/>
          <w:left w:w="0" w:type="dxa"/>
          <w:bottom w:w="0" w:type="dxa"/>
          <w:right w:w="0" w:type="dxa"/>
        </w:tblCellMar>
      </w:tblPr>
      <w:tr>
        <w:trPr>
          <w:trHeight w:val="197"/>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Jihan Wu</w:t>
            </w:r>
          </w:p>
        </w:tc>
      </w:tr>
      <w:tr>
        <w:trPr>
          <w:trHeight w:val="167"/>
        </w:trPr>
        <w:tc>
          <w:tcPr>
            <w:tcW w:w="5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Name:</w:t>
            </w:r>
          </w:p>
        </w:tc>
        <w:tc>
          <w:tcPr>
            <w:tcW w:w="36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Jihan Wu</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September 29, 2025</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w w:val="96"/>
              </w:rPr>
              <w:t>Exhibit 99.1</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INDEX TO FINANCIAL STATEMENTS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058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Financial Statements as of June 30, 2025 and December 31, 2024 and for the Six Months Ended June 30,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and 2024</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gridSpan w:val="5"/>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Consolidated Statements of Financial Position</w:t>
              </w:r>
            </w:hyperlink>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660"/>
              <w:spacing w:after="0" w:line="156"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200" w:type="dxa"/>
            <w:vAlign w:val="bottom"/>
            <w:shd w:val="clear" w:color="auto" w:fill="0000EE"/>
          </w:tcPr>
          <w:p>
            <w:pPr>
              <w:spacing w:after="0"/>
              <w:rPr>
                <w:sz w:val="2"/>
                <w:szCs w:val="2"/>
                <w:color w:val="auto"/>
              </w:rPr>
            </w:pPr>
          </w:p>
        </w:tc>
        <w:tc>
          <w:tcPr>
            <w:tcW w:w="460" w:type="dxa"/>
            <w:vAlign w:val="bottom"/>
            <w:tcBorders>
              <w:right w:val="single" w:sz="8" w:color="CCEEFF"/>
            </w:tcBorders>
            <w:shd w:val="clear" w:color="auto" w:fill="0000EE"/>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200" w:type="dxa"/>
            <w:vAlign w:val="bottom"/>
            <w:gridSpan w:val="5"/>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Consolidated Statements of Operations and Comprehensive Income / (Loss)</w:t>
              </w:r>
            </w:hyperlink>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660"/>
              <w:spacing w:after="0" w:line="156" w:lineRule="exact"/>
              <w:rPr>
                <w:sz w:val="20"/>
                <w:szCs w:val="20"/>
                <w:color w:val="auto"/>
              </w:rPr>
            </w:pPr>
            <w:r>
              <w:rPr>
                <w:rFonts w:ascii="Times New Roman" w:cs="Times New Roman" w:eastAsia="Times New Roman" w:hAnsi="Times New Roman"/>
                <w:sz w:val="16"/>
                <w:szCs w:val="16"/>
                <w:color w:val="auto"/>
              </w:rPr>
              <w:t>F-4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60" w:type="dxa"/>
            <w:vAlign w:val="bottom"/>
            <w:tcBorders>
              <w:top w:val="single" w:sz="8" w:color="0000EE"/>
            </w:tcBorders>
            <w:gridSpan w:val="3"/>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Consolidated Statements of Changes in Equity</w:t>
              </w:r>
            </w:hyperlink>
          </w:p>
        </w:tc>
        <w:tc>
          <w:tcPr>
            <w:tcW w:w="1740" w:type="dxa"/>
            <w:vAlign w:val="bottom"/>
            <w:gridSpan w:val="2"/>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660"/>
              <w:spacing w:after="0" w:line="156" w:lineRule="exact"/>
              <w:rPr>
                <w:sz w:val="20"/>
                <w:szCs w:val="20"/>
                <w:color w:val="auto"/>
              </w:rPr>
            </w:pPr>
            <w:r>
              <w:rPr>
                <w:rFonts w:ascii="Times New Roman" w:cs="Times New Roman" w:eastAsia="Times New Roman" w:hAnsi="Times New Roman"/>
                <w:sz w:val="16"/>
                <w:szCs w:val="16"/>
                <w:color w:val="auto"/>
              </w:rPr>
              <w:t>F-5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Borders>
              <w:top w:val="single" w:sz="8" w:color="0000EE"/>
            </w:tcBorders>
            <w:gridSpan w:val="2"/>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Consolidated Statements of Cash Flows</w:t>
              </w:r>
            </w:hyperlink>
          </w:p>
        </w:tc>
        <w:tc>
          <w:tcPr>
            <w:tcW w:w="3540" w:type="dxa"/>
            <w:vAlign w:val="bottom"/>
            <w:tcBorders>
              <w:top w:val="single" w:sz="8" w:color="CCEEFF"/>
            </w:tcBorders>
            <w:gridSpan w:val="3"/>
          </w:tcPr>
          <w:p>
            <w:pPr>
              <w:spacing w:after="0"/>
              <w:rPr>
                <w:sz w:val="13"/>
                <w:szCs w:val="13"/>
                <w:color w:val="auto"/>
              </w:rPr>
            </w:pPr>
          </w:p>
        </w:tc>
        <w:tc>
          <w:tcPr>
            <w:tcW w:w="7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0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gridSpan w:val="2"/>
          </w:tcPr>
          <w:p>
            <w:pPr>
              <w:ind w:left="660"/>
              <w:spacing w:after="0" w:line="156" w:lineRule="exact"/>
              <w:rPr>
                <w:sz w:val="20"/>
                <w:szCs w:val="20"/>
                <w:color w:val="auto"/>
              </w:rPr>
            </w:pPr>
            <w:r>
              <w:rPr>
                <w:rFonts w:ascii="Times New Roman" w:cs="Times New Roman" w:eastAsia="Times New Roman" w:hAnsi="Times New Roman"/>
                <w:sz w:val="16"/>
                <w:szCs w:val="16"/>
                <w:color w:val="auto"/>
              </w:rPr>
              <w:t>F-6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20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200" w:type="dxa"/>
            <w:vAlign w:val="bottom"/>
            <w:gridSpan w:val="5"/>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the Condensed Consolidated Financial Statements</w:t>
              </w:r>
            </w:hyperlink>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660"/>
              <w:spacing w:after="0" w:line="156" w:lineRule="exact"/>
              <w:rPr>
                <w:sz w:val="20"/>
                <w:szCs w:val="20"/>
                <w:color w:val="auto"/>
              </w:rPr>
            </w:pPr>
            <w:r>
              <w:rPr>
                <w:rFonts w:ascii="Times New Roman" w:cs="Times New Roman" w:eastAsia="Times New Roman" w:hAnsi="Times New Roman"/>
                <w:sz w:val="16"/>
                <w:szCs w:val="16"/>
                <w:color w:val="auto"/>
              </w:rPr>
              <w:t>F-7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6"/>
        </w:trPr>
        <w:tc>
          <w:tcPr>
            <w:tcW w:w="20" w:type="dxa"/>
            <w:vAlign w:val="bottom"/>
          </w:tcPr>
          <w:p>
            <w:pPr>
              <w:spacing w:after="0"/>
              <w:rPr>
                <w:sz w:val="24"/>
                <w:szCs w:val="24"/>
                <w:color w:val="auto"/>
              </w:rPr>
            </w:pPr>
          </w:p>
        </w:tc>
        <w:tc>
          <w:tcPr>
            <w:tcW w:w="32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3540" w:type="dxa"/>
            <w:vAlign w:val="bottom"/>
            <w:tcBorders>
              <w:top w:val="single" w:sz="8" w:color="CCEEFF"/>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color w:val="auto"/>
                <w:w w:val="89"/>
              </w:rPr>
              <w:t>F-1</w:t>
            </w:r>
          </w:p>
        </w:tc>
        <w:tc>
          <w:tcPr>
            <w:tcW w:w="7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3"/>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gridSpan w:val="6"/>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7"/>
              </w:rPr>
              <w:t>BITDEER TECHNOLOGIES GROUP AND SUBSIDIARIES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40" w:type="dxa"/>
            <w:vAlign w:val="bottom"/>
            <w:gridSpan w:val="7"/>
          </w:tcPr>
          <w:p>
            <w:pPr>
              <w:jc w:val="center"/>
              <w:ind w:left="23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CONDENSED CONSOLIDATED STATEMENTS OF FINANCIAL POSITION</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gridSpan w:val="3"/>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(UNAUDITED)</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000" w:type="dxa"/>
            <w:vAlign w:val="bottom"/>
            <w:gridSpan w:val="4"/>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(Amounts in table are stated in thousands of U.S. Dollar)</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88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74"/>
              </w:rPr>
              <w:t>9</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299,792</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476,270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74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74"/>
              </w:rPr>
              <w:t>9</w:t>
            </w: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12,965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9,144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Cryptocurrencies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10</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169,340</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77,537</w:t>
            </w: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Trade receivables</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9,627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Amounts due from a related party</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26</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15,568</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15,512</w:t>
            </w: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Prepayments and other assets</w:t>
            </w:r>
          </w:p>
        </w:tc>
        <w:tc>
          <w:tcPr>
            <w:tcW w:w="74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11</w:t>
            </w:r>
          </w:p>
        </w:tc>
        <w:tc>
          <w:tcPr>
            <w:tcW w:w="200" w:type="dxa"/>
            <w:vAlign w:val="bottom"/>
          </w:tcPr>
          <w:p>
            <w:pPr>
              <w:spacing w:after="0"/>
              <w:rPr>
                <w:sz w:val="15"/>
                <w:szCs w:val="15"/>
                <w:color w:val="auto"/>
              </w:rPr>
            </w:pPr>
          </w:p>
        </w:tc>
        <w:tc>
          <w:tcPr>
            <w:tcW w:w="11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391,633</w:t>
            </w:r>
          </w:p>
        </w:tc>
        <w:tc>
          <w:tcPr>
            <w:tcW w:w="16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291,929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Inventories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12</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208,782</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64,888</w:t>
            </w: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74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87"/>
              </w:rPr>
              <w:t>13</w:t>
            </w:r>
          </w:p>
        </w:tc>
        <w:tc>
          <w:tcPr>
            <w:tcW w:w="2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4,540</w:t>
            </w:r>
          </w:p>
        </w:tc>
        <w:tc>
          <w:tcPr>
            <w:tcW w:w="1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0" w:type="dxa"/>
            <w:vAlign w:val="bottom"/>
            <w:tcBorders>
              <w:top w:val="single" w:sz="8" w:color="CCEEFF"/>
              <w:bottom w:val="single" w:sz="8" w:color="CCEEFF"/>
            </w:tcBorders>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1,115,320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949,447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Non-current assets</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74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74"/>
              </w:rPr>
              <w:t>9</w:t>
            </w:r>
          </w:p>
        </w:tc>
        <w:tc>
          <w:tcPr>
            <w:tcW w:w="200" w:type="dxa"/>
            <w:vAlign w:val="bottom"/>
          </w:tcPr>
          <w:p>
            <w:pPr>
              <w:spacing w:after="0"/>
              <w:rPr>
                <w:sz w:val="15"/>
                <w:szCs w:val="15"/>
                <w:color w:val="auto"/>
              </w:rPr>
            </w:pPr>
          </w:p>
        </w:tc>
        <w:tc>
          <w:tcPr>
            <w:tcW w:w="11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6,144</w:t>
            </w:r>
          </w:p>
        </w:tc>
        <w:tc>
          <w:tcPr>
            <w:tcW w:w="16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8,212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Prepayments and other assets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11</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73,530</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18,244</w:t>
            </w: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74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13</w:t>
            </w: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35,083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37,981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Mining rigs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14</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211,031</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67,324</w:t>
            </w: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Right-of-use assets</w:t>
            </w:r>
          </w:p>
        </w:tc>
        <w:tc>
          <w:tcPr>
            <w:tcW w:w="74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18</w:t>
            </w: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80,424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69,273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plant and equipment</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15</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360,780</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251,377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Investment properties</w:t>
            </w:r>
          </w:p>
        </w:tc>
        <w:tc>
          <w:tcPr>
            <w:tcW w:w="74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16</w:t>
            </w: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31,137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30,723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Intangible assets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17</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83,193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83,235</w:t>
            </w: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74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17</w:t>
            </w: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35,818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35,818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74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87"/>
              </w:rPr>
              <w:t>25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8,610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0" w:type="dxa"/>
            <w:vAlign w:val="bottom"/>
            <w:tcBorders>
              <w:top w:val="single" w:sz="8" w:color="CCEEFF"/>
              <w:bottom w:val="single" w:sz="8" w:color="CCEEFF"/>
            </w:tcBorders>
            <w:gridSpan w:val="5"/>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74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925,750</w:t>
            </w:r>
          </w:p>
        </w:tc>
        <w:tc>
          <w:tcPr>
            <w:tcW w:w="2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608,407</w:t>
            </w:r>
          </w:p>
        </w:tc>
        <w:tc>
          <w:tcPr>
            <w:tcW w:w="80" w:type="dxa"/>
            <w:vAlign w:val="bottom"/>
            <w:tcBorders>
              <w:top w:val="single" w:sz="8" w:color="CCEEFF"/>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2,041,070</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1,557,854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3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Current liabilities</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Trade payables</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76,248</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31,471</w:t>
            </w: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Other payables and accruals</w:t>
            </w:r>
          </w:p>
        </w:tc>
        <w:tc>
          <w:tcPr>
            <w:tcW w:w="74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21</w:t>
            </w: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39,219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40,617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Amounts due to a related party</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26</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11,337</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8,747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Income tax payables</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2,764</w:t>
            </w:r>
          </w:p>
        </w:tc>
        <w:tc>
          <w:tcPr>
            <w:tcW w:w="16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Derivative liabilities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20</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437,953</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763,939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56,863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39,029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19</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359,684</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208,127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Borrowings from a related party</w:t>
            </w:r>
          </w:p>
        </w:tc>
        <w:tc>
          <w:tcPr>
            <w:tcW w:w="74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26</w:t>
            </w: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74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87"/>
              </w:rPr>
              <w:t>18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7,967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0" w:type="dxa"/>
            <w:vAlign w:val="bottom"/>
            <w:tcBorders>
              <w:top w:val="single" w:sz="8" w:color="CCEEFF"/>
              <w:bottom w:val="single" w:sz="8" w:color="CCEEFF"/>
            </w:tcBorders>
            <w:gridSpan w:val="5"/>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74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1,082,035</w:t>
            </w:r>
          </w:p>
        </w:tc>
        <w:tc>
          <w:tcPr>
            <w:tcW w:w="2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1,100,119</w:t>
            </w:r>
          </w:p>
        </w:tc>
        <w:tc>
          <w:tcPr>
            <w:tcW w:w="80" w:type="dxa"/>
            <w:vAlign w:val="bottom"/>
            <w:tcBorders>
              <w:top w:val="single" w:sz="8" w:color="CCEEFF"/>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Non-current liabilities</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payables and accruals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21</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2,401</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67,006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90,200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19</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475</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Borrowings from a related party</w:t>
            </w:r>
          </w:p>
        </w:tc>
        <w:tc>
          <w:tcPr>
            <w:tcW w:w="74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26</w:t>
            </w: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82,917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Lease liabilities</w:t>
            </w:r>
          </w:p>
        </w:tc>
        <w:tc>
          <w:tcPr>
            <w:tcW w:w="740" w:type="dxa"/>
            <w:vAlign w:val="bottom"/>
            <w:shd w:val="clear" w:color="auto" w:fill="CCEEFF"/>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87"/>
              </w:rPr>
              <w:t>18</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84,675</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72,673</w:t>
            </w: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740" w:type="dxa"/>
            <w:vAlign w:val="bottom"/>
            <w:tcBorders>
              <w:bottom w:val="single" w:sz="8" w:color="CCEEFF"/>
            </w:tcBorders>
          </w:tcPr>
          <w:p>
            <w:pPr>
              <w:jc w:val="center"/>
              <w:ind w:right="162"/>
              <w:spacing w:after="0"/>
              <w:rPr>
                <w:sz w:val="20"/>
                <w:szCs w:val="20"/>
                <w:color w:val="auto"/>
              </w:rPr>
            </w:pPr>
            <w:r>
              <w:rPr>
                <w:rFonts w:ascii="Times New Roman" w:cs="Times New Roman" w:eastAsia="Times New Roman" w:hAnsi="Times New Roman"/>
                <w:sz w:val="16"/>
                <w:szCs w:val="16"/>
                <w:color w:val="auto"/>
                <w:w w:val="87"/>
              </w:rPr>
              <w:t>25</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14,810</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16,614</w:t>
            </w:r>
          </w:p>
        </w:tc>
        <w:tc>
          <w:tcPr>
            <w:tcW w:w="8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0" w:type="dxa"/>
            <w:vAlign w:val="bottom"/>
            <w:tcBorders>
              <w:bottom w:val="single" w:sz="8" w:color="CCEEFF"/>
            </w:tcBorders>
            <w:gridSpan w:val="5"/>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252,284</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181,137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7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1,334,319</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1,281,256</w:t>
            </w:r>
          </w:p>
        </w:tc>
        <w:tc>
          <w:tcPr>
            <w:tcW w:w="8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706,751</w:t>
            </w: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276,598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form an integral part of these unaudited condensed consolidated financial statements.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FINANCIAL POSITION</w:t>
      </w:r>
    </w:p>
    <w:p>
      <w:pPr>
        <w:sectPr>
          <w:pgSz w:w="11900" w:h="16840" w:orient="portrait"/>
          <w:cols w:equalWidth="0" w:num="1">
            <w:col w:w="10580"/>
          </w:cols>
          <w:pgMar w:left="660" w:top="555" w:right="660" w:bottom="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table are stated in thousands of U.S. Dollar)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6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Note</w:t>
            </w:r>
          </w:p>
        </w:tc>
        <w:tc>
          <w:tcPr>
            <w:tcW w:w="128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880" w:type="dxa"/>
            <w:vAlign w:val="bottom"/>
            <w:vMerge w:val="continue"/>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Share capital</w:t>
            </w:r>
          </w:p>
        </w:tc>
        <w:tc>
          <w:tcPr>
            <w:tcW w:w="1080" w:type="dxa"/>
            <w:vAlign w:val="bottom"/>
            <w:shd w:val="clear" w:color="auto" w:fill="CCEEFF"/>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Treasury equity</w:t>
            </w:r>
          </w:p>
        </w:tc>
        <w:tc>
          <w:tcPr>
            <w:tcW w:w="108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46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(290,607)</w:t>
            </w:r>
          </w:p>
        </w:tc>
        <w:tc>
          <w:tcPr>
            <w:tcW w:w="11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(160,926)</w:t>
            </w:r>
          </w:p>
        </w:tc>
        <w:tc>
          <w:tcPr>
            <w:tcW w:w="0" w:type="dxa"/>
            <w:vAlign w:val="bottom"/>
          </w:tcPr>
          <w:p>
            <w:pPr>
              <w:spacing w:after="0"/>
              <w:rPr>
                <w:sz w:val="1"/>
                <w:szCs w:val="1"/>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Accumulated deficit</w:t>
            </w:r>
          </w:p>
        </w:tc>
        <w:tc>
          <w:tcPr>
            <w:tcW w:w="1080" w:type="dxa"/>
            <w:vAlign w:val="bottom"/>
            <w:shd w:val="clear" w:color="auto" w:fill="CCEEFF"/>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46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(387,264)</w:t>
            </w:r>
          </w:p>
        </w:tc>
        <w:tc>
          <w:tcPr>
            <w:tcW w:w="11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(649,004)</w:t>
            </w:r>
          </w:p>
        </w:tc>
        <w:tc>
          <w:tcPr>
            <w:tcW w:w="0" w:type="dxa"/>
            <w:vAlign w:val="bottom"/>
          </w:tcPr>
          <w:p>
            <w:pPr>
              <w:spacing w:after="0"/>
              <w:rPr>
                <w:sz w:val="1"/>
                <w:szCs w:val="1"/>
                <w:color w:val="auto"/>
              </w:rPr>
            </w:pPr>
          </w:p>
        </w:tc>
      </w:tr>
      <w:tr>
        <w:trPr>
          <w:trHeight w:val="196"/>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Reserves</w:t>
            </w:r>
          </w:p>
        </w:tc>
        <w:tc>
          <w:tcPr>
            <w:tcW w:w="1080" w:type="dxa"/>
            <w:vAlign w:val="bottom"/>
            <w:tcBorders>
              <w:bottom w:val="single" w:sz="8" w:color="CCEEFF"/>
            </w:tcBorders>
          </w:tcPr>
          <w:p>
            <w:pPr>
              <w:jc w:val="right"/>
              <w:ind w:right="342"/>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1,384,622</w:t>
            </w:r>
          </w:p>
        </w:tc>
        <w:tc>
          <w:tcPr>
            <w:tcW w:w="1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1,086,528</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0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706,751</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276,598</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hanging="294"/>
        <w:spacing w:after="0"/>
        <w:tabs>
          <w:tab w:leader="none" w:pos="3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less than US$1,000</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accompanying notes form an integral part of these unaudited condensed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INCOME / (LOSS)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table are stated in thousands of U.S. Dollar, except for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4"/>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8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1060" w:type="dxa"/>
            <w:vAlign w:val="bottom"/>
            <w:shd w:val="clear" w:color="auto" w:fill="CCEEFF"/>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225,710</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b w:val="1"/>
                <w:bCs w:val="1"/>
                <w:color w:val="auto"/>
              </w:rPr>
              <w:t>218,735</w:t>
            </w:r>
          </w:p>
        </w:tc>
        <w:tc>
          <w:tcPr>
            <w:tcW w:w="0" w:type="dxa"/>
            <w:vAlign w:val="bottom"/>
          </w:tcPr>
          <w:p>
            <w:pPr>
              <w:spacing w:after="0"/>
              <w:rPr>
                <w:sz w:val="1"/>
                <w:szCs w:val="1"/>
                <w:color w:val="auto"/>
              </w:rPr>
            </w:pPr>
          </w:p>
        </w:tc>
      </w:tr>
      <w:tr>
        <w:trPr>
          <w:trHeight w:val="196"/>
        </w:trPr>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4"/>
              </w:rPr>
              <w:t>22(a)</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(216,115)</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(160,199)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9,595</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58,536</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Selling expenses</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4"/>
              </w:rPr>
              <w:t>22(a)</w:t>
            </w:r>
          </w:p>
        </w:tc>
        <w:tc>
          <w:tcPr>
            <w:tcW w:w="126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(3,019)</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(3,863)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1160" w:type="dxa"/>
            <w:vAlign w:val="bottom"/>
            <w:gridSpan w:val="2"/>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4"/>
              </w:rPr>
              <w:t>22(a)</w:t>
            </w:r>
          </w:p>
        </w:tc>
        <w:tc>
          <w:tcPr>
            <w:tcW w:w="126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(35,527)</w:t>
            </w:r>
          </w:p>
        </w:tc>
        <w:tc>
          <w:tcPr>
            <w:tcW w:w="11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(30,821)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 expenses</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4"/>
              </w:rPr>
              <w:t>22(a)</w:t>
            </w:r>
          </w:p>
        </w:tc>
        <w:tc>
          <w:tcPr>
            <w:tcW w:w="126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(79,591)</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(29,212)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operating income / (expenses)</w:t>
            </w:r>
          </w:p>
        </w:tc>
        <w:tc>
          <w:tcPr>
            <w:tcW w:w="1160" w:type="dxa"/>
            <w:vAlign w:val="bottom"/>
            <w:gridSpan w:val="2"/>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2"/>
              </w:rPr>
              <w:t>22(b)</w:t>
            </w:r>
          </w:p>
        </w:tc>
        <w:tc>
          <w:tcPr>
            <w:tcW w:w="126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(4,054)</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3,177</w:t>
            </w:r>
          </w:p>
        </w:tc>
        <w:tc>
          <w:tcPr>
            <w:tcW w:w="0" w:type="dxa"/>
            <w:vAlign w:val="bottom"/>
          </w:tcPr>
          <w:p>
            <w:pPr>
              <w:spacing w:after="0"/>
              <w:rPr>
                <w:sz w:val="1"/>
                <w:szCs w:val="1"/>
                <w:color w:val="auto"/>
              </w:rPr>
            </w:pPr>
          </w:p>
        </w:tc>
      </w:tr>
      <w:tr>
        <w:trPr>
          <w:trHeight w:val="144"/>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Other net gains / (losses)</w:t>
            </w:r>
          </w:p>
        </w:tc>
        <w:tc>
          <w:tcPr>
            <w:tcW w:w="116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6"/>
                <w:szCs w:val="16"/>
                <w:color w:val="auto"/>
                <w:w w:val="94"/>
              </w:rPr>
              <w:t>22(c)</w:t>
            </w:r>
          </w:p>
        </w:tc>
        <w:tc>
          <w:tcPr>
            <w:tcW w:w="126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rPr>
              <w:t>394,599</w:t>
            </w:r>
          </w:p>
        </w:tc>
        <w:tc>
          <w:tcPr>
            <w:tcW w:w="1140" w:type="dxa"/>
            <w:vAlign w:val="bottom"/>
            <w:gridSpan w:val="2"/>
          </w:tcPr>
          <w:p>
            <w:pPr>
              <w:jc w:val="right"/>
              <w:ind w:right="1"/>
              <w:spacing w:after="0" w:line="14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2"/>
        </w:trPr>
        <w:tc>
          <w:tcPr>
            <w:tcW w:w="700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4"/>
                <w:szCs w:val="4"/>
                <w:color w:val="auto"/>
              </w:rPr>
              <w:t>(13,020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Profit / (loss) from operations</w:t>
            </w: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282,003</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(15,203)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Finance income / (expenses)</w:t>
            </w:r>
          </w:p>
        </w:tc>
        <w:tc>
          <w:tcPr>
            <w:tcW w:w="116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6"/>
                <w:szCs w:val="16"/>
                <w:color w:val="auto"/>
                <w:w w:val="92"/>
              </w:rPr>
              <w:t>22(d)</w:t>
            </w:r>
          </w:p>
        </w:tc>
        <w:tc>
          <w:tcPr>
            <w:tcW w:w="1260" w:type="dxa"/>
            <w:vAlign w:val="bottom"/>
            <w:gridSpan w:val="2"/>
          </w:tcPr>
          <w:p>
            <w:pPr>
              <w:jc w:val="right"/>
              <w:ind w:right="101"/>
              <w:spacing w:after="0" w:line="144"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700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4"/>
                <w:szCs w:val="4"/>
                <w:color w:val="auto"/>
              </w:rPr>
              <w:t>(23,036</w:t>
            </w:r>
          </w:p>
        </w:tc>
        <w:tc>
          <w:tcPr>
            <w:tcW w:w="10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Profit / (loss) before taxation</w:t>
            </w: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258,967</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(15,096)</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benefits / (expenses)</w:t>
            </w:r>
          </w:p>
        </w:tc>
        <w:tc>
          <w:tcPr>
            <w:tcW w:w="106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tcPr>
          <w:p>
            <w:pPr>
              <w:spacing w:after="0"/>
              <w:rPr>
                <w:sz w:val="17"/>
                <w:szCs w:val="17"/>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2,773</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 (loss) for the periods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261,740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(17,137</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comprehensive income / (loss)</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Profit / (loss) for the periods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261,740</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(17,137)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comprehensive income for the periods</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Item that may be reclassified to profit or loss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Exchange differences on translation of financial statements</w:t>
            </w: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00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Other comprehensive income for the periods, net of tax</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149</w:t>
            </w:r>
          </w:p>
        </w:tc>
        <w:tc>
          <w:tcPr>
            <w:tcW w:w="180" w:type="dxa"/>
            <w:vAlign w:val="bottom"/>
          </w:tcPr>
          <w:p>
            <w:pPr>
              <w:spacing w:after="0"/>
              <w:rPr>
                <w:sz w:val="14"/>
                <w:szCs w:val="14"/>
                <w:color w:val="auto"/>
              </w:rPr>
            </w:pPr>
          </w:p>
        </w:tc>
        <w:tc>
          <w:tcPr>
            <w:tcW w:w="10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 (loss) for the periods</w:t>
            </w: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261,889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(17,091</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80" w:type="dxa"/>
            <w:vAlign w:val="bottom"/>
          </w:tcPr>
          <w:p>
            <w:pPr>
              <w:spacing w:after="0"/>
              <w:rPr>
                <w:sz w:val="22"/>
                <w:szCs w:val="22"/>
                <w:color w:val="auto"/>
              </w:rPr>
            </w:pPr>
          </w:p>
        </w:tc>
        <w:tc>
          <w:tcPr>
            <w:tcW w:w="1140" w:type="dxa"/>
            <w:vAlign w:val="bottom"/>
            <w:gridSpan w:val="2"/>
          </w:tcPr>
          <w:p>
            <w:pPr>
              <w:jc w:val="right"/>
              <w:ind w:right="1"/>
              <w:spacing w:after="0" w:line="216" w:lineRule="exact"/>
              <w:rPr>
                <w:sz w:val="20"/>
                <w:szCs w:val="20"/>
                <w:color w:val="auto"/>
              </w:rPr>
            </w:pPr>
            <w:r>
              <w:rPr>
                <w:rFonts w:ascii="Times New Roman" w:cs="Times New Roman" w:eastAsia="Times New Roman" w:hAnsi="Times New Roman"/>
                <w:sz w:val="13"/>
                <w:szCs w:val="13"/>
                <w:color w:val="auto"/>
              </w:rPr>
              <w:t>(0.14</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top w:val="single" w:sz="8" w:color="CCEEFF"/>
              <w:bottom w:val="single" w:sz="8" w:color="CCEEFF"/>
            </w:tcBorders>
            <w:shd w:val="clear" w:color="auto" w:fill="CCEEFF"/>
          </w:tcPr>
          <w:p>
            <w:pPr>
              <w:jc w:val="center"/>
              <w:ind w:left="22"/>
              <w:spacing w:after="0" w:line="163" w:lineRule="exact"/>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(0.58</w:t>
            </w:r>
          </w:p>
        </w:tc>
        <w:tc>
          <w:tcPr>
            <w:tcW w:w="18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(0.14</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Weighted average number of shares outstanding (thousand shares)</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06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tcPr>
          <w:p>
            <w:pPr>
              <w:spacing w:after="0"/>
              <w:rPr>
                <w:sz w:val="15"/>
                <w:szCs w:val="15"/>
                <w:color w:val="auto"/>
              </w:rPr>
            </w:pPr>
          </w:p>
        </w:tc>
        <w:tc>
          <w:tcPr>
            <w:tcW w:w="126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192,095</w:t>
            </w: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120,686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1060" w:type="dxa"/>
            <w:vAlign w:val="bottom"/>
            <w:shd w:val="clear" w:color="auto" w:fill="CCEEFF"/>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228,946</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120,686</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accompanying notes form an integral part of these unaudited condensed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table are stated in thousands of U.S. Dollar)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5"/>
                <w:szCs w:val="15"/>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6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4"/>
              </w:rPr>
              <w:t>Accumulated</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8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(160,926</w:t>
            </w:r>
          </w:p>
        </w:tc>
        <w:tc>
          <w:tcPr>
            <w:tcW w:w="2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(649,004</w:t>
            </w:r>
          </w:p>
        </w:tc>
        <w:tc>
          <w:tcPr>
            <w:tcW w:w="1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w:t>
            </w:r>
          </w:p>
        </w:tc>
        <w:tc>
          <w:tcPr>
            <w:tcW w:w="1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1,086,989</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276,598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0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vMerge w:val="continue"/>
          </w:tcPr>
          <w:p>
            <w:pPr>
              <w:spacing w:after="0"/>
              <w:rPr>
                <w:sz w:val="15"/>
                <w:szCs w:val="15"/>
                <w:color w:val="auto"/>
              </w:rPr>
            </w:pPr>
          </w:p>
        </w:tc>
        <w:tc>
          <w:tcPr>
            <w:tcW w:w="8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9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261,740</w:t>
            </w:r>
          </w:p>
        </w:tc>
        <w:tc>
          <w:tcPr>
            <w:tcW w:w="180" w:type="dxa"/>
            <w:vAlign w:val="bottom"/>
          </w:tcPr>
          <w:p>
            <w:pPr>
              <w:spacing w:after="0"/>
              <w:rPr>
                <w:sz w:val="15"/>
                <w:szCs w:val="15"/>
                <w:color w:val="auto"/>
              </w:rPr>
            </w:pPr>
          </w:p>
        </w:tc>
        <w:tc>
          <w:tcPr>
            <w:tcW w:w="8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8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261,740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gridSpan w:val="2"/>
            <w:shd w:val="clear" w:color="auto" w:fill="CCEEFF"/>
          </w:tcPr>
          <w:p>
            <w:pPr>
              <w:ind w:left="8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20,574</w:t>
            </w: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Issuance of shares for exercise of share awards</w:t>
            </w:r>
          </w:p>
        </w:tc>
        <w:tc>
          <w:tcPr>
            <w:tcW w:w="840" w:type="dxa"/>
            <w:vAlign w:val="bottom"/>
            <w:shd w:val="clear" w:color="auto" w:fill="CCEEFF"/>
          </w:tcPr>
          <w:p>
            <w:pPr>
              <w:ind w:left="760"/>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1,665</w:t>
            </w:r>
          </w:p>
        </w:tc>
        <w:tc>
          <w:tcPr>
            <w:tcW w:w="9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1,665</w:t>
            </w:r>
          </w:p>
        </w:tc>
        <w:tc>
          <w:tcPr>
            <w:tcW w:w="0" w:type="dxa"/>
            <w:vAlign w:val="bottom"/>
          </w:tcPr>
          <w:p>
            <w:pPr>
              <w:spacing w:after="0"/>
              <w:rPr>
                <w:sz w:val="1"/>
                <w:szCs w:val="1"/>
                <w:color w:val="auto"/>
              </w:rPr>
            </w:pPr>
          </w:p>
        </w:tc>
      </w:tr>
      <w:tr>
        <w:trPr>
          <w:trHeight w:val="205"/>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Cancellation of treasury shares</w:t>
            </w: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29,967</w:t>
            </w:r>
          </w:p>
        </w:tc>
        <w:tc>
          <w:tcPr>
            <w:tcW w:w="20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(29,967)</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ectPr>
          <w:pgSz w:w="11900" w:h="16840" w:orient="portrait"/>
          <w:cols w:equalWidth="0" w:num="1">
            <w:col w:w="10560"/>
          </w:cols>
          <w:pgMar w:left="660" w:top="555" w:right="680" w:bottom="124"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treasury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(30,041)</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Issuance of shares for cash, net of transaction costs</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118,540</w:t>
            </w: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118,540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Issuance of shares for exercise of warrant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74,182</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74,182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Issuance of shares in connection with conversion of convertible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w:t>
            </w: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112,951</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112,951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Purchase of zero-strike call option in connection with issuance of</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senior notes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(129,607)</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(129,607)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(290,607</w:t>
            </w:r>
          </w:p>
        </w:tc>
        <w:tc>
          <w:tcPr>
            <w:tcW w:w="20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(387,264</w:t>
            </w:r>
          </w:p>
        </w:tc>
        <w:tc>
          <w:tcPr>
            <w:tcW w:w="18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w:t>
            </w:r>
          </w:p>
        </w:tc>
        <w:tc>
          <w:tcPr>
            <w:tcW w:w="18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1,384,934</w:t>
            </w:r>
          </w:p>
        </w:tc>
        <w:tc>
          <w:tcPr>
            <w:tcW w:w="180" w:type="dxa"/>
            <w:vAlign w:val="bottom"/>
            <w:tcBorders>
              <w:top w:val="single" w:sz="8" w:color="CCEEFF"/>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706,751</w:t>
            </w:r>
          </w:p>
        </w:tc>
        <w:tc>
          <w:tcPr>
            <w:tcW w:w="80" w:type="dxa"/>
            <w:vAlign w:val="bottom"/>
            <w:tcBorders>
              <w:top w:val="single" w:sz="8" w:color="CCEEFF"/>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0" w:type="dxa"/>
            <w:vAlign w:val="bottom"/>
            <w:vMerge w:val="continue"/>
          </w:tcPr>
          <w:p>
            <w:pPr>
              <w:spacing w:after="0"/>
              <w:rPr>
                <w:sz w:val="22"/>
                <w:szCs w:val="22"/>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(2,604)</w:t>
            </w: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(49,853)</w:t>
            </w: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(243)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385,266</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332,566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Loss for the period</w:t>
            </w: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(17,137)</w:t>
            </w: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(17,137)</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80" w:type="dxa"/>
            <w:vAlign w:val="bottom"/>
          </w:tcPr>
          <w:p>
            <w:pPr>
              <w:spacing w:after="0"/>
              <w:rPr>
                <w:sz w:val="15"/>
                <w:szCs w:val="15"/>
                <w:color w:val="auto"/>
              </w:rPr>
            </w:pPr>
          </w:p>
        </w:tc>
        <w:tc>
          <w:tcPr>
            <w:tcW w:w="10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Share-based payments</w:t>
            </w:r>
          </w:p>
        </w:tc>
        <w:tc>
          <w:tcPr>
            <w:tcW w:w="10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15,896</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15,896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Issuance of shares for exercise of share awards</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604</w:t>
            </w:r>
          </w:p>
        </w:tc>
        <w:tc>
          <w:tcPr>
            <w:tcW w:w="1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Cancellation of treasury shares</w:t>
            </w:r>
          </w:p>
        </w:tc>
        <w:tc>
          <w:tcPr>
            <w:tcW w:w="10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2,604</w:t>
            </w:r>
          </w:p>
        </w:tc>
        <w:tc>
          <w:tcPr>
            <w:tcW w:w="11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(2,604)</w:t>
            </w:r>
          </w:p>
        </w:tc>
        <w:tc>
          <w:tcPr>
            <w:tcW w:w="9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Issuance of shares for cash, net of transaction costs</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144,563</w:t>
            </w: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144,563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Issuance of shares as consideration for the Norway Acquisition</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2,357</w:t>
            </w:r>
          </w:p>
        </w:tc>
        <w:tc>
          <w:tcPr>
            <w:tcW w:w="9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Issuance of share options as consideration for the Norway</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(66,990</w:t>
            </w:r>
          </w:p>
        </w:tc>
        <w:tc>
          <w:tcPr>
            <w:tcW w:w="18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w:t>
            </w:r>
          </w:p>
        </w:tc>
        <w:tc>
          <w:tcPr>
            <w:tcW w:w="18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546,586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479,399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Amount less than US$1,000</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accompanying notes form an integral part of these unaudited condensed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table are stated in thousands of U.S. Dollar)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2420" w:type="dxa"/>
            <w:vAlign w:val="bottom"/>
            <w:gridSpan w:val="5"/>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used in operating activities</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(600,442)</w:t>
            </w:r>
          </w:p>
        </w:tc>
        <w:tc>
          <w:tcPr>
            <w:tcW w:w="11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(201,374)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paid on leases</w:t>
            </w: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(1,959)</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paid on borrowings</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(19,801)</w:t>
            </w:r>
          </w:p>
        </w:tc>
        <w:tc>
          <w:tcPr>
            <w:tcW w:w="11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received</w:t>
            </w:r>
          </w:p>
        </w:tc>
        <w:tc>
          <w:tcPr>
            <w:tcW w:w="11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4,473</w:t>
            </w:r>
          </w:p>
        </w:tc>
        <w:tc>
          <w:tcPr>
            <w:tcW w:w="180" w:type="dxa"/>
            <w:vAlign w:val="bottom"/>
          </w:tcPr>
          <w:p>
            <w:pPr>
              <w:spacing w:after="0"/>
              <w:rPr>
                <w:sz w:val="15"/>
                <w:szCs w:val="15"/>
                <w:color w:val="auto"/>
              </w:rPr>
            </w:pP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3,535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paid</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(1,130)</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0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(618,859</w:t>
            </w:r>
          </w:p>
        </w:tc>
        <w:tc>
          <w:tcPr>
            <w:tcW w:w="200" w:type="dxa"/>
            <w:vAlign w:val="bottom"/>
            <w:tcBorders>
              <w:top w:val="single" w:sz="8" w:color="CCEEFF"/>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(206,295</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Purchase of property, plant and equipment, investment properties and intangible assets</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(151,318)</w:t>
            </w:r>
          </w:p>
        </w:tc>
        <w:tc>
          <w:tcPr>
            <w:tcW w:w="11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(46,948)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Payments for mining rigs</w:t>
            </w: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(5,887)</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Purchase of financial assets at fair value through profit or loss</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(1,332)</w:t>
            </w:r>
          </w:p>
        </w:tc>
        <w:tc>
          <w:tcPr>
            <w:tcW w:w="11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(2,524)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 of cryptocurrencies</w:t>
            </w: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(18,159)</w:t>
            </w: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Proceeds from disposal of property, plant and equipment</w:t>
            </w:r>
          </w:p>
        </w:tc>
        <w:tc>
          <w:tcPr>
            <w:tcW w:w="12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Proceeds from disposal of cryptocurrencies</w:t>
            </w:r>
          </w:p>
        </w:tc>
        <w:tc>
          <w:tcPr>
            <w:tcW w:w="11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112,351</w:t>
            </w:r>
          </w:p>
        </w:tc>
        <w:tc>
          <w:tcPr>
            <w:tcW w:w="180" w:type="dxa"/>
            <w:vAlign w:val="bottom"/>
          </w:tcPr>
          <w:p>
            <w:pPr>
              <w:spacing w:after="0"/>
              <w:rPr>
                <w:sz w:val="15"/>
                <w:szCs w:val="15"/>
                <w:color w:val="auto"/>
              </w:rPr>
            </w:pP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169,724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paid for the site and gas-fired power project in Alberta, Canada</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(21,881)</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business combinations, net of cash acquired</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(6,277)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1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generated from / (used in) investing activities</w:t>
            </w: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(86,226</w:t>
            </w:r>
          </w:p>
        </w:tc>
        <w:tc>
          <w:tcPr>
            <w:tcW w:w="2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112,481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Capital element of lease rentals paid</w:t>
            </w: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(3,893)</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(2,574)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Proceeds from borrowings</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17,472</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Repayments of borrowings</w:t>
            </w: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Borrowings from a related party</w:t>
            </w:r>
          </w:p>
        </w:tc>
        <w:tc>
          <w:tcPr>
            <w:tcW w:w="11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180,000</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Repayments of borrowings to a related party</w:t>
            </w: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(7,083)</w:t>
            </w: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Proceeds from issuance of shares for exercise of share rewards</w:t>
            </w:r>
          </w:p>
        </w:tc>
        <w:tc>
          <w:tcPr>
            <w:tcW w:w="11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1,665</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Proceeds from issuance of ordinary shares, net of transaction costs</w:t>
            </w:r>
          </w:p>
        </w:tc>
        <w:tc>
          <w:tcPr>
            <w:tcW w:w="11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118,403</w:t>
            </w:r>
          </w:p>
        </w:tc>
        <w:tc>
          <w:tcPr>
            <w:tcW w:w="180" w:type="dxa"/>
            <w:vAlign w:val="bottom"/>
          </w:tcPr>
          <w:p>
            <w:pPr>
              <w:spacing w:after="0"/>
              <w:rPr>
                <w:sz w:val="15"/>
                <w:szCs w:val="15"/>
                <w:color w:val="auto"/>
              </w:rPr>
            </w:pP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155,692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Proceeds from issuance of shares for exercise of warrants</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Payment for future issuance costs</w:t>
            </w:r>
          </w:p>
        </w:tc>
        <w:tc>
          <w:tcPr>
            <w:tcW w:w="12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Acquisition of treasury shares</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(30,010)</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Proceeds from convertible senior notes, net of transaction costs</w:t>
            </w:r>
          </w:p>
        </w:tc>
        <w:tc>
          <w:tcPr>
            <w:tcW w:w="11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363,192</w:t>
            </w:r>
          </w:p>
        </w:tc>
        <w:tc>
          <w:tcPr>
            <w:tcW w:w="180" w:type="dxa"/>
            <w:vAlign w:val="bottom"/>
          </w:tcPr>
          <w:p>
            <w:pPr>
              <w:spacing w:after="0"/>
              <w:rPr>
                <w:sz w:val="15"/>
                <w:szCs w:val="15"/>
                <w:color w:val="auto"/>
              </w:rPr>
            </w:pP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Repayments to convertible senior notes in connection with note extinguishment</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(33,783)</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zero-strike call option</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(129,607)</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1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generated from financing activities</w:t>
            </w: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526,352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153,425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increase / (decrease) in cash and cash equivalents</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(178,733)</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59,611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at January 1</w:t>
            </w:r>
          </w:p>
        </w:tc>
        <w:tc>
          <w:tcPr>
            <w:tcW w:w="11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476,270</w:t>
            </w:r>
          </w:p>
        </w:tc>
        <w:tc>
          <w:tcPr>
            <w:tcW w:w="180" w:type="dxa"/>
            <w:vAlign w:val="bottom"/>
          </w:tcPr>
          <w:p>
            <w:pPr>
              <w:spacing w:after="0"/>
              <w:rPr>
                <w:sz w:val="15"/>
                <w:szCs w:val="15"/>
                <w:color w:val="auto"/>
              </w:rPr>
            </w:pP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144,729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movements in exchange rates on cash and cash equivalents held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June 30</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299,792</w:t>
            </w:r>
          </w:p>
        </w:tc>
        <w:tc>
          <w:tcPr>
            <w:tcW w:w="20" w:type="dxa"/>
            <w:vAlign w:val="bottom"/>
            <w:tcBorders>
              <w:top w:val="single" w:sz="8" w:color="CCEEFF"/>
              <w:bottom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203,882</w:t>
            </w: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accompanying notes form an integral part of these unaudited condensed consolidated financial statements.</w:t>
      </w:r>
    </w:p>
    <w:p>
      <w:pPr>
        <w:sectPr>
          <w:pgSz w:w="11900" w:h="16840" w:orient="portrait"/>
          <w:cols w:equalWidth="0" w:num="1">
            <w:col w:w="10560"/>
          </w:cols>
          <w:pgMar w:left="660" w:top="566" w:right="680" w:bottom="109"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670750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566" w:right="680" w:bottom="109"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ind w:right="9040" w:firstLine="6"/>
        <w:spacing w:after="0" w:line="538" w:lineRule="auto"/>
        <w:tabs>
          <w:tab w:leader="none" w:pos="288"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General information</w:t>
      </w: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Bitdeer Technologies Group (the “Company” or “BTG”) is a limited liability company incorporated in the Cayman Islands on December 8, 2021. The address of its registered office is 89 Nexus Way, Camana Bay, Grand Cayman KY1-9009, Cayman Islands. BTG is listed on Nasdaq Capital Market and commenced trading under symbol “BTDR”.</w:t>
      </w:r>
    </w:p>
    <w:p>
      <w:pPr>
        <w:spacing w:after="0" w:line="152" w:lineRule="exact"/>
        <w:rPr>
          <w:sz w:val="20"/>
          <w:szCs w:val="20"/>
          <w:color w:val="auto"/>
        </w:rPr>
      </w:pPr>
    </w:p>
    <w:p>
      <w:pPr>
        <w:jc w:val="both"/>
        <w:ind w:right="20" w:firstLine="288"/>
        <w:spacing w:after="0" w:line="243" w:lineRule="auto"/>
        <w:rPr>
          <w:sz w:val="20"/>
          <w:szCs w:val="20"/>
          <w:color w:val="auto"/>
        </w:rPr>
      </w:pPr>
      <w:r>
        <w:rPr>
          <w:rFonts w:ascii="Times New Roman" w:cs="Times New Roman" w:eastAsia="Times New Roman" w:hAnsi="Times New Roman"/>
          <w:sz w:val="16"/>
          <w:szCs w:val="16"/>
          <w:color w:val="auto"/>
        </w:rPr>
        <w:t>The Company and its subsidiaries (together, the “Group”) are principally engaged in the Cloud Hash Rate business, the self-mining business, the hosting business, the application-specific integrated circuit (ASIC) and mining rigs business and high-performance computing (HPC) and AI cloud business (collectively, the “Bitdeer Business”) as discussed in the Annual Financial Statements (defined below). The Company does not conduct any substantive operations of its own but conducts its primary business operation through its subsidiaries.</w:t>
      </w:r>
    </w:p>
    <w:p>
      <w:pPr>
        <w:spacing w:after="0" w:line="153" w:lineRule="exact"/>
        <w:rPr>
          <w:sz w:val="20"/>
          <w:szCs w:val="20"/>
          <w:color w:val="auto"/>
        </w:rPr>
      </w:pPr>
    </w:p>
    <w:p>
      <w:pPr>
        <w:ind w:left="300" w:hanging="294"/>
        <w:spacing w:after="0"/>
        <w:tabs>
          <w:tab w:leader="none" w:pos="30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PREPARATION</w:t>
      </w:r>
    </w:p>
    <w:p>
      <w:pPr>
        <w:spacing w:after="0" w:line="178" w:lineRule="exact"/>
        <w:rPr>
          <w:sz w:val="20"/>
          <w:szCs w:val="20"/>
          <w:color w:val="auto"/>
        </w:rPr>
      </w:pPr>
    </w:p>
    <w:p>
      <w:pPr>
        <w:jc w:val="both"/>
        <w:ind w:right="20" w:firstLine="288"/>
        <w:spacing w:after="0" w:line="331" w:lineRule="auto"/>
        <w:rPr>
          <w:sz w:val="20"/>
          <w:szCs w:val="20"/>
          <w:color w:val="auto"/>
        </w:rPr>
      </w:pPr>
      <w:r>
        <w:rPr>
          <w:rFonts w:ascii="Times New Roman" w:cs="Times New Roman" w:eastAsia="Times New Roman" w:hAnsi="Times New Roman"/>
          <w:sz w:val="14"/>
          <w:szCs w:val="14"/>
          <w:color w:val="auto"/>
        </w:rPr>
        <w:t>The interim financial information for the six months ended June 30, 2025 (“Interim Financial Information”) has been prepared in accordance with the same accounting policies adopted in the Group’s consolidated financial statements for the years ended December 31, 2024, 2023 and 2022 (“Annual Financial Statements”).</w:t>
      </w:r>
    </w:p>
    <w:p>
      <w:pPr>
        <w:spacing w:after="0" w:line="96"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The Interim Financial Information comprises condensed consolidated statements of financial position, condensed consolidated statements of operations and comprehensive income/(loss), condensed consolidated statements of changes in equity, condensed consolidated statements of cash flows, and notes to the condensed consolidated financial statements for the six months ended June 30, 2025. The Interim Financial Information has not been audited.</w:t>
      </w:r>
    </w:p>
    <w:p>
      <w:pPr>
        <w:spacing w:after="0" w:line="152" w:lineRule="exact"/>
        <w:rPr>
          <w:sz w:val="20"/>
          <w:szCs w:val="20"/>
          <w:color w:val="auto"/>
        </w:rPr>
      </w:pPr>
    </w:p>
    <w:p>
      <w:pPr>
        <w:jc w:val="both"/>
        <w:ind w:right="20" w:firstLine="288"/>
        <w:spacing w:after="0" w:line="241" w:lineRule="auto"/>
        <w:rPr>
          <w:sz w:val="20"/>
          <w:szCs w:val="20"/>
          <w:color w:val="auto"/>
        </w:rPr>
      </w:pPr>
      <w:r>
        <w:rPr>
          <w:rFonts w:ascii="Times New Roman" w:cs="Times New Roman" w:eastAsia="Times New Roman" w:hAnsi="Times New Roman"/>
          <w:sz w:val="16"/>
          <w:szCs w:val="16"/>
          <w:color w:val="auto"/>
        </w:rPr>
        <w:t>The Interim Financial Information has been prepared in accordance with International Accounting Standard (“IAS”) 34 ‘Interim Financial Reporting’ issued by the International Accounting Standards Board and should be read in conjunction with the Annual Financial Statements, which have been prepared in accordance with International Financial Reporting Standards as issued by International Accounting Standards Board (“IFRS as issued by IASB”). The preparation of an interim financial information in conformity with IAS 34 requires management to make judgements, estimates and assumptions that affect the application of policies and reported amounts of assets and liabilities, income and expenses on a year-to-date basis. Actual results may differ from these estimates.</w:t>
      </w:r>
    </w:p>
    <w:p>
      <w:pPr>
        <w:spacing w:after="0" w:line="157"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This Interim Financial Information contains selected explanatory notes. The notes include an explanation of events and transactions that are significant to an understanding of the changes in financial position and performance of the Group for the six months ended June 30, 2025. The Interim Financial Information and notes thereon do not include all of the information required for a full set of financial statements prepared in accordance with IFRSs.</w:t>
      </w:r>
    </w:p>
    <w:p>
      <w:pPr>
        <w:spacing w:after="0" w:line="150" w:lineRule="exact"/>
        <w:rPr>
          <w:sz w:val="20"/>
          <w:szCs w:val="20"/>
          <w:color w:val="auto"/>
        </w:rPr>
      </w:pPr>
    </w:p>
    <w:p>
      <w:pPr>
        <w:ind w:left="300" w:hanging="294"/>
        <w:spacing w:after="0"/>
        <w:tabs>
          <w:tab w:leader="none" w:pos="30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ACCOUNTING POLICIES</w:t>
      </w:r>
    </w:p>
    <w:p>
      <w:pPr>
        <w:spacing w:after="0" w:line="178"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The accounting policies applied in the Interim Financial Information are the same as those applied in the Annual Financial Statements. The Group also discloses accounting policies described below related to updates applicable for the six months ended June 30, 2025, which did not exist during the periods covered by the Annual Financial Statements.</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Changes in accounting policies and newly adopted accounting policies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 has applied the following amendments to IFRSs issued by the IASB to this interim financial report for the current accounting period:</w:t>
      </w:r>
    </w:p>
    <w:p>
      <w:pPr>
        <w:spacing w:after="0" w:line="176" w:lineRule="exact"/>
        <w:rPr>
          <w:sz w:val="20"/>
          <w:szCs w:val="20"/>
          <w:color w:val="auto"/>
        </w:rPr>
      </w:pPr>
    </w:p>
    <w:p>
      <w:pPr>
        <w:ind w:left="580" w:hanging="286"/>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 to IAS 21, Lack of Exchangeability</w:t>
      </w:r>
    </w:p>
    <w:p>
      <w:pPr>
        <w:spacing w:after="0" w:line="176" w:lineRule="exact"/>
        <w:rPr>
          <w:sz w:val="20"/>
          <w:szCs w:val="20"/>
          <w:color w:val="auto"/>
        </w:rPr>
      </w:pPr>
    </w:p>
    <w:p>
      <w:pPr>
        <w:ind w:right="20" w:firstLine="288"/>
        <w:spacing w:after="0" w:line="259" w:lineRule="auto"/>
        <w:rPr>
          <w:sz w:val="20"/>
          <w:szCs w:val="20"/>
          <w:color w:val="auto"/>
        </w:rPr>
      </w:pPr>
      <w:r>
        <w:rPr>
          <w:rFonts w:ascii="Times New Roman" w:cs="Times New Roman" w:eastAsia="Times New Roman" w:hAnsi="Times New Roman"/>
          <w:sz w:val="16"/>
          <w:szCs w:val="16"/>
          <w:color w:val="auto"/>
        </w:rPr>
        <w:t>This amendment does not have a material effect on how the Group’s results and financial position for the current or prior periods have been prepared or presented in this interim financial report. The Group has not applied any new standard or interpretation that is not yet effective for the current accounting period.</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ind w:left="300" w:hanging="294"/>
        <w:spacing w:after="0"/>
        <w:tabs>
          <w:tab w:leader="none" w:pos="30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USE OF JUDGMENTS AND ESTIMATES</w:t>
      </w:r>
    </w:p>
    <w:p>
      <w:pPr>
        <w:spacing w:after="0" w:line="178"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In preparing the Interim Financial Information, management has made judgements and estimates that affect the application of accounting policies and the reported amounts of assets and liabilities, income and expenses. Estimates and judgments are continuously evaluated and are based on historical experience and other factors, including expectations of future events that are believed to be reasonable under the circumstances.</w:t>
      </w:r>
    </w:p>
    <w:p>
      <w:pPr>
        <w:spacing w:after="0" w:line="152"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The Group makes estimates and assumptions concerning the future. The resulting accounting estimates may not be equal to the related actual results. The significant judgement made by management in applying the Group’s accounting policies and key sources of estimation uncertainty were the same as those described in the Annual Financial Statements.</w:t>
      </w:r>
    </w:p>
    <w:p>
      <w:pPr>
        <w:spacing w:after="0" w:line="150" w:lineRule="exact"/>
        <w:rPr>
          <w:sz w:val="20"/>
          <w:szCs w:val="20"/>
          <w:color w:val="auto"/>
        </w:rPr>
      </w:pPr>
    </w:p>
    <w:p>
      <w:pPr>
        <w:ind w:left="300" w:hanging="294"/>
        <w:spacing w:after="0"/>
        <w:tabs>
          <w:tab w:leader="none" w:pos="30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RISK MANAGEMENT AND FAIR VALUES OF FINANCIAL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risk factors</w:t>
      </w:r>
    </w:p>
    <w:p>
      <w:pPr>
        <w:spacing w:after="0" w:line="180"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The Group is exposed to various market risks including cryptocurrency risk, interest rate risk, investment risk and foreign currency risk, as well as credit risk and liquidity risk associated with financial assets and liabilities. The Group has designed and implemented various risk management strategies, which are the same as those discussed in the Annual Financial Statements, to ensure the exposure to these risks is consistent with its risk tolerance and business objectives.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Liquidity risk</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is the maturity profile of the Group’s financial liabilities based on contractual undiscounted payments:</w:t>
      </w:r>
    </w:p>
    <w:p>
      <w:pPr>
        <w:spacing w:after="0" w:line="18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b w:val="1"/>
          <w:bCs w:val="1"/>
          <w:color w:val="auto"/>
        </w:rPr>
        <w:t>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6985</wp:posOffset>
            </wp:positionV>
            <wp:extent cx="469519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4695190" cy="15240"/>
                    </a:xfrm>
                    <a:prstGeom prst="rect">
                      <a:avLst/>
                    </a:prstGeom>
                    <a:noFill/>
                  </pic:spPr>
                </pic:pic>
              </a:graphicData>
            </a:graphic>
          </wp:anchor>
        </w:drawing>
      </w:r>
    </w:p>
    <w:p>
      <w:pPr>
        <w:sectPr>
          <w:pgSz w:w="11900" w:h="16840" w:orient="portrait"/>
          <w:cols w:equalWidth="0" w:num="1">
            <w:col w:w="10580"/>
          </w:cols>
          <w:pgMar w:left="660" w:top="1107" w:right="660" w:bottom="424"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7"/>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60"/>
              <w:spacing w:after="0" w:line="177"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1300" w:type="dxa"/>
            <w:vAlign w:val="bottom"/>
            <w:tcBorders>
              <w:top w:val="single" w:sz="8" w:color="auto"/>
            </w:tcBorders>
            <w:gridSpan w:val="2"/>
          </w:tcPr>
          <w:p>
            <w:pPr>
              <w:ind w:left="160"/>
              <w:spacing w:after="0" w:line="177"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10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Within</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1 year but</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2 years but</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Carrying</w:t>
            </w: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1 year or</w:t>
            </w:r>
          </w:p>
        </w:tc>
        <w:tc>
          <w:tcPr>
            <w:tcW w:w="12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less than</w:t>
            </w:r>
          </w:p>
        </w:tc>
        <w:tc>
          <w:tcPr>
            <w:tcW w:w="13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less than</w:t>
            </w:r>
          </w:p>
        </w:tc>
        <w:tc>
          <w:tcPr>
            <w:tcW w:w="1600" w:type="dxa"/>
            <w:vAlign w:val="bottom"/>
            <w:gridSpan w:val="3"/>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amount at</w:t>
            </w:r>
          </w:p>
        </w:tc>
      </w:tr>
      <w:tr>
        <w:trPr>
          <w:trHeight w:val="220"/>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on-demand</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2 years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June 30</w:t>
            </w:r>
          </w:p>
        </w:tc>
      </w:tr>
      <w:tr>
        <w:trPr>
          <w:trHeight w:val="180"/>
        </w:trPr>
        <w:tc>
          <w:tcPr>
            <w:tcW w:w="29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Trade payables</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76,248</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76,248</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76,248</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3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payables and accruals</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39,219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5"/>
                <w:szCs w:val="15"/>
                <w:color w:val="auto"/>
              </w:rPr>
            </w:pPr>
          </w:p>
        </w:tc>
        <w:tc>
          <w:tcPr>
            <w:tcW w:w="12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2,226</w:t>
            </w:r>
          </w:p>
        </w:tc>
        <w:tc>
          <w:tcPr>
            <w:tcW w:w="3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41,620</w:t>
            </w:r>
          </w:p>
        </w:tc>
        <w:tc>
          <w:tcPr>
            <w:tcW w:w="1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41,620</w:t>
            </w:r>
          </w:p>
        </w:tc>
        <w:tc>
          <w:tcPr>
            <w:tcW w:w="80" w:type="dxa"/>
            <w:vAlign w:val="bottom"/>
          </w:tcPr>
          <w:p>
            <w:pPr>
              <w:spacing w:after="0"/>
              <w:rPr>
                <w:sz w:val="15"/>
                <w:szCs w:val="15"/>
                <w:color w:val="auto"/>
              </w:rPr>
            </w:pPr>
          </w:p>
        </w:tc>
      </w:tr>
      <w:tr>
        <w:trPr>
          <w:trHeight w:val="180"/>
        </w:trPr>
        <w:tc>
          <w:tcPr>
            <w:tcW w:w="3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Amounts due to a related party</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11,337</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11,337</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11,337</w:t>
            </w:r>
          </w:p>
        </w:tc>
        <w:tc>
          <w:tcPr>
            <w:tcW w:w="80" w:type="dxa"/>
            <w:vAlign w:val="bottom"/>
            <w:shd w:val="clear" w:color="auto" w:fill="CCEEFF"/>
          </w:tcPr>
          <w:p>
            <w:pPr>
              <w:spacing w:after="0"/>
              <w:rPr>
                <w:sz w:val="15"/>
                <w:szCs w:val="15"/>
                <w:color w:val="auto"/>
              </w:rPr>
            </w:pPr>
          </w:p>
        </w:tc>
      </w:tr>
      <w:tr>
        <w:trPr>
          <w:trHeight w:val="180"/>
        </w:trPr>
        <w:tc>
          <w:tcPr>
            <w:tcW w:w="3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Borrowings and derivative liabilities</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32,012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407,747</w:t>
            </w:r>
          </w:p>
        </w:tc>
        <w:tc>
          <w:tcPr>
            <w:tcW w:w="12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375,399</w:t>
            </w:r>
          </w:p>
        </w:tc>
        <w:tc>
          <w:tcPr>
            <w:tcW w:w="340" w:type="dxa"/>
            <w:vAlign w:val="bottom"/>
          </w:tcPr>
          <w:p>
            <w:pPr>
              <w:spacing w:after="0"/>
              <w:rPr>
                <w:sz w:val="15"/>
                <w:szCs w:val="15"/>
                <w:color w:val="auto"/>
              </w:rPr>
            </w:pPr>
          </w:p>
        </w:tc>
        <w:tc>
          <w:tcPr>
            <w:tcW w:w="8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815,184</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798,112</w:t>
            </w:r>
          </w:p>
        </w:tc>
      </w:tr>
      <w:tr>
        <w:trPr>
          <w:trHeight w:val="180"/>
        </w:trPr>
        <w:tc>
          <w:tcPr>
            <w:tcW w:w="3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Borrowings from a related party</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90,000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82,917</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172,917</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172,917</w:t>
            </w:r>
          </w:p>
        </w:tc>
      </w:tr>
      <w:tr>
        <w:trPr>
          <w:trHeight w:val="196"/>
        </w:trPr>
        <w:tc>
          <w:tcPr>
            <w:tcW w:w="3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11,922</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11,931</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35,214</w:t>
            </w:r>
          </w:p>
        </w:tc>
        <w:tc>
          <w:tcPr>
            <w:tcW w:w="2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56,033</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115,100</w:t>
            </w:r>
          </w:p>
        </w:tc>
        <w:tc>
          <w:tcPr>
            <w:tcW w:w="1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92,642</w:t>
            </w:r>
          </w:p>
        </w:tc>
        <w:tc>
          <w:tcPr>
            <w:tcW w:w="80" w:type="dxa"/>
            <w:vAlign w:val="bottom"/>
            <w:tcBorders>
              <w:bottom w:val="single" w:sz="8" w:color="CCEEFF"/>
            </w:tcBorders>
          </w:tcPr>
          <w:p>
            <w:pPr>
              <w:spacing w:after="0"/>
              <w:rPr>
                <w:sz w:val="17"/>
                <w:szCs w:val="17"/>
                <w:color w:val="auto"/>
              </w:rPr>
            </w:pPr>
          </w:p>
        </w:tc>
      </w:tr>
      <w:tr>
        <w:trPr>
          <w:trHeight w:val="208"/>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260,738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94,993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443,017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433,658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1,232,406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1,192,876</w:t>
            </w:r>
          </w:p>
        </w:tc>
        <w:tc>
          <w:tcPr>
            <w:tcW w:w="80" w:type="dxa"/>
            <w:vAlign w:val="bottom"/>
            <w:shd w:val="clear" w:color="auto" w:fill="CCEEFF"/>
          </w:tcPr>
          <w:p>
            <w:pPr>
              <w:spacing w:after="0"/>
              <w:rPr>
                <w:sz w:val="18"/>
                <w:szCs w:val="18"/>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552"/>
        </w:trPr>
        <w:tc>
          <w:tcPr>
            <w:tcW w:w="2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89"/>
              </w:rPr>
              <w:t>F-8</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813"/>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60" w:type="dxa"/>
            <w:vAlign w:val="bottom"/>
            <w:gridSpan w:val="10"/>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w w:val="97"/>
              </w:rPr>
              <w:t>BITDEER TECHNOLOGIES GROUP AND SUBSIDIARIES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8540" w:type="dxa"/>
            <w:vAlign w:val="bottom"/>
            <w:gridSpan w:val="12"/>
          </w:tcPr>
          <w:p>
            <w:pPr>
              <w:jc w:val="center"/>
              <w:ind w:left="1962"/>
              <w:spacing w:after="0"/>
              <w:rPr>
                <w:sz w:val="20"/>
                <w:szCs w:val="20"/>
                <w:color w:val="auto"/>
              </w:rPr>
            </w:pPr>
            <w:r>
              <w:rPr>
                <w:rFonts w:ascii="Times New Roman" w:cs="Times New Roman" w:eastAsia="Times New Roman" w:hAnsi="Times New Roman"/>
                <w:sz w:val="16"/>
                <w:szCs w:val="16"/>
                <w:b w:val="1"/>
                <w:bCs w:val="1"/>
                <w:color w:val="auto"/>
                <w:w w:val="97"/>
              </w:rPr>
              <w:t>NOTES TO THE UNAUDITED CONDENSED CONSOLIDATED FINANCIAL STATEMENTS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6"/>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5"/>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60"/>
              <w:spacing w:after="0" w:line="165"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1300" w:type="dxa"/>
            <w:vAlign w:val="bottom"/>
            <w:gridSpan w:val="2"/>
          </w:tcPr>
          <w:p>
            <w:pPr>
              <w:ind w:left="160"/>
              <w:spacing w:after="0" w:line="165"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5"/>
              </w:rPr>
              <w:t>Within</w:t>
            </w:r>
          </w:p>
        </w:tc>
        <w:tc>
          <w:tcPr>
            <w:tcW w:w="128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1 year but</w:t>
            </w:r>
          </w:p>
        </w:tc>
        <w:tc>
          <w:tcPr>
            <w:tcW w:w="13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2 years but</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Carrying</w:t>
            </w: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1 year or</w:t>
            </w: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less than</w:t>
            </w:r>
          </w:p>
        </w:tc>
        <w:tc>
          <w:tcPr>
            <w:tcW w:w="13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less than</w:t>
            </w:r>
          </w:p>
        </w:tc>
        <w:tc>
          <w:tcPr>
            <w:tcW w:w="1600" w:type="dxa"/>
            <w:vAlign w:val="bottom"/>
            <w:gridSpan w:val="3"/>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amount at</w:t>
            </w:r>
          </w:p>
        </w:tc>
      </w:tr>
      <w:tr>
        <w:trPr>
          <w:trHeight w:val="199"/>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on-demand</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2 years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180"/>
        </w:trPr>
        <w:tc>
          <w:tcPr>
            <w:tcW w:w="29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Trade payables</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31,471</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31,471</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31,471</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3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payables and accruals</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40,617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2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220" w:type="dxa"/>
            <w:vAlign w:val="bottom"/>
          </w:tcPr>
          <w:p>
            <w:pPr>
              <w:spacing w:after="0"/>
              <w:rPr>
                <w:sz w:val="15"/>
                <w:szCs w:val="15"/>
                <w:color w:val="auto"/>
              </w:rPr>
            </w:pPr>
          </w:p>
        </w:tc>
        <w:tc>
          <w:tcPr>
            <w:tcW w:w="12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1,485</w:t>
            </w:r>
          </w:p>
        </w:tc>
        <w:tc>
          <w:tcPr>
            <w:tcW w:w="3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42,267</w:t>
            </w:r>
          </w:p>
        </w:tc>
        <w:tc>
          <w:tcPr>
            <w:tcW w:w="1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42,267</w:t>
            </w:r>
          </w:p>
        </w:tc>
        <w:tc>
          <w:tcPr>
            <w:tcW w:w="80" w:type="dxa"/>
            <w:vAlign w:val="bottom"/>
          </w:tcPr>
          <w:p>
            <w:pPr>
              <w:spacing w:after="0"/>
              <w:rPr>
                <w:sz w:val="15"/>
                <w:szCs w:val="15"/>
                <w:color w:val="auto"/>
              </w:rPr>
            </w:pPr>
          </w:p>
        </w:tc>
      </w:tr>
      <w:tr>
        <w:trPr>
          <w:trHeight w:val="180"/>
        </w:trPr>
        <w:tc>
          <w:tcPr>
            <w:tcW w:w="3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Amounts due to a related party</w:t>
            </w:r>
          </w:p>
        </w:tc>
        <w:tc>
          <w:tcPr>
            <w:tcW w:w="10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8,747</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8,747</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8,747</w:t>
            </w:r>
          </w:p>
        </w:tc>
      </w:tr>
      <w:tr>
        <w:trPr>
          <w:trHeight w:val="180"/>
        </w:trPr>
        <w:tc>
          <w:tcPr>
            <w:tcW w:w="3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Borrowings and derivative liabilities</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497,750</w:t>
            </w:r>
          </w:p>
        </w:tc>
        <w:tc>
          <w:tcPr>
            <w:tcW w:w="12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8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512,750</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905,262</w:t>
            </w:r>
          </w:p>
        </w:tc>
      </w:tr>
      <w:tr>
        <w:trPr>
          <w:trHeight w:val="196"/>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8,807</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27,105</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55,693</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100,260</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78,133</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8"/>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104,490</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8,919</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524,908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695,495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1,065,880</w:t>
            </w:r>
          </w:p>
        </w:tc>
        <w:tc>
          <w:tcPr>
            <w:tcW w:w="8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w:t>
      </w:r>
    </w:p>
    <w:p>
      <w:pPr>
        <w:spacing w:after="0" w:line="180" w:lineRule="exact"/>
        <w:rPr>
          <w:sz w:val="20"/>
          <w:szCs w:val="20"/>
          <w:color w:val="auto"/>
        </w:rPr>
      </w:pPr>
    </w:p>
    <w:p>
      <w:pPr>
        <w:jc w:val="both"/>
        <w:ind w:firstLine="288"/>
        <w:spacing w:after="0" w:line="243"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paid to transfer a liability in an orderly transaction between market participants at the measurement date. Fair values are estimated at a specific point in time, by discounting expected cash flows at rates for assets and liabilities of the same remaining maturities and conditions. These estimates are subjective in nature and involve uncertainties and significant judgment, and therefore, cannot be determined with precision. Changes in assumptions could significantly affect the estimates.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 uses the following hierarchy for determining and disclosing the fair value of financial instruments by valuation techniques:</w:t>
      </w:r>
    </w:p>
    <w:p>
      <w:pPr>
        <w:spacing w:after="0" w:line="176" w:lineRule="exact"/>
        <w:rPr>
          <w:sz w:val="20"/>
          <w:szCs w:val="20"/>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valuation: unadjusted quoted prices in active markets for identical assets or liabilities at the measurement date.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valuation: inputs, other than quoted prices included within Level 1, that are observable for the asset or liability, either directly or indirectly.</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valuation: fair value measured using significant unobservable inputs.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fair value hierarchy also requires an entity to maximize the use of observable inputs and minimize the use of unobservable inputs when measuring fair value.</w:t>
      </w:r>
    </w:p>
    <w:p>
      <w:pPr>
        <w:spacing w:after="0" w:line="199"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As of June 30, 2025 and December 31, 2024, except for the investments in financial assets at fair value through profit or loss, cryptocurrency-settled receivables and payables, USDC, and derivative liabilities, substantially all of the Group’s financial assets and financial liabilities are carried at amortized costs and the carrying amounts approximate their fair values.</w:t>
      </w:r>
    </w:p>
    <w:p>
      <w:pPr>
        <w:spacing w:after="0" w:line="152" w:lineRule="exact"/>
        <w:rPr>
          <w:sz w:val="20"/>
          <w:szCs w:val="20"/>
          <w:color w:val="auto"/>
        </w:rPr>
      </w:pPr>
    </w:p>
    <w:p>
      <w:pPr>
        <w:jc w:val="both"/>
        <w:ind w:right="40" w:firstLine="288"/>
        <w:spacing w:after="0" w:line="247" w:lineRule="auto"/>
        <w:rPr>
          <w:sz w:val="20"/>
          <w:szCs w:val="20"/>
          <w:color w:val="auto"/>
        </w:rPr>
      </w:pPr>
      <w:r>
        <w:rPr>
          <w:rFonts w:ascii="Times New Roman" w:cs="Times New Roman" w:eastAsia="Times New Roman" w:hAnsi="Times New Roman"/>
          <w:sz w:val="16"/>
          <w:szCs w:val="16"/>
          <w:color w:val="auto"/>
        </w:rPr>
        <w:t>The fair value of financial instruments traded in active markets is determined with reference to quoted market prices at the end of the reporting period. 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spacing w:after="0" w:line="152" w:lineRule="exact"/>
        <w:rPr>
          <w:sz w:val="20"/>
          <w:szCs w:val="20"/>
          <w:color w:val="auto"/>
        </w:rPr>
      </w:pPr>
    </w:p>
    <w:p>
      <w:pPr>
        <w:jc w:val="both"/>
        <w:ind w:right="20" w:firstLine="288"/>
        <w:spacing w:after="0" w:line="243" w:lineRule="auto"/>
        <w:rPr>
          <w:sz w:val="20"/>
          <w:szCs w:val="20"/>
          <w:color w:val="auto"/>
        </w:rPr>
      </w:pPr>
      <w:r>
        <w:rPr>
          <w:rFonts w:ascii="Times New Roman" w:cs="Times New Roman" w:eastAsia="Times New Roman" w:hAnsi="Times New Roman"/>
          <w:sz w:val="16"/>
          <w:szCs w:val="16"/>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for evaluating the fair value of a financial instrument are observable, the instrument is included in Level 2. If one or more of the significant inputs are not based on observable market data, the instrument is included in Level 3.</w:t>
      </w:r>
    </w:p>
    <w:p>
      <w:pPr>
        <w:spacing w:after="0" w:line="155"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The Group’s finance department performs valuations of financial instruments. The finance department reports directly to the chief financial officer and discusses valuation processes and results with the chief financial officer in order to comply with the Group’s accounting and reporting requirements.</w:t>
      </w:r>
    </w:p>
    <w:p>
      <w:pPr>
        <w:spacing w:after="0" w:line="143" w:lineRule="exact"/>
        <w:rPr>
          <w:sz w:val="20"/>
          <w:szCs w:val="20"/>
          <w:color w:val="auto"/>
        </w:rPr>
      </w:pPr>
    </w:p>
    <w:p>
      <w:pPr>
        <w:jc w:val="both"/>
        <w:ind w:right="20" w:firstLine="288"/>
        <w:spacing w:after="0" w:line="243" w:lineRule="auto"/>
        <w:rPr>
          <w:sz w:val="20"/>
          <w:szCs w:val="20"/>
          <w:color w:val="auto"/>
        </w:rPr>
      </w:pPr>
      <w:r>
        <w:rPr>
          <w:rFonts w:ascii="Times New Roman" w:cs="Times New Roman" w:eastAsia="Times New Roman" w:hAnsi="Times New Roman"/>
          <w:sz w:val="16"/>
          <w:szCs w:val="16"/>
          <w:color w:val="auto"/>
        </w:rPr>
        <w:t>The valuation procedures applied include consideration of recent transactions in the same security or financial instrument, recent financing of the investee companies, economic and market conditions, current and projected financial performance of the investee companies, and the investee companies’ management team as well as potential future strategies to realize the investments. Certain information used in the valuation procedures is obtained through the assistance of independent third-party valuation firm.</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gridSpan w:val="7"/>
          </w:tcPr>
          <w:p>
            <w:pPr>
              <w:ind w:left="300"/>
              <w:spacing w:after="0"/>
              <w:rPr>
                <w:sz w:val="20"/>
                <w:szCs w:val="20"/>
                <w:color w:val="auto"/>
              </w:rPr>
            </w:pPr>
            <w:r>
              <w:rPr>
                <w:rFonts w:ascii="Times New Roman" w:cs="Times New Roman" w:eastAsia="Times New Roman" w:hAnsi="Times New Roman"/>
                <w:sz w:val="16"/>
                <w:szCs w:val="16"/>
                <w:color w:val="auto"/>
              </w:rPr>
              <w:t>The fair value measurement hierarchy for the Group’s financial instruments measured at fair value is as follows: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Valuation technique(s) and key</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97"/>
        </w:trPr>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20" w:type="dxa"/>
            <w:vAlign w:val="bottom"/>
          </w:tcPr>
          <w:p>
            <w:pPr>
              <w:spacing w:after="0"/>
              <w:rPr>
                <w:sz w:val="8"/>
                <w:szCs w:val="8"/>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w:t>
            </w:r>
          </w:p>
        </w:tc>
        <w:tc>
          <w:tcPr>
            <w:tcW w:w="118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8"/>
                <w:szCs w:val="8"/>
                <w:color w:val="auto"/>
              </w:rPr>
            </w:pPr>
          </w:p>
        </w:tc>
        <w:tc>
          <w:tcPr>
            <w:tcW w:w="106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8"/>
                <w:szCs w:val="8"/>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1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USDC</w:t>
            </w:r>
          </w:p>
        </w:tc>
        <w:tc>
          <w:tcPr>
            <w:tcW w:w="12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Quoted price</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840" w:orient="portrait"/>
          <w:cols w:equalWidth="0" w:num="1">
            <w:col w:w="10580"/>
          </w:cols>
          <w:pgMar w:left="660" w:top="550" w:right="660" w:bottom="89"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Cryptocurrency-settled receivables</w:t>
            </w:r>
          </w:p>
        </w:tc>
        <w:tc>
          <w:tcPr>
            <w:tcW w:w="1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Quoted price</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1,491</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1,491</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67"/>
        </w:trPr>
        <w:tc>
          <w:tcPr>
            <w:tcW w:w="31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Investment A, B, D and E in unlisted equity</w:t>
            </w:r>
          </w:p>
        </w:tc>
        <w:tc>
          <w:tcPr>
            <w:tcW w:w="120" w:type="dxa"/>
            <w:vAlign w:val="bottom"/>
            <w:shd w:val="clear" w:color="auto" w:fill="CCEEFF"/>
          </w:tcPr>
          <w:p>
            <w:pPr>
              <w:spacing w:after="0"/>
              <w:rPr>
                <w:sz w:val="14"/>
                <w:szCs w:val="14"/>
                <w:color w:val="auto"/>
              </w:rPr>
            </w:pPr>
          </w:p>
        </w:tc>
        <w:tc>
          <w:tcPr>
            <w:tcW w:w="222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w w:val="96"/>
              </w:rPr>
              <w:t>Net asset value</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3"/>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instruments</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22,092</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22,092</w:t>
            </w:r>
          </w:p>
        </w:tc>
        <w:tc>
          <w:tcPr>
            <w:tcW w:w="80" w:type="dxa"/>
            <w:vAlign w:val="bottom"/>
            <w:shd w:val="clear" w:color="auto" w:fill="CCEEFF"/>
          </w:tcPr>
          <w:p>
            <w:pPr>
              <w:spacing w:after="0"/>
              <w:rPr>
                <w:sz w:val="16"/>
                <w:szCs w:val="16"/>
                <w:color w:val="auto"/>
              </w:rPr>
            </w:pPr>
          </w:p>
        </w:tc>
      </w:tr>
      <w:tr>
        <w:trPr>
          <w:trHeight w:val="167"/>
        </w:trPr>
        <w:tc>
          <w:tcPr>
            <w:tcW w:w="31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Investment F, I and J in unlisted equity</w:t>
            </w:r>
          </w:p>
        </w:tc>
        <w:tc>
          <w:tcPr>
            <w:tcW w:w="120" w:type="dxa"/>
            <w:vAlign w:val="bottom"/>
          </w:tcPr>
          <w:p>
            <w:pPr>
              <w:spacing w:after="0"/>
              <w:rPr>
                <w:sz w:val="14"/>
                <w:szCs w:val="14"/>
                <w:color w:val="auto"/>
              </w:rPr>
            </w:pPr>
          </w:p>
        </w:tc>
        <w:tc>
          <w:tcPr>
            <w:tcW w:w="22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6"/>
              </w:rPr>
              <w:t>Recent transaction price</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3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instruments</w:t>
            </w: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3,434</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3,434</w:t>
            </w:r>
          </w:p>
        </w:tc>
      </w:tr>
      <w:tr>
        <w:trPr>
          <w:trHeight w:val="180"/>
        </w:trPr>
        <w:tc>
          <w:tcPr>
            <w:tcW w:w="3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 C in unlisted equity instrument</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Market calibration method</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9,557</w:t>
            </w:r>
          </w:p>
        </w:tc>
        <w:tc>
          <w:tcPr>
            <w:tcW w:w="12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9,557</w:t>
            </w:r>
          </w:p>
        </w:tc>
      </w:tr>
      <w:tr>
        <w:trPr>
          <w:trHeight w:val="180"/>
        </w:trPr>
        <w:tc>
          <w:tcPr>
            <w:tcW w:w="3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G in unlisted debt instrument</w:t>
            </w:r>
          </w:p>
        </w:tc>
        <w:tc>
          <w:tcPr>
            <w:tcW w:w="120" w:type="dxa"/>
            <w:vAlign w:val="bottom"/>
          </w:tcPr>
          <w:p>
            <w:pPr>
              <w:spacing w:after="0"/>
              <w:rPr>
                <w:sz w:val="15"/>
                <w:szCs w:val="15"/>
                <w:color w:val="auto"/>
              </w:rPr>
            </w:pPr>
          </w:p>
        </w:tc>
        <w:tc>
          <w:tcPr>
            <w:tcW w:w="2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Net asset value</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2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180"/>
        </w:trPr>
        <w:tc>
          <w:tcPr>
            <w:tcW w:w="3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 H in unlisted debt instrument</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Recent transaction price</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3,540</w:t>
            </w:r>
          </w:p>
        </w:tc>
        <w:tc>
          <w:tcPr>
            <w:tcW w:w="12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3,540</w:t>
            </w:r>
          </w:p>
        </w:tc>
      </w:tr>
      <w:tr>
        <w:trPr>
          <w:trHeight w:val="180"/>
        </w:trPr>
        <w:tc>
          <w:tcPr>
            <w:tcW w:w="3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Cryptocurrency-settled payables</w:t>
            </w:r>
          </w:p>
        </w:tc>
        <w:tc>
          <w:tcPr>
            <w:tcW w:w="120" w:type="dxa"/>
            <w:vAlign w:val="bottom"/>
          </w:tcPr>
          <w:p>
            <w:pPr>
              <w:spacing w:after="0"/>
              <w:rPr>
                <w:sz w:val="15"/>
                <w:szCs w:val="15"/>
                <w:color w:val="auto"/>
              </w:rPr>
            </w:pPr>
          </w:p>
        </w:tc>
        <w:tc>
          <w:tcPr>
            <w:tcW w:w="2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Quoted price</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24,677</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24,677</w:t>
            </w:r>
          </w:p>
        </w:tc>
        <w:tc>
          <w:tcPr>
            <w:tcW w:w="180" w:type="dxa"/>
            <w:vAlign w:val="bottom"/>
          </w:tcPr>
          <w:p>
            <w:pPr>
              <w:spacing w:after="0"/>
              <w:rPr>
                <w:sz w:val="15"/>
                <w:szCs w:val="15"/>
                <w:color w:val="auto"/>
              </w:rPr>
            </w:pP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Derivative liabilities</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Binomial model</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437,953</w:t>
            </w:r>
          </w:p>
        </w:tc>
        <w:tc>
          <w:tcPr>
            <w:tcW w:w="12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437,953</w:t>
            </w:r>
          </w:p>
        </w:tc>
      </w:tr>
      <w:tr>
        <w:trPr>
          <w:trHeight w:val="345"/>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Valuation technique(s) and key</w:t>
            </w:r>
          </w:p>
        </w:tc>
        <w:tc>
          <w:tcPr>
            <w:tcW w:w="1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9"/>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w:t>
            </w:r>
          </w:p>
        </w:tc>
        <w:tc>
          <w:tcPr>
            <w:tcW w:w="118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80"/>
        </w:trPr>
        <w:tc>
          <w:tcPr>
            <w:tcW w:w="31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USDC</w:t>
            </w:r>
          </w:p>
        </w:tc>
        <w:tc>
          <w:tcPr>
            <w:tcW w:w="12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Quoted price</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3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Cryptocurrency-settled receivables</w:t>
            </w:r>
          </w:p>
        </w:tc>
        <w:tc>
          <w:tcPr>
            <w:tcW w:w="120" w:type="dxa"/>
            <w:vAlign w:val="bottom"/>
          </w:tcPr>
          <w:p>
            <w:pPr>
              <w:spacing w:after="0"/>
              <w:rPr>
                <w:sz w:val="15"/>
                <w:szCs w:val="15"/>
                <w:color w:val="auto"/>
              </w:rPr>
            </w:pPr>
          </w:p>
        </w:tc>
        <w:tc>
          <w:tcPr>
            <w:tcW w:w="2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Quoted price</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974</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974</w:t>
            </w:r>
          </w:p>
        </w:tc>
        <w:tc>
          <w:tcPr>
            <w:tcW w:w="180" w:type="dxa"/>
            <w:vAlign w:val="bottom"/>
          </w:tcPr>
          <w:p>
            <w:pPr>
              <w:spacing w:after="0"/>
              <w:rPr>
                <w:sz w:val="15"/>
                <w:szCs w:val="15"/>
                <w:color w:val="auto"/>
              </w:rPr>
            </w:pP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67"/>
        </w:trPr>
        <w:tc>
          <w:tcPr>
            <w:tcW w:w="31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Investment A, B, D and E in unlisted equity</w:t>
            </w:r>
          </w:p>
        </w:tc>
        <w:tc>
          <w:tcPr>
            <w:tcW w:w="120" w:type="dxa"/>
            <w:vAlign w:val="bottom"/>
            <w:shd w:val="clear" w:color="auto" w:fill="CCEEFF"/>
          </w:tcPr>
          <w:p>
            <w:pPr>
              <w:spacing w:after="0"/>
              <w:rPr>
                <w:sz w:val="14"/>
                <w:szCs w:val="14"/>
                <w:color w:val="auto"/>
              </w:rPr>
            </w:pPr>
          </w:p>
        </w:tc>
        <w:tc>
          <w:tcPr>
            <w:tcW w:w="222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w w:val="96"/>
              </w:rPr>
              <w:t>Net asset value</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3"/>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instruments</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24,595</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24,595</w:t>
            </w:r>
          </w:p>
        </w:tc>
        <w:tc>
          <w:tcPr>
            <w:tcW w:w="80" w:type="dxa"/>
            <w:vAlign w:val="bottom"/>
            <w:shd w:val="clear" w:color="auto" w:fill="CCEEFF"/>
          </w:tcPr>
          <w:p>
            <w:pPr>
              <w:spacing w:after="0"/>
              <w:rPr>
                <w:sz w:val="16"/>
                <w:szCs w:val="16"/>
                <w:color w:val="auto"/>
              </w:rPr>
            </w:pPr>
          </w:p>
        </w:tc>
      </w:tr>
      <w:tr>
        <w:trPr>
          <w:trHeight w:val="167"/>
        </w:trPr>
        <w:tc>
          <w:tcPr>
            <w:tcW w:w="31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Investment F, I and J in unlisted equity</w:t>
            </w:r>
          </w:p>
        </w:tc>
        <w:tc>
          <w:tcPr>
            <w:tcW w:w="120" w:type="dxa"/>
            <w:vAlign w:val="bottom"/>
          </w:tcPr>
          <w:p>
            <w:pPr>
              <w:spacing w:after="0"/>
              <w:rPr>
                <w:sz w:val="14"/>
                <w:szCs w:val="14"/>
                <w:color w:val="auto"/>
              </w:rPr>
            </w:pPr>
          </w:p>
        </w:tc>
        <w:tc>
          <w:tcPr>
            <w:tcW w:w="22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6"/>
              </w:rPr>
              <w:t>Recent transaction price</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3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instruments</w:t>
            </w: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3,102</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3,102</w:t>
            </w:r>
          </w:p>
        </w:tc>
      </w:tr>
      <w:tr>
        <w:trPr>
          <w:trHeight w:val="180"/>
        </w:trPr>
        <w:tc>
          <w:tcPr>
            <w:tcW w:w="3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 C in unlisted equity instrument</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Market calibration method</w:t>
            </w:r>
          </w:p>
        </w:tc>
        <w:tc>
          <w:tcPr>
            <w:tcW w:w="1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10,284</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10,284</w:t>
            </w:r>
          </w:p>
        </w:tc>
        <w:tc>
          <w:tcPr>
            <w:tcW w:w="80" w:type="dxa"/>
            <w:vAlign w:val="bottom"/>
            <w:shd w:val="clear" w:color="auto" w:fill="CCEEFF"/>
          </w:tcPr>
          <w:p>
            <w:pPr>
              <w:spacing w:after="0"/>
              <w:rPr>
                <w:sz w:val="15"/>
                <w:szCs w:val="15"/>
                <w:color w:val="auto"/>
              </w:rPr>
            </w:pPr>
          </w:p>
        </w:tc>
      </w:tr>
      <w:tr>
        <w:trPr>
          <w:trHeight w:val="180"/>
        </w:trPr>
        <w:tc>
          <w:tcPr>
            <w:tcW w:w="3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G in unlisted debt instrument</w:t>
            </w:r>
          </w:p>
        </w:tc>
        <w:tc>
          <w:tcPr>
            <w:tcW w:w="120" w:type="dxa"/>
            <w:vAlign w:val="bottom"/>
          </w:tcPr>
          <w:p>
            <w:pPr>
              <w:spacing w:after="0"/>
              <w:rPr>
                <w:sz w:val="15"/>
                <w:szCs w:val="15"/>
                <w:color w:val="auto"/>
              </w:rPr>
            </w:pPr>
          </w:p>
        </w:tc>
        <w:tc>
          <w:tcPr>
            <w:tcW w:w="2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Net asset value</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2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180"/>
        </w:trPr>
        <w:tc>
          <w:tcPr>
            <w:tcW w:w="3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 H in unlisted debt instrument</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Binomial model</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3,540</w:t>
            </w:r>
          </w:p>
        </w:tc>
        <w:tc>
          <w:tcPr>
            <w:tcW w:w="12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3,540</w:t>
            </w:r>
          </w:p>
        </w:tc>
      </w:tr>
      <w:tr>
        <w:trPr>
          <w:trHeight w:val="180"/>
        </w:trPr>
        <w:tc>
          <w:tcPr>
            <w:tcW w:w="3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Cryptocurrency-settled payables</w:t>
            </w:r>
          </w:p>
        </w:tc>
        <w:tc>
          <w:tcPr>
            <w:tcW w:w="120" w:type="dxa"/>
            <w:vAlign w:val="bottom"/>
          </w:tcPr>
          <w:p>
            <w:pPr>
              <w:spacing w:after="0"/>
              <w:rPr>
                <w:sz w:val="15"/>
                <w:szCs w:val="15"/>
                <w:color w:val="auto"/>
              </w:rPr>
            </w:pPr>
          </w:p>
        </w:tc>
        <w:tc>
          <w:tcPr>
            <w:tcW w:w="2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Quoted price</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21,372</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21,372</w:t>
            </w:r>
          </w:p>
        </w:tc>
        <w:tc>
          <w:tcPr>
            <w:tcW w:w="180" w:type="dxa"/>
            <w:vAlign w:val="bottom"/>
          </w:tcPr>
          <w:p>
            <w:pPr>
              <w:spacing w:after="0"/>
              <w:rPr>
                <w:sz w:val="15"/>
                <w:szCs w:val="15"/>
                <w:color w:val="auto"/>
              </w:rPr>
            </w:pP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Derivative liabilities</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Binomial model</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763,939</w:t>
            </w:r>
          </w:p>
        </w:tc>
        <w:tc>
          <w:tcPr>
            <w:tcW w:w="12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763,939</w:t>
            </w:r>
          </w:p>
        </w:tc>
      </w:tr>
    </w:tbl>
    <w:p>
      <w:pPr>
        <w:spacing w:after="0" w:line="167"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During the periods ended June 30, 2025 and 2024, there was no transfer between levels. Transfer between levels of the fair value hierarchy, if any, are deemed to occur at the end of each reporting period.</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presents the changes in Level 3 financial instruments for the periods ended June 30, 2025 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Unlisted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equity</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instruments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and debt</w:t>
            </w:r>
          </w:p>
        </w:tc>
        <w:tc>
          <w:tcPr>
            <w:tcW w:w="11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199"/>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At January 1, 2025</w:t>
            </w:r>
          </w:p>
        </w:tc>
        <w:tc>
          <w:tcPr>
            <w:tcW w:w="3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42,521</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763,939</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502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332</w:t>
            </w:r>
          </w:p>
        </w:tc>
        <w:tc>
          <w:tcPr>
            <w:tcW w:w="20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212,026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Derecognition of derivative liabilities on conversion</w:t>
            </w:r>
          </w:p>
        </w:tc>
        <w:tc>
          <w:tcPr>
            <w:tcW w:w="5220" w:type="dxa"/>
            <w:vAlign w:val="bottom"/>
            <w:gridSpan w:val="4"/>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(122,091)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fair value changes recognized in profit or loss</w:t>
            </w:r>
          </w:p>
        </w:tc>
        <w:tc>
          <w:tcPr>
            <w:tcW w:w="5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(3,230)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(415,921)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At June 30, 2025</w:t>
            </w:r>
          </w:p>
        </w:tc>
        <w:tc>
          <w:tcPr>
            <w:tcW w:w="39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39,623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437,953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1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At January 1, 2024</w:t>
            </w:r>
          </w:p>
        </w:tc>
        <w:tc>
          <w:tcPr>
            <w:tcW w:w="50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37,775</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5220" w:type="dxa"/>
            <w:vAlign w:val="bottom"/>
            <w:gridSpan w:val="4"/>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2,524</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fair value changes recognized in profit or loss</w:t>
            </w:r>
          </w:p>
        </w:tc>
        <w:tc>
          <w:tcPr>
            <w:tcW w:w="5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1,440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At June 30, 2024</w:t>
            </w:r>
          </w:p>
        </w:tc>
        <w:tc>
          <w:tcPr>
            <w:tcW w:w="3940" w:type="dxa"/>
            <w:vAlign w:val="bottom"/>
            <w:tcBorders>
              <w:top w:val="single" w:sz="8" w:color="CCEEFF"/>
            </w:tcBorders>
            <w:gridSpan w:val="2"/>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41,739</w:t>
            </w:r>
          </w:p>
        </w:tc>
        <w:tc>
          <w:tcPr>
            <w:tcW w:w="200" w:type="dxa"/>
            <w:vAlign w:val="bottom"/>
            <w:tcBorders>
              <w:top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25,336</w:t>
            </w: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556"/>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4"/>
          </w:tcPr>
          <w:p>
            <w:pPr>
              <w:jc w:val="right"/>
              <w:ind w:right="3980"/>
              <w:spacing w:after="0"/>
              <w:rPr>
                <w:sz w:val="20"/>
                <w:szCs w:val="20"/>
                <w:color w:val="auto"/>
              </w:rPr>
            </w:pPr>
            <w:r>
              <w:rPr>
                <w:rFonts w:ascii="Times New Roman" w:cs="Times New Roman" w:eastAsia="Times New Roman" w:hAnsi="Times New Roman"/>
                <w:sz w:val="16"/>
                <w:szCs w:val="16"/>
                <w:color w:val="auto"/>
              </w:rPr>
              <w:t>F-10</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ind w:left="300" w:hanging="294"/>
        <w:spacing w:after="0"/>
        <w:tabs>
          <w:tab w:leader="none" w:pos="30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w:t>
      </w:r>
    </w:p>
    <w:p>
      <w:pPr>
        <w:spacing w:after="0" w:line="178"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Acquisition of Troll Housing AS and Tydal Data Center AS (the “Norway Acquisition”)</w:t>
      </w:r>
    </w:p>
    <w:p>
      <w:pPr>
        <w:spacing w:after="0" w:line="176" w:lineRule="exact"/>
        <w:rPr>
          <w:sz w:val="20"/>
          <w:szCs w:val="20"/>
          <w:color w:val="auto"/>
        </w:rPr>
      </w:pPr>
    </w:p>
    <w:p>
      <w:pPr>
        <w:jc w:val="both"/>
        <w:ind w:right="20" w:firstLine="288"/>
        <w:spacing w:after="0" w:line="243" w:lineRule="auto"/>
        <w:rPr>
          <w:sz w:val="20"/>
          <w:szCs w:val="20"/>
          <w:color w:val="auto"/>
        </w:rPr>
      </w:pPr>
      <w:r>
        <w:rPr>
          <w:rFonts w:ascii="Times New Roman" w:cs="Times New Roman" w:eastAsia="Times New Roman" w:hAnsi="Times New Roman"/>
          <w:sz w:val="16"/>
          <w:szCs w:val="16"/>
          <w:color w:val="auto"/>
        </w:rPr>
        <w:t>In April 2024, the Group entered into a share purchase agreement with Renol Invest AS and Bryhni.com AS, the owners of both Troll Housing AS and Tydal Data Center AS (collectively, the “Target Companies” or “Troll and Tydal”), to purchase 100% of the equity interest, thereby obtaining control of the Target Companies. Troll and Tydal are private limited liability companies incorporated in Norway, and conduct business for the management and operation of datacenter. The acquisition was closed on April 15,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Group accounted for the acquisition as a business combination under IFRS 3, using the acquisition method.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0"/>
        </w:trPr>
        <w:tc>
          <w:tcPr>
            <w:tcW w:w="9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details of the purchase consideration, the net assets acquired, and goodwill are as follows: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5"/>
        </w:trPr>
        <w:tc>
          <w:tcPr>
            <w:tcW w:w="9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180"/>
        </w:trPr>
        <w:tc>
          <w:tcPr>
            <w:tcW w:w="9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b w:val="1"/>
                <w:bCs w:val="1"/>
                <w:color w:val="auto"/>
              </w:rPr>
              <w:t>April 15,</w:t>
            </w:r>
          </w:p>
        </w:tc>
      </w:tr>
      <w:tr>
        <w:trPr>
          <w:trHeight w:val="199"/>
        </w:trPr>
        <w:tc>
          <w:tcPr>
            <w:tcW w:w="9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80"/>
        </w:trPr>
        <w:tc>
          <w:tcPr>
            <w:tcW w:w="930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Purchase consideration</w:t>
            </w:r>
          </w:p>
        </w:tc>
        <w:tc>
          <w:tcPr>
            <w:tcW w:w="1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9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consideration paid</w:t>
            </w:r>
          </w:p>
        </w:tc>
        <w:tc>
          <w:tcPr>
            <w:tcW w:w="1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w:t>
            </w:r>
          </w:p>
        </w:tc>
        <w:tc>
          <w:tcPr>
            <w:tcW w:w="80" w:type="dxa"/>
            <w:vAlign w:val="bottom"/>
            <w:shd w:val="clear" w:color="auto" w:fill="CCEEFF"/>
          </w:tcPr>
          <w:p>
            <w:pPr>
              <w:spacing w:after="0"/>
              <w:rPr>
                <w:sz w:val="15"/>
                <w:szCs w:val="15"/>
                <w:color w:val="auto"/>
              </w:rPr>
            </w:pPr>
          </w:p>
        </w:tc>
      </w:tr>
      <w:tr>
        <w:trPr>
          <w:trHeight w:val="216"/>
        </w:trPr>
        <w:tc>
          <w:tcPr>
            <w:tcW w:w="930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Senior secured notes </w:t>
            </w:r>
            <w:r>
              <w:rPr>
                <w:rFonts w:ascii="Times New Roman" w:cs="Times New Roman" w:eastAsia="Times New Roman" w:hAnsi="Times New Roman"/>
                <w:sz w:val="25"/>
                <w:szCs w:val="25"/>
                <w:color w:val="auto"/>
                <w:vertAlign w:val="superscript"/>
              </w:rPr>
              <w:t>(1)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15,091</w:t>
            </w:r>
          </w:p>
        </w:tc>
        <w:tc>
          <w:tcPr>
            <w:tcW w:w="8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417,130 Class A ordinary shares </w:t>
            </w:r>
            <w:r>
              <w:rPr>
                <w:rFonts w:ascii="Times New Roman" w:cs="Times New Roman" w:eastAsia="Times New Roman" w:hAnsi="Times New Roman"/>
                <w:sz w:val="25"/>
                <w:szCs w:val="25"/>
                <w:color w:val="auto"/>
                <w:vertAlign w:val="superscript"/>
              </w:rPr>
              <w:t>(2)</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2,357</w:t>
            </w:r>
          </w:p>
        </w:tc>
      </w:tr>
      <w:tr>
        <w:trPr>
          <w:trHeight w:val="232"/>
        </w:trPr>
        <w:tc>
          <w:tcPr>
            <w:tcW w:w="930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 xml:space="preserve">Class A ordinary share call options </w:t>
            </w:r>
            <w:r>
              <w:rPr>
                <w:rFonts w:ascii="Times New Roman" w:cs="Times New Roman" w:eastAsia="Times New Roman" w:hAnsi="Times New Roman"/>
                <w:sz w:val="26"/>
                <w:szCs w:val="26"/>
                <w:color w:val="auto"/>
                <w:vertAlign w:val="superscript"/>
              </w:rPr>
              <w:t>(3)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tcPr>
          <w:p>
            <w:pPr>
              <w:spacing w:after="0"/>
              <w:rPr>
                <w:sz w:val="20"/>
                <w:szCs w:val="20"/>
                <w:color w:val="auto"/>
              </w:rPr>
            </w:pPr>
          </w:p>
        </w:tc>
      </w:tr>
      <w:tr>
        <w:trPr>
          <w:trHeight w:val="180"/>
        </w:trPr>
        <w:tc>
          <w:tcPr>
            <w:tcW w:w="93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purchase consideration</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32,952</w:t>
            </w:r>
          </w:p>
        </w:tc>
        <w:tc>
          <w:tcPr>
            <w:tcW w:w="80" w:type="dxa"/>
            <w:vAlign w:val="bottom"/>
            <w:tcBorders>
              <w:top w:val="single" w:sz="8" w:color="CCEEFF"/>
            </w:tcBorders>
            <w:shd w:val="clear" w:color="auto" w:fill="CCEEFF"/>
          </w:tcPr>
          <w:p>
            <w:pPr>
              <w:spacing w:after="0"/>
              <w:rPr>
                <w:sz w:val="15"/>
                <w:szCs w:val="15"/>
                <w:color w:val="auto"/>
              </w:rPr>
            </w:pPr>
          </w:p>
        </w:tc>
      </w:tr>
      <w:tr>
        <w:trPr>
          <w:trHeight w:val="232"/>
        </w:trPr>
        <w:tc>
          <w:tcPr>
            <w:tcW w:w="930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 xml:space="preserve">Settlement of pre-existing debtor relationship with the Target Companies </w:t>
            </w:r>
            <w:r>
              <w:rPr>
                <w:rFonts w:ascii="Times New Roman" w:cs="Times New Roman" w:eastAsia="Times New Roman" w:hAnsi="Times New Roman"/>
                <w:sz w:val="26"/>
                <w:szCs w:val="26"/>
                <w:color w:val="auto"/>
                <w:vertAlign w:val="superscript"/>
              </w:rPr>
              <w:t>(4)</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(10,061)</w:t>
            </w:r>
          </w:p>
        </w:tc>
      </w:tr>
      <w:tr>
        <w:trPr>
          <w:trHeight w:val="184"/>
        </w:trPr>
        <w:tc>
          <w:tcPr>
            <w:tcW w:w="930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Fair value of consideration transferred</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22,891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67" w:lineRule="exact"/>
        <w:rPr>
          <w:sz w:val="20"/>
          <w:szCs w:val="20"/>
          <w:color w:val="auto"/>
        </w:rPr>
      </w:pPr>
    </w:p>
    <w:p>
      <w:pPr>
        <w:jc w:val="both"/>
        <w:ind w:left="300" w:hanging="294"/>
        <w:spacing w:after="0" w:line="243" w:lineRule="auto"/>
        <w:tabs>
          <w:tab w:leader="none" w:pos="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issued US$15.0 million in aggregate principal amount of senior secured notes on April 15, 2024, in relation to the business combination. The senior secured notes bear an annual interest of 6.0%, mature five years after April 15, 2024, and are secured by 100% of the shares of the Target Companies. The fair value of the senior secured notes is measured by calculating the present value of the notes using the effective interest rate. In December 2024, the Group fully repaid the outstanding amount and the pledged shares were subsequently released following the settlement of the outstanding principal balance.</w:t>
      </w:r>
    </w:p>
    <w:p>
      <w:pPr>
        <w:sectPr>
          <w:pgSz w:w="11900" w:h="16840" w:orient="portrait"/>
          <w:cols w:equalWidth="0" w:num="1">
            <w:col w:w="10560"/>
          </w:cols>
          <w:pgMar w:left="660" w:top="557" w:right="680" w:bottom="173" w:gutter="0" w:footer="0" w:header="0"/>
        </w:sectPr>
      </w:pPr>
    </w:p>
    <w:bookmarkStart w:id="8" w:name="page9"/>
    <w:bookmarkEnd w:id="8"/>
    <w:p>
      <w:pPr>
        <w:ind w:left="300" w:right="40" w:hanging="294"/>
        <w:spacing w:after="0" w:line="259" w:lineRule="auto"/>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Class A ordinary shares is determined based on the number of shares transferred and the closing price on April 15, 2024. The shares are transferred upon the completion of the acquisition.</w:t>
      </w:r>
    </w:p>
    <w:p>
      <w:pPr>
        <w:spacing w:after="0" w:line="143" w:lineRule="exact"/>
        <w:rPr>
          <w:rFonts w:ascii="Times New Roman" w:cs="Times New Roman" w:eastAsia="Times New Roman" w:hAnsi="Times New Roman"/>
          <w:sz w:val="16"/>
          <w:szCs w:val="16"/>
          <w:color w:val="auto"/>
        </w:rPr>
      </w:pPr>
    </w:p>
    <w:p>
      <w:pPr>
        <w:jc w:val="both"/>
        <w:ind w:left="300" w:hanging="294"/>
        <w:spacing w:after="0" w:line="243" w:lineRule="auto"/>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issued Class A ordinary share call options at a strike price of US$35.96 per share, with the expiry date set as the later of April 15, 2029, or six months after all principal and interest accrued under the senior secured notes have been repaid. The fair value was recognized on April 15, 2024 based on the binomial model with the assistance of an independent valuation specialist. The following table provides the key inputs used in the model for determining the value of the option: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0" w:type="dxa"/>
            <w:vAlign w:val="bottom"/>
          </w:tcPr>
          <w:p>
            <w:pPr>
              <w:spacing w:after="0"/>
              <w:rPr>
                <w:sz w:val="16"/>
                <w:szCs w:val="16"/>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180"/>
        </w:trPr>
        <w:tc>
          <w:tcPr>
            <w:tcW w:w="9400" w:type="dxa"/>
            <w:vAlign w:val="bottom"/>
          </w:tcPr>
          <w:p>
            <w:pPr>
              <w:spacing w:after="0"/>
              <w:rPr>
                <w:sz w:val="15"/>
                <w:szCs w:val="15"/>
                <w:color w:val="auto"/>
              </w:rPr>
            </w:pPr>
          </w:p>
        </w:tc>
        <w:tc>
          <w:tcPr>
            <w:tcW w:w="116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b w:val="1"/>
                <w:bCs w:val="1"/>
                <w:color w:val="auto"/>
              </w:rPr>
              <w:t>April 15,</w:t>
            </w:r>
          </w:p>
        </w:tc>
      </w:tr>
      <w:tr>
        <w:trPr>
          <w:trHeight w:val="199"/>
        </w:trPr>
        <w:tc>
          <w:tcPr>
            <w:tcW w:w="94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r>
      <w:tr>
        <w:trPr>
          <w:trHeight w:val="180"/>
        </w:trPr>
        <w:tc>
          <w:tcPr>
            <w:tcW w:w="9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Share price</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5.65</w:t>
            </w:r>
          </w:p>
        </w:tc>
        <w:tc>
          <w:tcPr>
            <w:tcW w:w="120" w:type="dxa"/>
            <w:vAlign w:val="bottom"/>
            <w:shd w:val="clear" w:color="auto" w:fill="CCEEFF"/>
          </w:tcPr>
          <w:p>
            <w:pPr>
              <w:spacing w:after="0"/>
              <w:rPr>
                <w:sz w:val="15"/>
                <w:szCs w:val="15"/>
                <w:color w:val="auto"/>
              </w:rPr>
            </w:pPr>
          </w:p>
        </w:tc>
      </w:tr>
      <w:tr>
        <w:trPr>
          <w:trHeight w:val="180"/>
        </w:trPr>
        <w:tc>
          <w:tcPr>
            <w:tcW w:w="9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Dividend yield (%)</w:t>
            </w:r>
          </w:p>
        </w:tc>
        <w:tc>
          <w:tcPr>
            <w:tcW w:w="11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9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Expected volatility (%)</w:t>
            </w:r>
          </w:p>
        </w:tc>
        <w:tc>
          <w:tcPr>
            <w:tcW w:w="1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126%</w:t>
            </w:r>
          </w:p>
        </w:tc>
      </w:tr>
      <w:tr>
        <w:trPr>
          <w:trHeight w:val="203"/>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w:t>
            </w:r>
          </w:p>
        </w:tc>
      </w:tr>
    </w:tbl>
    <w:p>
      <w:pPr>
        <w:spacing w:after="0" w:line="144" w:lineRule="exact"/>
        <w:rPr>
          <w:sz w:val="20"/>
          <w:szCs w:val="20"/>
          <w:color w:val="auto"/>
        </w:rPr>
      </w:pPr>
    </w:p>
    <w:p>
      <w:pPr>
        <w:jc w:val="both"/>
        <w:ind w:left="300" w:right="20" w:hanging="294"/>
        <w:spacing w:after="0" w:line="243" w:lineRule="auto"/>
        <w:tabs>
          <w:tab w:leader="none" w:pos="3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pre-existing debtor relationship with the Target Companies represents the payable amount of approximately US$16.4 million from the Group to the Target Companies in relation to the services provided and offset against a prepayment made by the Group to the Target Companies of approximately US$6.3 million. The services provided by the Target Companies, include electricity supply, construction services, and daily operational management for the mining datacenters prior to April 15, 2024.</w:t>
      </w:r>
    </w:p>
    <w:p>
      <w:pPr>
        <w:spacing w:after="0" w:line="155" w:lineRule="exact"/>
        <w:rPr>
          <w:rFonts w:ascii="Times New Roman" w:cs="Times New Roman" w:eastAsia="Times New Roman" w:hAnsi="Times New Roman"/>
          <w:sz w:val="16"/>
          <w:szCs w:val="16"/>
          <w:color w:val="auto"/>
        </w:rPr>
      </w:pPr>
    </w:p>
    <w:p>
      <w:pPr>
        <w:ind w:left="300" w:hanging="294"/>
        <w:spacing w:after="0"/>
        <w:tabs>
          <w:tab w:leader="none" w:pos="3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cost amount to approximately US$0.3 million are included in general and administrative expenses.</w:t>
      </w:r>
    </w:p>
    <w:p>
      <w:pPr>
        <w:spacing w:after="0" w:line="176"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For financial reporting purposes, the fair value of the net assets acquired from the Target Companies is based on their financial statements as of March 31, 2024, which is the most recent financial statement available at the time of the fair value assessment on April 15, 2024. There were no material transactions occurred between March 31, 2024 and April 15, 2024.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00" w:type="dxa"/>
            <w:vAlign w:val="bottom"/>
            <w:tcBorders>
              <w:bottom w:val="single" w:sz="8" w:color="auto"/>
            </w:tcBorders>
          </w:tcPr>
          <w:p>
            <w:pPr>
              <w:jc w:val="center"/>
              <w:ind w:left="1202"/>
              <w:spacing w:after="0"/>
              <w:rPr>
                <w:sz w:val="20"/>
                <w:szCs w:val="20"/>
                <w:color w:val="auto"/>
              </w:rPr>
            </w:pPr>
            <w:r>
              <w:rPr>
                <w:rFonts w:ascii="Times New Roman" w:cs="Times New Roman" w:eastAsia="Times New Roman" w:hAnsi="Times New Roman"/>
                <w:sz w:val="16"/>
                <w:szCs w:val="16"/>
                <w:color w:val="auto"/>
                <w:w w:val="99"/>
              </w:rPr>
              <w:t>F-11</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813"/>
        </w:trPr>
        <w:tc>
          <w:tcPr>
            <w:tcW w:w="9300" w:type="dxa"/>
            <w:vAlign w:val="bottom"/>
          </w:tcPr>
          <w:p>
            <w:pPr>
              <w:jc w:val="center"/>
              <w:ind w:left="1202"/>
              <w:spacing w:after="0"/>
              <w:rPr>
                <w:sz w:val="20"/>
                <w:szCs w:val="20"/>
                <w:color w:val="auto"/>
              </w:rPr>
            </w:pPr>
            <w:r>
              <w:rPr>
                <w:rFonts w:ascii="Times New Roman" w:cs="Times New Roman" w:eastAsia="Times New Roman" w:hAnsi="Times New Roman"/>
                <w:sz w:val="16"/>
                <w:szCs w:val="16"/>
                <w:b w:val="1"/>
                <w:bCs w:val="1"/>
                <w:color w:val="auto"/>
                <w:w w:val="97"/>
              </w:rPr>
              <w:t>BITDEER TECHNOLOGIES GROUP AND SUBSIDIARIES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9300" w:type="dxa"/>
            <w:vAlign w:val="bottom"/>
          </w:tcPr>
          <w:p>
            <w:pPr>
              <w:jc w:val="center"/>
              <w:ind w:left="1202"/>
              <w:spacing w:after="0"/>
              <w:rPr>
                <w:sz w:val="20"/>
                <w:szCs w:val="20"/>
                <w:color w:val="auto"/>
              </w:rPr>
            </w:pPr>
            <w:r>
              <w:rPr>
                <w:rFonts w:ascii="Times New Roman" w:cs="Times New Roman" w:eastAsia="Times New Roman" w:hAnsi="Times New Roman"/>
                <w:sz w:val="16"/>
                <w:szCs w:val="16"/>
                <w:b w:val="1"/>
                <w:bCs w:val="1"/>
                <w:color w:val="auto"/>
                <w:w w:val="97"/>
              </w:rPr>
              <w:t>NOTES TO THE UNAUDITED CONDENSED CONSOLIDATED FINANCIAL STATEMENTS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36"/>
        </w:trPr>
        <w:tc>
          <w:tcPr>
            <w:tcW w:w="9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assets and liabilities recognized as a result of the acquisition are as follows: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1"/>
        </w:trPr>
        <w:tc>
          <w:tcPr>
            <w:tcW w:w="9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180"/>
        </w:trPr>
        <w:tc>
          <w:tcPr>
            <w:tcW w:w="9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April 15,</w:t>
            </w:r>
          </w:p>
        </w:tc>
      </w:tr>
      <w:tr>
        <w:trPr>
          <w:trHeight w:val="199"/>
        </w:trPr>
        <w:tc>
          <w:tcPr>
            <w:tcW w:w="9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7"/>
                <w:szCs w:val="17"/>
                <w:color w:val="auto"/>
              </w:rPr>
            </w:pPr>
          </w:p>
        </w:tc>
      </w:tr>
      <w:tr>
        <w:trPr>
          <w:trHeight w:val="180"/>
        </w:trPr>
        <w:tc>
          <w:tcPr>
            <w:tcW w:w="930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Fair value of assets acquired and liabilities assumed</w:t>
            </w:r>
          </w:p>
        </w:tc>
        <w:tc>
          <w:tcPr>
            <w:tcW w:w="1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9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26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8,723</w:t>
            </w:r>
          </w:p>
        </w:tc>
      </w:tr>
      <w:tr>
        <w:trPr>
          <w:trHeight w:val="180"/>
        </w:trPr>
        <w:tc>
          <w:tcPr>
            <w:tcW w:w="9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Trade receivables</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5"/>
                <w:szCs w:val="15"/>
                <w:color w:val="auto"/>
              </w:rPr>
            </w:pPr>
          </w:p>
        </w:tc>
      </w:tr>
      <w:tr>
        <w:trPr>
          <w:trHeight w:val="180"/>
        </w:trPr>
        <w:tc>
          <w:tcPr>
            <w:tcW w:w="9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Prepayments and other assets</w:t>
            </w:r>
          </w:p>
        </w:tc>
        <w:tc>
          <w:tcPr>
            <w:tcW w:w="126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2,690</w:t>
            </w:r>
          </w:p>
        </w:tc>
      </w:tr>
      <w:tr>
        <w:trPr>
          <w:trHeight w:val="180"/>
        </w:trPr>
        <w:tc>
          <w:tcPr>
            <w:tcW w:w="9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Right-of-use assets</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5"/>
                <w:szCs w:val="15"/>
                <w:color w:val="auto"/>
              </w:rPr>
            </w:pPr>
          </w:p>
        </w:tc>
      </w:tr>
      <w:tr>
        <w:trPr>
          <w:trHeight w:val="180"/>
        </w:trPr>
        <w:tc>
          <w:tcPr>
            <w:tcW w:w="9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plant and equipment</w:t>
            </w:r>
          </w:p>
        </w:tc>
        <w:tc>
          <w:tcPr>
            <w:tcW w:w="126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1,323</w:t>
            </w:r>
          </w:p>
        </w:tc>
      </w:tr>
      <w:tr>
        <w:trPr>
          <w:trHeight w:val="180"/>
        </w:trPr>
        <w:tc>
          <w:tcPr>
            <w:tcW w:w="9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Identified intangible assets: rights to electrical capacity</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22,429</w:t>
            </w:r>
          </w:p>
        </w:tc>
        <w:tc>
          <w:tcPr>
            <w:tcW w:w="80" w:type="dxa"/>
            <w:vAlign w:val="bottom"/>
          </w:tcPr>
          <w:p>
            <w:pPr>
              <w:spacing w:after="0"/>
              <w:rPr>
                <w:sz w:val="15"/>
                <w:szCs w:val="15"/>
                <w:color w:val="auto"/>
              </w:rPr>
            </w:pPr>
          </w:p>
        </w:tc>
      </w:tr>
      <w:tr>
        <w:trPr>
          <w:trHeight w:val="180"/>
        </w:trPr>
        <w:tc>
          <w:tcPr>
            <w:tcW w:w="9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tax assets</w:t>
            </w:r>
          </w:p>
        </w:tc>
        <w:tc>
          <w:tcPr>
            <w:tcW w:w="1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5"/>
                <w:szCs w:val="15"/>
                <w:color w:val="auto"/>
              </w:rPr>
            </w:pPr>
          </w:p>
        </w:tc>
      </w:tr>
      <w:tr>
        <w:trPr>
          <w:trHeight w:val="180"/>
        </w:trPr>
        <w:tc>
          <w:tcPr>
            <w:tcW w:w="9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Trade payables</w:t>
            </w:r>
          </w:p>
        </w:tc>
        <w:tc>
          <w:tcPr>
            <w:tcW w:w="126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(3,367)</w:t>
            </w:r>
          </w:p>
        </w:tc>
      </w:tr>
      <w:tr>
        <w:trPr>
          <w:trHeight w:val="180"/>
        </w:trPr>
        <w:tc>
          <w:tcPr>
            <w:tcW w:w="9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payables and accruals</w:t>
            </w:r>
          </w:p>
        </w:tc>
        <w:tc>
          <w:tcPr>
            <w:tcW w:w="126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(16,384)</w:t>
            </w:r>
          </w:p>
        </w:tc>
      </w:tr>
      <w:tr>
        <w:trPr>
          <w:trHeight w:val="180"/>
        </w:trPr>
        <w:tc>
          <w:tcPr>
            <w:tcW w:w="9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payables</w:t>
            </w:r>
          </w:p>
        </w:tc>
        <w:tc>
          <w:tcPr>
            <w:tcW w:w="126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(1,962)</w:t>
            </w:r>
          </w:p>
        </w:tc>
      </w:tr>
      <w:tr>
        <w:trPr>
          <w:trHeight w:val="180"/>
        </w:trPr>
        <w:tc>
          <w:tcPr>
            <w:tcW w:w="9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Lease liabilities</w:t>
            </w:r>
          </w:p>
        </w:tc>
        <w:tc>
          <w:tcPr>
            <w:tcW w:w="126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(122)</w:t>
            </w:r>
          </w:p>
        </w:tc>
      </w:tr>
      <w:tr>
        <w:trPr>
          <w:trHeight w:val="196"/>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(5,093)</w:t>
            </w:r>
          </w:p>
        </w:tc>
      </w:tr>
      <w:tr>
        <w:trPr>
          <w:trHeight w:val="180"/>
        </w:trPr>
        <w:tc>
          <w:tcPr>
            <w:tcW w:w="93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identifiable assets acquired</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8,440</w:t>
            </w:r>
          </w:p>
        </w:tc>
        <w:tc>
          <w:tcPr>
            <w:tcW w:w="80" w:type="dxa"/>
            <w:vAlign w:val="bottom"/>
            <w:tcBorders>
              <w:top w:val="single" w:sz="8" w:color="CCEEFF"/>
            </w:tcBorders>
            <w:shd w:val="clear" w:color="auto" w:fill="CCEEFF"/>
          </w:tcPr>
          <w:p>
            <w:pPr>
              <w:spacing w:after="0"/>
              <w:rPr>
                <w:sz w:val="15"/>
                <w:szCs w:val="15"/>
                <w:color w:val="auto"/>
              </w:rPr>
            </w:pPr>
          </w:p>
        </w:tc>
      </w:tr>
      <w:tr>
        <w:trPr>
          <w:trHeight w:val="196"/>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14,451</w:t>
            </w:r>
          </w:p>
        </w:tc>
        <w:tc>
          <w:tcPr>
            <w:tcW w:w="80" w:type="dxa"/>
            <w:vAlign w:val="bottom"/>
          </w:tcPr>
          <w:p>
            <w:pPr>
              <w:spacing w:after="0"/>
              <w:rPr>
                <w:sz w:val="17"/>
                <w:szCs w:val="17"/>
                <w:color w:val="auto"/>
              </w:rPr>
            </w:pPr>
          </w:p>
        </w:tc>
      </w:tr>
      <w:tr>
        <w:trPr>
          <w:trHeight w:val="184"/>
        </w:trPr>
        <w:tc>
          <w:tcPr>
            <w:tcW w:w="930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assets acquired</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22,891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43" w:lineRule="exact"/>
        <w:rPr>
          <w:sz w:val="20"/>
          <w:szCs w:val="20"/>
          <w:color w:val="auto"/>
        </w:rPr>
      </w:pPr>
    </w:p>
    <w:p>
      <w:pPr>
        <w:jc w:val="both"/>
        <w:ind w:right="40" w:firstLine="288"/>
        <w:spacing w:after="0" w:line="259" w:lineRule="auto"/>
        <w:rPr>
          <w:sz w:val="20"/>
          <w:szCs w:val="20"/>
          <w:color w:val="auto"/>
        </w:rPr>
      </w:pPr>
      <w:r>
        <w:rPr>
          <w:rFonts w:ascii="Times New Roman" w:cs="Times New Roman" w:eastAsia="Times New Roman" w:hAnsi="Times New Roman"/>
          <w:sz w:val="16"/>
          <w:szCs w:val="16"/>
          <w:color w:val="auto"/>
        </w:rPr>
        <w:t>The fair value of the land on April 15, 2024, of which the amount was included in property, plant and equipment, was measured using the sales comparison method under the market approach with the assistance of an independent valuation specialist and amounted to US$1.1 million.</w:t>
      </w:r>
    </w:p>
    <w:p>
      <w:pPr>
        <w:spacing w:after="0" w:line="119" w:lineRule="exact"/>
        <w:rPr>
          <w:sz w:val="20"/>
          <w:szCs w:val="20"/>
          <w:color w:val="auto"/>
        </w:rPr>
      </w:pPr>
    </w:p>
    <w:p>
      <w:pPr>
        <w:jc w:val="both"/>
        <w:ind w:firstLine="288"/>
        <w:spacing w:after="0" w:line="241" w:lineRule="auto"/>
        <w:rPr>
          <w:sz w:val="20"/>
          <w:szCs w:val="20"/>
          <w:color w:val="auto"/>
        </w:rPr>
      </w:pPr>
      <w:r>
        <w:rPr>
          <w:rFonts w:ascii="Times New Roman" w:cs="Times New Roman" w:eastAsia="Times New Roman" w:hAnsi="Times New Roman"/>
          <w:sz w:val="16"/>
          <w:szCs w:val="16"/>
          <w:color w:val="auto"/>
        </w:rPr>
        <w:t>The rights to electrical capacity acquired in the Norway Acquisition are recognized at fair value and the fair value on April 15, 2024 was US$22.4 million using the multi-period excess earnings method under the income approach, with assistance from an independent valuation specialist. The key inputs include operation projection and the discount rate. The rights to electrical capacity are granted by the Norwegian state and regional electricity grid operator and do not expire as long as they are being utilized. The Group intends to fully utilize the capacity in its operations and considers this intangible asset to have indefinite useful lives. The intangible asset is tested for impairment annually or whenever there is an indication at the end of a reporting period that the asset may be impaired.</w:t>
      </w:r>
    </w:p>
    <w:p>
      <w:pPr>
        <w:spacing w:after="0" w:line="133" w:lineRule="exact"/>
        <w:rPr>
          <w:sz w:val="20"/>
          <w:szCs w:val="20"/>
          <w:color w:val="auto"/>
        </w:rPr>
      </w:pPr>
    </w:p>
    <w:p>
      <w:pPr>
        <w:jc w:val="both"/>
        <w:ind w:firstLine="288"/>
        <w:spacing w:after="0" w:line="259" w:lineRule="auto"/>
        <w:rPr>
          <w:sz w:val="20"/>
          <w:szCs w:val="20"/>
          <w:color w:val="auto"/>
        </w:rPr>
      </w:pPr>
      <w:r>
        <w:rPr>
          <w:rFonts w:ascii="Times New Roman" w:cs="Times New Roman" w:eastAsia="Times New Roman" w:hAnsi="Times New Roman"/>
          <w:sz w:val="16"/>
          <w:szCs w:val="16"/>
          <w:color w:val="auto"/>
        </w:rPr>
        <w:t>The above goodwill is primarily attributable to the ability and experience in regional operations and cannot be recognized as separate intangible assets. The goodwill is not deductible for tax purposes.</w:t>
      </w:r>
    </w:p>
    <w:p>
      <w:pPr>
        <w:spacing w:after="0" w:line="119"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Deferred tax liabilities relating to temporary differences between the tax bases and accounting bases of the assets acquired on April 15, 2024 were recognized in an amount of US$5.1 million.</w:t>
      </w:r>
    </w:p>
    <w:p>
      <w:pPr>
        <w:spacing w:after="0" w:line="119" w:lineRule="exact"/>
        <w:rPr>
          <w:sz w:val="20"/>
          <w:szCs w:val="20"/>
          <w:color w:val="auto"/>
        </w:rPr>
      </w:pPr>
    </w:p>
    <w:p>
      <w:pPr>
        <w:jc w:val="both"/>
        <w:ind w:right="20" w:firstLine="288"/>
        <w:spacing w:after="0" w:line="289" w:lineRule="auto"/>
        <w:rPr>
          <w:sz w:val="20"/>
          <w:szCs w:val="20"/>
          <w:color w:val="auto"/>
        </w:rPr>
      </w:pPr>
      <w:r>
        <w:rPr>
          <w:rFonts w:ascii="Times New Roman" w:cs="Times New Roman" w:eastAsia="Times New Roman" w:hAnsi="Times New Roman"/>
          <w:sz w:val="14"/>
          <w:szCs w:val="14"/>
          <w:color w:val="auto"/>
        </w:rPr>
        <w:t>For the period from April 15, 2024 to June 30, 2024, the Target Companies contributed revenue and net income ofnil and US$1.9 million, respectively. On an unaudited pro forma basis, assuming this business combination had occurred on January 1, 2024, the Target Companies would have contributed revenue and net income of approximately nil and US$3.0 million for the period ended June 30, 2024. The Target Companies generated revenue solely from providing services to the Group. The Group achieved cost and expense savings from the acquisition, as a result of retaining the margins the Target Companies would have charged if they were not acquired.</w:t>
      </w:r>
    </w:p>
    <w:p>
      <w:pPr>
        <w:spacing w:after="0" w:line="99" w:lineRule="exact"/>
        <w:rPr>
          <w:sz w:val="20"/>
          <w:szCs w:val="20"/>
          <w:color w:val="auto"/>
        </w:rPr>
      </w:pPr>
    </w:p>
    <w:p>
      <w:pPr>
        <w:ind w:left="300" w:hanging="294"/>
        <w:spacing w:after="0"/>
        <w:tabs>
          <w:tab w:leader="none" w:pos="30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AND CONTRACT BALANCES</w:t>
      </w:r>
    </w:p>
    <w:p>
      <w:pPr>
        <w:spacing w:after="0" w:line="154"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derives revenues in the following major categories: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r>
      <w:tr>
        <w:trPr>
          <w:trHeight w:val="19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tcBorders>
              <w:top w:val="single" w:sz="8" w:color="auto"/>
            </w:tcBorders>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80"/>
        </w:trPr>
        <w:tc>
          <w:tcPr>
            <w:tcW w:w="80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Self-mining</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96,538</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90,084</w:t>
            </w: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Cloud hash rate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ectPr>
          <w:pgSz w:w="11900" w:h="16840" w:orient="portrait"/>
          <w:cols w:equalWidth="0" w:num="1">
            <w:col w:w="10580"/>
          </w:cols>
          <w:pgMar w:left="660" w:top="557" w:right="660" w:bottom="258"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Hash rate subscription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18,400</w:t>
            </w:r>
          </w:p>
        </w:tc>
        <w:tc>
          <w:tcPr>
            <w:tcW w:w="80" w:type="dxa"/>
            <w:vAlign w:val="bottom"/>
            <w:shd w:val="clear" w:color="auto" w:fill="CCEEFF"/>
          </w:tcPr>
          <w:p>
            <w:pPr>
              <w:spacing w:after="0"/>
              <w:rPr>
                <w:sz w:val="16"/>
                <w:szCs w:val="16"/>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Electricity subscription</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11,713</w:t>
            </w:r>
          </w:p>
        </w:tc>
        <w:tc>
          <w:tcPr>
            <w:tcW w:w="80" w:type="dxa"/>
            <w:vAlign w:val="bottom"/>
          </w:tcPr>
          <w:p>
            <w:pPr>
              <w:spacing w:after="0"/>
              <w:rPr>
                <w:sz w:val="15"/>
                <w:szCs w:val="15"/>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Additional consideration from Cloud Hash Rate arrangements under acceleration mode</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229</w:t>
            </w:r>
          </w:p>
        </w:tc>
        <w:tc>
          <w:tcPr>
            <w:tcW w:w="80" w:type="dxa"/>
            <w:vAlign w:val="bottom"/>
            <w:shd w:val="clear" w:color="auto" w:fill="CCEEFF"/>
          </w:tcPr>
          <w:p>
            <w:pPr>
              <w:spacing w:after="0"/>
              <w:rPr>
                <w:sz w:val="15"/>
                <w:szCs w:val="15"/>
                <w:color w:val="auto"/>
              </w:rPr>
            </w:pPr>
          </w:p>
        </w:tc>
      </w:tr>
      <w:tr>
        <w:trPr>
          <w:trHeight w:val="180"/>
        </w:trPr>
        <w:tc>
          <w:tcPr>
            <w:tcW w:w="8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 of mining rigs and accessories</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73,554</w:t>
            </w:r>
          </w:p>
        </w:tc>
        <w:tc>
          <w:tcPr>
            <w:tcW w:w="20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6"/>
        </w:trPr>
        <w:tc>
          <w:tcPr>
            <w:tcW w:w="8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Cloud hosting arrangements </w:t>
            </w:r>
            <w:r>
              <w:rPr>
                <w:rFonts w:ascii="Times New Roman" w:cs="Times New Roman" w:eastAsia="Times New Roman" w:hAnsi="Times New Roman"/>
                <w:sz w:val="25"/>
                <w:szCs w:val="25"/>
                <w:color w:val="auto"/>
                <w:vertAlign w:val="superscript"/>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1,001</w:t>
            </w:r>
          </w:p>
        </w:tc>
      </w:tr>
      <w:tr>
        <w:trPr>
          <w:trHeight w:val="180"/>
        </w:trPr>
        <w:tc>
          <w:tcPr>
            <w:tcW w:w="8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General hosting</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18,960</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49,525</w:t>
            </w:r>
          </w:p>
        </w:tc>
        <w:tc>
          <w:tcPr>
            <w:tcW w:w="80" w:type="dxa"/>
            <w:vAlign w:val="bottom"/>
          </w:tcPr>
          <w:p>
            <w:pPr>
              <w:spacing w:after="0"/>
              <w:rPr>
                <w:sz w:val="15"/>
                <w:szCs w:val="15"/>
                <w:color w:val="auto"/>
              </w:rPr>
            </w:pPr>
          </w:p>
        </w:tc>
      </w:tr>
      <w:tr>
        <w:trPr>
          <w:trHeight w:val="180"/>
        </w:trPr>
        <w:tc>
          <w:tcPr>
            <w:tcW w:w="8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Membership hosting</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30,868</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41,669</w:t>
            </w:r>
          </w:p>
        </w:tc>
        <w:tc>
          <w:tcPr>
            <w:tcW w:w="80" w:type="dxa"/>
            <w:vAlign w:val="bottom"/>
            <w:shd w:val="clear" w:color="auto" w:fill="CCEEFF"/>
          </w:tcPr>
          <w:p>
            <w:pPr>
              <w:spacing w:after="0"/>
              <w:rPr>
                <w:sz w:val="15"/>
                <w:szCs w:val="15"/>
                <w:color w:val="auto"/>
              </w:rPr>
            </w:pPr>
          </w:p>
        </w:tc>
      </w:tr>
      <w:tr>
        <w:trPr>
          <w:trHeight w:val="232"/>
        </w:trPr>
        <w:tc>
          <w:tcPr>
            <w:tcW w:w="8140" w:type="dxa"/>
            <w:vAlign w:val="bottom"/>
            <w:tcBorders>
              <w:bottom w:val="single" w:sz="8" w:color="CCEEFF"/>
            </w:tcBorders>
          </w:tcPr>
          <w:p>
            <w:pPr>
              <w:spacing w:after="0" w:line="228" w:lineRule="exact"/>
              <w:rPr>
                <w:sz w:val="20"/>
                <w:szCs w:val="20"/>
                <w:color w:val="auto"/>
              </w:rPr>
            </w:pPr>
            <w:r>
              <w:rPr>
                <w:rFonts w:ascii="Times New Roman" w:cs="Times New Roman" w:eastAsia="Times New Roman" w:hAnsi="Times New Roman"/>
                <w:sz w:val="16"/>
                <w:szCs w:val="16"/>
                <w:color w:val="auto"/>
              </w:rPr>
              <w:t xml:space="preserve">Others </w:t>
            </w:r>
            <w:r>
              <w:rPr>
                <w:rFonts w:ascii="Times New Roman" w:cs="Times New Roman" w:eastAsia="Times New Roman" w:hAnsi="Times New Roman"/>
                <w:sz w:val="26"/>
                <w:szCs w:val="26"/>
                <w:color w:val="auto"/>
                <w:vertAlign w:val="superscript"/>
              </w:rPr>
              <w:t>(1)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5,708</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80" w:type="dxa"/>
            <w:vAlign w:val="bottom"/>
            <w:tcBorders>
              <w:bottom w:val="single" w:sz="8" w:color="CCEEFF"/>
            </w:tcBorders>
          </w:tcPr>
          <w:p>
            <w:pPr>
              <w:spacing w:after="0"/>
              <w:rPr>
                <w:sz w:val="20"/>
                <w:szCs w:val="20"/>
                <w:color w:val="auto"/>
              </w:rPr>
            </w:pPr>
          </w:p>
        </w:tc>
      </w:tr>
      <w:tr>
        <w:trPr>
          <w:trHeight w:val="208"/>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225,710</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218,735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19" w:lineRule="exact"/>
        <w:rPr>
          <w:sz w:val="20"/>
          <w:szCs w:val="20"/>
          <w:color w:val="auto"/>
        </w:rPr>
      </w:pPr>
    </w:p>
    <w:p>
      <w:pPr>
        <w:ind w:left="300" w:right="20" w:hanging="294"/>
        <w:spacing w:after="0" w:line="259" w:lineRule="auto"/>
        <w:tabs>
          <w:tab w:leader="none" w:pos="3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include revenue generated primarily from providing technical and human resources service, repairment services of hosted mining rigs, lease of investment properties, the sale of mining rigs peripherals, the sale of containerized solution products and providing HPC and AI cloud services.</w:t>
      </w:r>
    </w:p>
    <w:p>
      <w:pPr>
        <w:spacing w:after="0" w:line="95" w:lineRule="exact"/>
        <w:rPr>
          <w:rFonts w:ascii="Times New Roman" w:cs="Times New Roman" w:eastAsia="Times New Roman" w:hAnsi="Times New Roman"/>
          <w:sz w:val="16"/>
          <w:szCs w:val="16"/>
          <w:color w:val="auto"/>
        </w:rPr>
      </w:pPr>
    </w:p>
    <w:p>
      <w:pPr>
        <w:ind w:left="300" w:right="20" w:hanging="294"/>
        <w:spacing w:after="0" w:line="259" w:lineRule="auto"/>
        <w:tabs>
          <w:tab w:leader="none" w:pos="3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did not generate any revenue from the additional consideration from Cloud Hosting arrangements offered under accelerator mode for the periods ended June 30, 2025 and 2024.</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Revenue concentration for the six months ended June 30, 2025 and 2024 is as below:</w:t>
      </w:r>
    </w:p>
    <w:p>
      <w:pPr>
        <w:spacing w:after="0" w:line="18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2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r>
      <w:tr>
        <w:trPr>
          <w:trHeight w:val="180"/>
        </w:trPr>
        <w:tc>
          <w:tcPr>
            <w:tcW w:w="8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Customer A</w:t>
            </w:r>
          </w:p>
        </w:tc>
        <w:tc>
          <w:tcPr>
            <w:tcW w:w="6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7"/>
              </w:rPr>
              <w:t>14.52%</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r>
      <w:tr>
        <w:trPr>
          <w:trHeight w:val="180"/>
        </w:trPr>
        <w:tc>
          <w:tcPr>
            <w:tcW w:w="88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Customer B</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10.07%</w:t>
            </w:r>
          </w:p>
        </w:tc>
      </w:tr>
      <w:tr>
        <w:trPr>
          <w:trHeight w:val="180"/>
        </w:trPr>
        <w:tc>
          <w:tcPr>
            <w:tcW w:w="8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Customer C</w:t>
            </w:r>
          </w:p>
        </w:tc>
        <w:tc>
          <w:tcPr>
            <w:tcW w:w="60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7"/>
              </w:rPr>
              <w:t>10.81%</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r>
    </w:tbl>
    <w:p>
      <w:pPr>
        <w:spacing w:after="0" w:line="16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Less than 10%</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u w:val="single" w:color="auto"/>
          <w:color w:val="auto"/>
        </w:rPr>
        <w:t>Contract assets and liabilities</w:t>
      </w:r>
    </w:p>
    <w:p>
      <w:pPr>
        <w:spacing w:after="0" w:line="176"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A contract asset is recognized when the Group recognizes revenue before being unconditionally entitled to the consideration under the payment terms set out in the contract. Contract assets are assessed for expected credit losses and are reclassified to receivables when the right to the consideration has become unconditional. As of June 30, 2025 and December 31, 2024, the Group did not have any contract assets.</w:t>
      </w:r>
    </w:p>
    <w:p>
      <w:pPr>
        <w:spacing w:after="0" w:line="152" w:lineRule="exact"/>
        <w:rPr>
          <w:sz w:val="20"/>
          <w:szCs w:val="20"/>
          <w:color w:val="auto"/>
        </w:rPr>
      </w:pPr>
    </w:p>
    <w:p>
      <w:pPr>
        <w:jc w:val="both"/>
        <w:ind w:right="20" w:firstLine="288"/>
        <w:spacing w:after="0" w:line="239" w:lineRule="auto"/>
        <w:rPr>
          <w:sz w:val="20"/>
          <w:szCs w:val="20"/>
          <w:color w:val="auto"/>
        </w:rPr>
      </w:pPr>
      <w:r>
        <w:rPr>
          <w:rFonts w:ascii="Times New Roman" w:cs="Times New Roman" w:eastAsia="Times New Roman" w:hAnsi="Times New Roman"/>
          <w:sz w:val="16"/>
          <w:szCs w:val="16"/>
          <w:color w:val="auto"/>
        </w:rPr>
        <w:t>A contract liability is recognized when the customer pays consideration for goods or services before the Group recognizes the related revenue. A contract liability would also be recognized if the Group has an unconditional right to receive non -refundable consideration before the Group recognizes the related revenue. In such cases, a corresponding receivable would also be recognized. As of June 30, 2025 and December 31, 2024, the Group had contract liabilities, presented as deferred revenue on the unaudited condensed consolidated statements of financial position, of approximately US$123.9 million and US$129.2 million. Approximately US$14.6 million and US$33.1 million, included in the deferred revenue balance at January 1, 2025 and 2024, respectively, was recognized as revenue during the six months ended June 30, 2025 and 2024.</w:t>
      </w:r>
    </w:p>
    <w:p>
      <w:pPr>
        <w:spacing w:after="0" w:line="159" w:lineRule="exact"/>
        <w:rPr>
          <w:sz w:val="20"/>
          <w:szCs w:val="20"/>
          <w:color w:val="auto"/>
        </w:rPr>
      </w:pPr>
    </w:p>
    <w:p>
      <w:pPr>
        <w:ind w:left="300" w:hanging="294"/>
        <w:spacing w:after="0"/>
        <w:tabs>
          <w:tab w:leader="none" w:pos="30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 INFORMATION</w:t>
      </w:r>
    </w:p>
    <w:p>
      <w:pPr>
        <w:spacing w:after="0" w:line="178"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As discussed in the Annual Financial Statements, the chief operating decision maker makes resources allocation decisions based on internal management functions and assesses the Group’s business performance as one integrated business instead of by separate business lines or geographical regions. Accordingly, the Group has only one operating segment and therefore, no segment information is presented.</w:t>
      </w:r>
    </w:p>
    <w:p>
      <w:pPr>
        <w:spacing w:after="0" w:line="152" w:lineRule="exact"/>
        <w:rPr>
          <w:sz w:val="20"/>
          <w:szCs w:val="20"/>
          <w:color w:val="auto"/>
        </w:rPr>
      </w:pPr>
    </w:p>
    <w:p>
      <w:pPr>
        <w:jc w:val="both"/>
        <w:ind w:firstLine="336"/>
        <w:spacing w:after="0" w:line="259" w:lineRule="auto"/>
        <w:rPr>
          <w:sz w:val="20"/>
          <w:szCs w:val="20"/>
          <w:color w:val="auto"/>
        </w:rPr>
      </w:pPr>
      <w:r>
        <w:rPr>
          <w:rFonts w:ascii="Times New Roman" w:cs="Times New Roman" w:eastAsia="Times New Roman" w:hAnsi="Times New Roman"/>
          <w:sz w:val="16"/>
          <w:szCs w:val="16"/>
          <w:color w:val="auto"/>
        </w:rPr>
        <w:t>Disaggregated revenue data by geographical region in terms of the location where the services are provided or the customers based within the operating segment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r>
      <w:tr>
        <w:trPr>
          <w:trHeight w:val="196"/>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4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r>
      <w:tr>
        <w:trPr>
          <w:trHeight w:val="180"/>
        </w:trPr>
        <w:tc>
          <w:tcPr>
            <w:tcW w:w="32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Singapore</w:t>
            </w:r>
          </w:p>
        </w:tc>
        <w:tc>
          <w:tcPr>
            <w:tcW w:w="4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4,768</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5,439</w:t>
            </w:r>
          </w:p>
        </w:tc>
        <w:tc>
          <w:tcPr>
            <w:tcW w:w="80" w:type="dxa"/>
            <w:vAlign w:val="bottom"/>
            <w:shd w:val="clear" w:color="auto" w:fill="CCEEFF"/>
          </w:tcPr>
          <w:p>
            <w:pPr>
              <w:spacing w:after="0"/>
              <w:rPr>
                <w:sz w:val="15"/>
                <w:szCs w:val="15"/>
                <w:color w:val="auto"/>
              </w:rPr>
            </w:pPr>
          </w:p>
        </w:tc>
      </w:tr>
      <w:tr>
        <w:trPr>
          <w:trHeight w:val="180"/>
        </w:trPr>
        <w:tc>
          <w:tcPr>
            <w:tcW w:w="32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6160" w:type="dxa"/>
            <w:vAlign w:val="bottom"/>
            <w:gridSpan w:val="4"/>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118,126</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134,600</w:t>
            </w:r>
          </w:p>
        </w:tc>
      </w:tr>
      <w:tr>
        <w:trPr>
          <w:trHeight w:val="180"/>
        </w:trPr>
        <w:tc>
          <w:tcPr>
            <w:tcW w:w="32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Bhutan</w:t>
            </w:r>
          </w:p>
        </w:tc>
        <w:tc>
          <w:tcPr>
            <w:tcW w:w="596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34,222</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43,563</w:t>
            </w:r>
          </w:p>
        </w:tc>
        <w:tc>
          <w:tcPr>
            <w:tcW w:w="80" w:type="dxa"/>
            <w:vAlign w:val="bottom"/>
            <w:shd w:val="clear" w:color="auto" w:fill="CCEEFF"/>
          </w:tcPr>
          <w:p>
            <w:pPr>
              <w:spacing w:after="0"/>
              <w:rPr>
                <w:sz w:val="15"/>
                <w:szCs w:val="15"/>
                <w:color w:val="auto"/>
              </w:rPr>
            </w:pPr>
          </w:p>
        </w:tc>
      </w:tr>
      <w:tr>
        <w:trPr>
          <w:trHeight w:val="180"/>
        </w:trPr>
        <w:tc>
          <w:tcPr>
            <w:tcW w:w="32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Norway</w:t>
            </w:r>
          </w:p>
        </w:tc>
        <w:tc>
          <w:tcPr>
            <w:tcW w:w="59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33,052</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35,133</w:t>
            </w:r>
          </w:p>
        </w:tc>
        <w:tc>
          <w:tcPr>
            <w:tcW w:w="80" w:type="dxa"/>
            <w:vAlign w:val="bottom"/>
          </w:tcPr>
          <w:p>
            <w:pPr>
              <w:spacing w:after="0"/>
              <w:rPr>
                <w:sz w:val="15"/>
                <w:szCs w:val="15"/>
                <w:color w:val="auto"/>
              </w:rPr>
            </w:pPr>
          </w:p>
        </w:tc>
      </w:tr>
      <w:tr>
        <w:trPr>
          <w:trHeight w:val="180"/>
        </w:trPr>
        <w:tc>
          <w:tcPr>
            <w:tcW w:w="32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Finland</w:t>
            </w:r>
          </w:p>
        </w:tc>
        <w:tc>
          <w:tcPr>
            <w:tcW w:w="596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21,966</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2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Ethiopia</w:t>
            </w:r>
          </w:p>
        </w:tc>
        <w:tc>
          <w:tcPr>
            <w:tcW w:w="6160" w:type="dxa"/>
            <w:vAlign w:val="bottom"/>
            <w:gridSpan w:val="4"/>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7,409</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12"/>
        </w:trPr>
        <w:tc>
          <w:tcPr>
            <w:tcW w:w="3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Others</w:t>
            </w:r>
          </w:p>
        </w:tc>
        <w:tc>
          <w:tcPr>
            <w:tcW w:w="4880" w:type="dxa"/>
            <w:vAlign w:val="bottom"/>
            <w:tcBorders>
              <w:bottom w:val="single" w:sz="8" w:color="CCEEFF"/>
            </w:tcBorders>
            <w:gridSpan w:val="2"/>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2"/>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4880" w:type="dxa"/>
            <w:vAlign w:val="bottom"/>
            <w:gridSpan w:val="2"/>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225,710</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218,735</w:t>
            </w:r>
          </w:p>
        </w:tc>
        <w:tc>
          <w:tcPr>
            <w:tcW w:w="80" w:type="dxa"/>
            <w:vAlign w:val="bottom"/>
          </w:tcPr>
          <w:p>
            <w:pPr>
              <w:spacing w:after="0"/>
              <w:rPr>
                <w:sz w:val="16"/>
                <w:szCs w:val="16"/>
                <w:color w:val="auto"/>
              </w:rPr>
            </w:pPr>
          </w:p>
        </w:tc>
      </w:tr>
      <w:tr>
        <w:trPr>
          <w:trHeight w:val="20"/>
        </w:trPr>
        <w:tc>
          <w:tcPr>
            <w:tcW w:w="326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2"/>
        </w:trPr>
        <w:tc>
          <w:tcPr>
            <w:tcW w:w="32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ind w:left="1880"/>
              <w:spacing w:after="0"/>
              <w:rPr>
                <w:sz w:val="20"/>
                <w:szCs w:val="20"/>
                <w:color w:val="auto"/>
              </w:rPr>
            </w:pPr>
            <w:r>
              <w:rPr>
                <w:rFonts w:ascii="Times New Roman" w:cs="Times New Roman" w:eastAsia="Times New Roman" w:hAnsi="Times New Roman"/>
                <w:sz w:val="16"/>
                <w:szCs w:val="16"/>
                <w:color w:val="auto"/>
              </w:rPr>
              <w:t>F-13</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Selected assets of mining rigs, property, plant and equipment, investment properties, right-of-use assets and intangible assets by geographical region within the operating segment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180"/>
        </w:trPr>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199"/>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7"/>
                <w:szCs w:val="17"/>
                <w:color w:val="auto"/>
              </w:rPr>
            </w:pPr>
          </w:p>
        </w:tc>
      </w:tr>
      <w:tr>
        <w:trPr>
          <w:trHeight w:val="180"/>
        </w:trPr>
        <w:tc>
          <w:tcPr>
            <w:tcW w:w="80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Singapore</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118,643</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120,765</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306,549</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150,352</w:t>
            </w:r>
          </w:p>
        </w:tc>
      </w:tr>
      <w:tr>
        <w:trPr>
          <w:trHeight w:val="20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Bhutan</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210,926</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133,425</w:t>
            </w:r>
          </w:p>
        </w:tc>
      </w:tr>
      <w:tr>
        <w:trPr>
          <w:trHeight w:val="61"/>
        </w:trPr>
        <w:tc>
          <w:tcPr>
            <w:tcW w:w="8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bl>
    <w:p>
      <w:pPr>
        <w:sectPr>
          <w:pgSz w:w="11900" w:h="16840" w:orient="portrait"/>
          <w:cols w:equalWidth="0" w:num="1">
            <w:col w:w="10580"/>
          </w:cols>
          <w:pgMar w:left="660" w:top="566" w:right="660" w:bottom="5"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Norway</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122,512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97,388</w:t>
            </w:r>
          </w:p>
        </w:tc>
        <w:tc>
          <w:tcPr>
            <w:tcW w:w="80" w:type="dxa"/>
            <w:vAlign w:val="bottom"/>
          </w:tcPr>
          <w:p>
            <w:pPr>
              <w:spacing w:after="0"/>
              <w:rPr>
                <w:sz w:val="16"/>
                <w:szCs w:val="16"/>
                <w:color w:val="auto"/>
              </w:rPr>
            </w:pPr>
          </w:p>
        </w:tc>
      </w:tr>
      <w:tr>
        <w:trPr>
          <w:trHeight w:val="180"/>
        </w:trPr>
        <w:tc>
          <w:tcPr>
            <w:tcW w:w="8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Ethiopia</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4,978</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6"/>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7"/>
                <w:szCs w:val="17"/>
                <w:color w:val="auto"/>
              </w:rPr>
            </w:pPr>
          </w:p>
        </w:tc>
      </w:tr>
      <w:tr>
        <w:trPr>
          <w:trHeight w:val="208"/>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766,565</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501,932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ind w:left="300" w:right="6260" w:hanging="294"/>
        <w:spacing w:after="0" w:line="536" w:lineRule="auto"/>
        <w:tabs>
          <w:tab w:leader="none" w:pos="30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CASH, CASH EQUIVALENTS AND RESTRICTED CASH </w:t>
      </w:r>
      <w:r>
        <w:rPr>
          <w:rFonts w:ascii="Times New Roman" w:cs="Times New Roman" w:eastAsia="Times New Roman" w:hAnsi="Times New Roman"/>
          <w:sz w:val="14"/>
          <w:szCs w:val="14"/>
          <w:color w:val="auto"/>
        </w:rPr>
        <w:t>The breakdown of cash and cash equivalents is as follows:</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199"/>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US dollar</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278,872</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462,316</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Singapore dollar</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10,534</w:t>
            </w:r>
          </w:p>
        </w:tc>
        <w:tc>
          <w:tcPr>
            <w:tcW w:w="20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Norwegian krone</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7,897</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7,943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1,313</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Bhutan ngultrum</w:t>
            </w:r>
          </w:p>
        </w:tc>
        <w:tc>
          <w:tcPr>
            <w:tcW w:w="1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505</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Chinese renminbi</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304</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Malaysian ringgit</w:t>
            </w:r>
          </w:p>
        </w:tc>
        <w:tc>
          <w:tcPr>
            <w:tcW w:w="1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209</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Canadian dollar</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138</w:t>
            </w:r>
          </w:p>
        </w:tc>
        <w:tc>
          <w:tcPr>
            <w:tcW w:w="20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Hongkong dollar</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and cash equivalents by currency</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299,792</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476,270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12,965</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9,144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Non-current</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6,144</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restricted cash</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88"/>
        <w:spacing w:after="0" w:line="243" w:lineRule="auto"/>
        <w:rPr>
          <w:sz w:val="20"/>
          <w:szCs w:val="20"/>
          <w:color w:val="auto"/>
        </w:rPr>
      </w:pPr>
      <w:r>
        <w:rPr>
          <w:rFonts w:ascii="Times New Roman" w:cs="Times New Roman" w:eastAsia="Times New Roman" w:hAnsi="Times New Roman"/>
          <w:sz w:val="16"/>
          <w:szCs w:val="16"/>
          <w:color w:val="auto"/>
        </w:rPr>
        <w:t>The Group classifies short-term deposits and other highly liquid investments as cash equivalents. As of June 30, 2025, the Group owned short-term deposit in an amount of approximately US$74.9 million with maturities in July 2025 with interest ranging from 0.48% to 4.38% and other highly liquid investments of approximately US$40.8 million. As of December 31, 2024, the Group owned short-term deposit in an amount of approximately US$91.6 million with maturities in January 2025 with interest ranging from 2.01% to 4.28% and other highly liquid investments of approximately US$239.5 million.</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Group’s restricted cash primarily relates to the following:</w:t>
      </w:r>
    </w:p>
    <w:p>
      <w:pPr>
        <w:spacing w:after="0" w:line="174" w:lineRule="exact"/>
        <w:rPr>
          <w:sz w:val="20"/>
          <w:szCs w:val="20"/>
          <w:color w:val="auto"/>
        </w:rPr>
      </w:pPr>
    </w:p>
    <w:p>
      <w:pPr>
        <w:ind w:left="580" w:hanging="286"/>
        <w:spacing w:after="0"/>
        <w:tabs>
          <w:tab w:leader="none" w:pos="580" w:val="left"/>
        </w:tabs>
        <w:numPr>
          <w:ilvl w:val="0"/>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Standby letters of credits (“SLCs”)</w:t>
      </w:r>
    </w:p>
    <w:p>
      <w:pPr>
        <w:spacing w:after="0" w:line="178" w:lineRule="exact"/>
        <w:rPr>
          <w:rFonts w:ascii="Times New Roman" w:cs="Times New Roman" w:eastAsia="Times New Roman" w:hAnsi="Times New Roman"/>
          <w:sz w:val="16"/>
          <w:szCs w:val="16"/>
          <w:i w:val="1"/>
          <w:iCs w:val="1"/>
          <w:color w:val="auto"/>
        </w:rPr>
      </w:pPr>
    </w:p>
    <w:p>
      <w:pPr>
        <w:jc w:val="both"/>
        <w:ind w:left="580" w:right="20"/>
        <w:spacing w:after="0" w:line="247"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Group had outstanding standby letters of credit (“SLCs”) issued to service providers in connection with electricity and datacenter construction commitments. The SLCs provide the beneficiaries with the ability to draw from the issuing banks up to a designated maximum aggregate amount (the “Draw Amount”). The details of SLCs are as follows:</w:t>
      </w:r>
    </w:p>
    <w:p>
      <w:pPr>
        <w:sectPr>
          <w:pgSz w:w="11900" w:h="16840" w:orient="portrait"/>
          <w:cols w:equalWidth="0" w:num="1">
            <w:col w:w="10580"/>
          </w:cols>
          <w:pgMar w:left="660" w:top="821" w:right="66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Draw Amount (In thousands of USD)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Range of expiration dates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At</w:t>
            </w: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180"/>
        </w:trPr>
        <w:tc>
          <w:tcPr>
            <w:tcW w:w="1760" w:type="dxa"/>
            <w:vAlign w:val="bottom"/>
            <w:gridSpan w:val="2"/>
          </w:tcPr>
          <w:p>
            <w:pPr>
              <w:ind w:left="520"/>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7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9"/>
        </w:trPr>
        <w:tc>
          <w:tcPr>
            <w:tcW w:w="15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r>
      <w:tr>
        <w:trPr>
          <w:trHeight w:val="191"/>
        </w:trPr>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9,883</w:t>
            </w:r>
          </w:p>
        </w:tc>
        <w:tc>
          <w:tcPr>
            <w:tcW w:w="1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20" w:type="dxa"/>
            <w:vAlign w:val="bottom"/>
          </w:tcPr>
          <w:p>
            <w:pPr>
              <w:spacing w:after="0"/>
              <w:rPr>
                <w:sz w:val="16"/>
                <w:szCs w:val="16"/>
                <w:color w:val="auto"/>
              </w:rPr>
            </w:pPr>
          </w:p>
        </w:tc>
      </w:tr>
      <w:tr>
        <w:trPr>
          <w:trHeight w:val="203"/>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July 2025 to April 2026</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July 2025 to August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-257175</wp:posOffset>
            </wp:positionV>
            <wp:extent cx="6707505" cy="121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57" w:lineRule="exact"/>
        <w:rPr>
          <w:sz w:val="20"/>
          <w:szCs w:val="20"/>
          <w:color w:val="auto"/>
        </w:rPr>
      </w:pPr>
    </w:p>
    <w:p>
      <w:pPr>
        <w:sectPr>
          <w:pgSz w:w="11900" w:h="16840" w:orient="portrait"/>
          <w:cols w:equalWidth="0" w:num="2">
            <w:col w:w="6280" w:space="720"/>
            <w:col w:w="3580"/>
          </w:cols>
          <w:pgMar w:left="660" w:top="821" w:right="660" w:bottom="326" w:gutter="0" w:footer="0" w:header="0"/>
          <w:type w:val="continuous"/>
        </w:sectPr>
      </w:pPr>
    </w:p>
    <w:p>
      <w:pPr>
        <w:ind w:left="580" w:right="20"/>
        <w:spacing w:after="0" w:line="259" w:lineRule="auto"/>
        <w:rPr>
          <w:sz w:val="20"/>
          <w:szCs w:val="20"/>
          <w:color w:val="auto"/>
        </w:rPr>
      </w:pPr>
      <w:r>
        <w:rPr>
          <w:rFonts w:ascii="Times New Roman" w:cs="Times New Roman" w:eastAsia="Times New Roman" w:hAnsi="Times New Roman"/>
          <w:sz w:val="16"/>
          <w:szCs w:val="16"/>
          <w:color w:val="auto"/>
        </w:rPr>
        <w:t>The amount and expiration dates of the SLCs are amended, from time to time, by the Group and beneficiaries, as a result of the amendments to the associated service agreements.</w:t>
      </w:r>
    </w:p>
    <w:p>
      <w:pPr>
        <w:spacing w:after="0" w:line="143" w:lineRule="exact"/>
        <w:rPr>
          <w:sz w:val="20"/>
          <w:szCs w:val="20"/>
          <w:color w:val="auto"/>
        </w:rPr>
      </w:pPr>
    </w:p>
    <w:p>
      <w:pPr>
        <w:ind w:left="580" w:right="60"/>
        <w:spacing w:after="0" w:line="259" w:lineRule="auto"/>
        <w:rPr>
          <w:sz w:val="20"/>
          <w:szCs w:val="20"/>
          <w:color w:val="auto"/>
        </w:rPr>
      </w:pPr>
      <w:r>
        <w:rPr>
          <w:rFonts w:ascii="Times New Roman" w:cs="Times New Roman" w:eastAsia="Times New Roman" w:hAnsi="Times New Roman"/>
          <w:sz w:val="16"/>
          <w:szCs w:val="16"/>
          <w:color w:val="auto"/>
        </w:rPr>
        <w:t>In connection with the issuance of the SLCs, the banks held the Group’s cash balance equal to the Draw Amount as security. As of June 30, 2025 and December 31, 2024, none was utilized by the beneficiaries from the standby letters of credits.</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ind w:left="580" w:hanging="286"/>
        <w:spacing w:after="0"/>
        <w:tabs>
          <w:tab w:leader="none" w:pos="580" w:val="left"/>
        </w:tabs>
        <w:numPr>
          <w:ilvl w:val="1"/>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Pledged cash</w:t>
      </w:r>
    </w:p>
    <w:p>
      <w:pPr>
        <w:spacing w:after="0" w:line="178" w:lineRule="exact"/>
        <w:rPr>
          <w:rFonts w:ascii="Times New Roman" w:cs="Times New Roman" w:eastAsia="Times New Roman" w:hAnsi="Times New Roman"/>
          <w:sz w:val="16"/>
          <w:szCs w:val="16"/>
          <w:i w:val="1"/>
          <w:iCs w:val="1"/>
          <w:color w:val="auto"/>
        </w:rPr>
      </w:pPr>
    </w:p>
    <w:p>
      <w:pPr>
        <w:jc w:val="both"/>
        <w:ind w:left="580"/>
        <w:spacing w:after="0" w:line="243"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As of June 30, 2025, the Group maintained approximately US$9.2 million in escrow accounts with a commercial bank. These funds, originally deposited in 2024, are held under arrangements with an electricity service provider to secure a fixed electricity price for three years commencing January 1, 2025. The deposited amount will be released in annual installments. The changes in balance compared to the comparative balance sheet date arising solely from foreign currency fluctuations.</w:t>
      </w:r>
    </w:p>
    <w:p>
      <w:pPr>
        <w:spacing w:after="0" w:line="153" w:lineRule="exact"/>
        <w:rPr>
          <w:rFonts w:ascii="Times New Roman" w:cs="Times New Roman" w:eastAsia="Times New Roman" w:hAnsi="Times New Roman"/>
          <w:sz w:val="16"/>
          <w:szCs w:val="16"/>
          <w:i w:val="1"/>
          <w:iCs w:val="1"/>
          <w:color w:val="auto"/>
        </w:rPr>
      </w:pPr>
    </w:p>
    <w:p>
      <w:pPr>
        <w:ind w:left="300" w:hanging="294"/>
        <w:spacing w:after="0"/>
        <w:tabs>
          <w:tab w:leader="none" w:pos="300"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CRYPTOCURRENCIES</w:t>
      </w:r>
    </w:p>
    <w:p>
      <w:pPr>
        <w:spacing w:after="0" w:line="178"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June 30, 2025 and December 31, 2024, the Group’s cryptocurrencies consist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180"/>
        </w:trPr>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199"/>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7"/>
                <w:szCs w:val="17"/>
                <w:color w:val="auto"/>
              </w:rPr>
            </w:pPr>
          </w:p>
        </w:tc>
      </w:tr>
      <w:tr>
        <w:trPr>
          <w:trHeight w:val="180"/>
        </w:trPr>
        <w:tc>
          <w:tcPr>
            <w:tcW w:w="80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Cryptocurrencies other than USDC</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169,306</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77,535</w:t>
            </w:r>
          </w:p>
        </w:tc>
        <w:tc>
          <w:tcPr>
            <w:tcW w:w="80" w:type="dxa"/>
            <w:vAlign w:val="bottom"/>
            <w:tcBorders>
              <w:top w:val="single" w:sz="8" w:color="CCEEFF"/>
            </w:tcBorders>
            <w:shd w:val="clear" w:color="auto" w:fill="CCEEFF"/>
          </w:tcPr>
          <w:p>
            <w:pPr>
              <w:spacing w:after="0"/>
              <w:rPr>
                <w:sz w:val="15"/>
                <w:szCs w:val="15"/>
                <w:color w:val="auto"/>
              </w:rPr>
            </w:pPr>
          </w:p>
        </w:tc>
      </w:tr>
      <w:tr>
        <w:trPr>
          <w:trHeight w:val="196"/>
        </w:trPr>
        <w:tc>
          <w:tcPr>
            <w:tcW w:w="8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USDC</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7"/>
                <w:szCs w:val="17"/>
                <w:color w:val="auto"/>
              </w:rPr>
            </w:pPr>
          </w:p>
        </w:tc>
      </w:tr>
      <w:tr>
        <w:trPr>
          <w:trHeight w:val="208"/>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cryptocurrencies</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169,340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77,537</w:t>
            </w:r>
          </w:p>
        </w:tc>
        <w:tc>
          <w:tcPr>
            <w:tcW w:w="80" w:type="dxa"/>
            <w:vAlign w:val="bottom"/>
            <w:shd w:val="clear" w:color="auto" w:fill="CCEEFF"/>
          </w:tcPr>
          <w:p>
            <w:pPr>
              <w:spacing w:after="0"/>
              <w:rPr>
                <w:sz w:val="18"/>
                <w:szCs w:val="18"/>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details of cryptocurrencies are as follows:</w:t>
      </w:r>
    </w:p>
    <w:p>
      <w:pPr>
        <w:sectPr>
          <w:pgSz w:w="11900" w:h="16840" w:orient="portrait"/>
          <w:cols w:equalWidth="0" w:num="1">
            <w:col w:w="10580"/>
          </w:cols>
          <w:pgMar w:left="660" w:top="821" w:right="660" w:bottom="326"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c>
          <w:tcPr>
            <w:tcW w:w="0" w:type="dxa"/>
            <w:vAlign w:val="bottom"/>
          </w:tcPr>
          <w:p>
            <w:pPr>
              <w:spacing w:after="0"/>
              <w:rPr>
                <w:sz w:val="1"/>
                <w:szCs w:val="1"/>
                <w:color w:val="auto"/>
              </w:rPr>
            </w:pPr>
          </w:p>
        </w:tc>
      </w:tr>
      <w:tr>
        <w:trPr>
          <w:trHeight w:val="126"/>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8140" w:type="dxa"/>
            <w:vAlign w:val="bottom"/>
            <w:gridSpan w:val="3"/>
            <w:vMerge w:val="continue"/>
          </w:tcPr>
          <w:p>
            <w:pPr>
              <w:spacing w:after="0"/>
              <w:rPr>
                <w:sz w:val="17"/>
                <w:szCs w:val="17"/>
                <w:color w:val="auto"/>
              </w:rPr>
            </w:pPr>
          </w:p>
        </w:tc>
        <w:tc>
          <w:tcPr>
            <w:tcW w:w="10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Beginning balances</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78,479</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15,377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128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210,126</w:t>
            </w: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184,296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 and payments</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(117,271)</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(173,928)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12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Ending balances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171,334</w:t>
            </w:r>
          </w:p>
        </w:tc>
        <w:tc>
          <w:tcPr>
            <w:tcW w:w="200" w:type="dxa"/>
            <w:vAlign w:val="bottom"/>
            <w:tcBorders>
              <w:top w:val="single" w:sz="8" w:color="CCEEFF"/>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25,745</w:t>
            </w:r>
          </w:p>
        </w:tc>
        <w:tc>
          <w:tcPr>
            <w:tcW w:w="80" w:type="dxa"/>
            <w:vAlign w:val="bottom"/>
            <w:tcBorders>
              <w:top w:val="single" w:sz="8" w:color="CCEEFF"/>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Impairment:</w:t>
            </w: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Beginning balances</w:t>
            </w:r>
          </w:p>
        </w:tc>
        <w:tc>
          <w:tcPr>
            <w:tcW w:w="1280" w:type="dxa"/>
            <w:vAlign w:val="bottom"/>
            <w:gridSpan w:val="2"/>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(942)</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(1,052)</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12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Ending balances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20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Beginning balances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77,537</w:t>
            </w: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15,371</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Borders>
              <w:bottom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Ending balances</w:t>
            </w: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169,340</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24,916</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The supplemental information of cryptocurrencies other than USDC is as follows:</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81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c>
          <w:tcPr>
            <w:tcW w:w="0" w:type="dxa"/>
            <w:vAlign w:val="bottom"/>
          </w:tcPr>
          <w:p>
            <w:pPr>
              <w:spacing w:after="0"/>
              <w:rPr>
                <w:sz w:val="1"/>
                <w:szCs w:val="1"/>
                <w:color w:val="auto"/>
              </w:rPr>
            </w:pPr>
          </w:p>
        </w:tc>
      </w:tr>
      <w:tr>
        <w:trPr>
          <w:trHeight w:val="196"/>
        </w:trPr>
        <w:tc>
          <w:tcPr>
            <w:tcW w:w="8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Beginning balances</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78,477</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15,342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128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185,866</w:t>
            </w: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180,185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 and payments</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(93,043)</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(169,785)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12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Ending balances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171,300</w:t>
            </w:r>
          </w:p>
        </w:tc>
        <w:tc>
          <w:tcPr>
            <w:tcW w:w="200" w:type="dxa"/>
            <w:vAlign w:val="bottom"/>
            <w:tcBorders>
              <w:top w:val="single" w:sz="8" w:color="CCEEFF"/>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80" w:type="dxa"/>
            <w:vAlign w:val="bottom"/>
            <w:tcBorders>
              <w:top w:val="single" w:sz="8" w:color="CCEEFF"/>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Impairment:</w:t>
            </w: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Beginning balances</w:t>
            </w:r>
          </w:p>
        </w:tc>
        <w:tc>
          <w:tcPr>
            <w:tcW w:w="1280" w:type="dxa"/>
            <w:vAlign w:val="bottom"/>
            <w:gridSpan w:val="2"/>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(942)</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(1,052)</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12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Ending balances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20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Beginning balances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77,535</w:t>
            </w: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15,336</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Borders>
              <w:bottom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Ending balances</w:t>
            </w: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169,306</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24,913</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288"/>
        <w:spacing w:after="0" w:line="247" w:lineRule="auto"/>
        <w:rPr>
          <w:sz w:val="20"/>
          <w:szCs w:val="20"/>
          <w:color w:val="auto"/>
        </w:rPr>
      </w:pPr>
      <w:r>
        <w:rPr>
          <w:rFonts w:ascii="Times New Roman" w:cs="Times New Roman" w:eastAsia="Times New Roman" w:hAnsi="Times New Roman"/>
          <w:sz w:val="16"/>
          <w:szCs w:val="16"/>
          <w:color w:val="auto"/>
        </w:rPr>
        <w:t>The management’s estimates of impairment provision of cryptocurrencies other than USDC are made based on the current market prices of cryptocurrencies as of each balance sheet date. Fluctuations in the market price of cryptocurrencies after the balance sheet date are not considered in determining the provision for impairment of cryptocurrencies other than USDC.</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ind w:left="300" w:hanging="294"/>
        <w:spacing w:after="0"/>
        <w:tabs>
          <w:tab w:leader="none" w:pos="30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PREPAYMENTS AND OTHER ASSETS</w:t>
      </w:r>
    </w:p>
    <w:p>
      <w:pPr>
        <w:spacing w:after="0" w:line="178"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breakdown of prepayments and other assets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199"/>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Prepayments to suppliers</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421,238</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266,478</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Deposits </w:t>
            </w:r>
            <w:r>
              <w:rPr>
                <w:rFonts w:ascii="Times New Roman" w:cs="Times New Roman" w:eastAsia="Times New Roman" w:hAnsi="Times New Roman"/>
                <w:sz w:val="25"/>
                <w:szCs w:val="25"/>
                <w:color w:val="auto"/>
                <w:vertAlign w:val="superscript"/>
              </w:rPr>
              <w:t>(1)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Deductible input value-added tax</w:t>
            </w:r>
          </w:p>
        </w:tc>
        <w:tc>
          <w:tcPr>
            <w:tcW w:w="1200" w:type="dxa"/>
            <w:vAlign w:val="bottom"/>
            <w:gridSpan w:val="3"/>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4,583</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5,407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Prepayments of income tax</w:t>
            </w:r>
          </w:p>
        </w:tc>
        <w:tc>
          <w:tcPr>
            <w:tcW w:w="1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2,459</w:t>
            </w:r>
          </w:p>
        </w:tc>
        <w:tc>
          <w:tcPr>
            <w:tcW w:w="18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465,163</w:t>
            </w:r>
          </w:p>
        </w:tc>
        <w:tc>
          <w:tcPr>
            <w:tcW w:w="1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310,173</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391,633</w:t>
            </w:r>
          </w:p>
        </w:tc>
        <w:tc>
          <w:tcPr>
            <w:tcW w:w="18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291,929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73,530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465,163</w:t>
            </w:r>
          </w:p>
        </w:tc>
        <w:tc>
          <w:tcPr>
            <w:tcW w:w="1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310,173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hanging="294"/>
        <w:spacing w:after="0" w:line="239" w:lineRule="auto"/>
        <w:tabs>
          <w:tab w:leader="none" w:pos="3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pays deposits to certain electricity service providers. In order to minimize the deposit paid to the electricity supplier, in April 2023, Bitdeer Inc., a subsidiary of the Group, has entered into a guaranty agreement (the “2023 Guaranty Agreement”) with one of the electricity suppliers to act as a guarantor to provide the assurance for the payment obligation of another subsidiary of the Group in connection with electricity service subscribed. The total liability of the guarantor is limited to the lesser of the guaranteed obligations under all agreements or US$13.0 million in each case. In February 2024, Bitdeer and Bitdeer, Inc. together entered into a guaranty agreement with the electricity supplier to amend the 2023 Guaranty Agreement and limit the guarantor’s total liability to the lesser of the guaranteed obligations under all agreement or US$30.0 million in each case.</w:t>
      </w:r>
    </w:p>
    <w:p>
      <w:pPr>
        <w:spacing w:after="0" w:line="161" w:lineRule="exact"/>
        <w:rPr>
          <w:sz w:val="20"/>
          <w:szCs w:val="20"/>
          <w:color w:val="auto"/>
        </w:rPr>
      </w:pPr>
    </w:p>
    <w:p>
      <w:pPr>
        <w:ind w:right="40" w:firstLine="288"/>
        <w:spacing w:after="0" w:line="259" w:lineRule="auto"/>
        <w:rPr>
          <w:sz w:val="20"/>
          <w:szCs w:val="20"/>
          <w:color w:val="auto"/>
        </w:rPr>
      </w:pPr>
      <w:r>
        <w:rPr>
          <w:rFonts w:ascii="Times New Roman" w:cs="Times New Roman" w:eastAsia="Times New Roman" w:hAnsi="Times New Roman"/>
          <w:sz w:val="16"/>
          <w:szCs w:val="16"/>
          <w:color w:val="auto"/>
        </w:rPr>
        <w:t>During the periods ended June 30, 2025 and 2024, the Group did not recognize any allowance for expected credit losses or impairment for prepayments and other assets.</w:t>
      </w:r>
    </w:p>
    <w:p>
      <w:pPr>
        <w:spacing w:after="0" w:line="141" w:lineRule="exact"/>
        <w:rPr>
          <w:sz w:val="20"/>
          <w:szCs w:val="20"/>
          <w:color w:val="auto"/>
        </w:rPr>
      </w:pPr>
    </w:p>
    <w:p>
      <w:pPr>
        <w:ind w:left="300" w:hanging="294"/>
        <w:spacing w:after="0"/>
        <w:tabs>
          <w:tab w:leader="none" w:pos="300"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INVENTORIES</w:t>
      </w:r>
    </w:p>
    <w:p>
      <w:pPr>
        <w:spacing w:after="0" w:line="178"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June 30, 2025 and December 31, 2024, the details of inventories are as follows:</w:t>
      </w:r>
    </w:p>
    <w:p>
      <w:pPr>
        <w:sectPr>
          <w:pgSz w:w="11900" w:h="16840" w:orient="portrait"/>
          <w:cols w:equalWidth="0" w:num="1">
            <w:col w:w="10600"/>
          </w:cols>
          <w:pgMar w:left="660" w:top="555" w:right="640" w:bottom="71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At</w:t>
            </w:r>
          </w:p>
        </w:tc>
        <w:tc>
          <w:tcPr>
            <w:tcW w:w="0" w:type="dxa"/>
            <w:vAlign w:val="bottom"/>
          </w:tcPr>
          <w:p>
            <w:pPr>
              <w:spacing w:after="0"/>
              <w:rPr>
                <w:sz w:val="1"/>
                <w:szCs w:val="1"/>
                <w:color w:val="auto"/>
              </w:rPr>
            </w:pPr>
          </w:p>
        </w:tc>
      </w:tr>
      <w:tr>
        <w:trPr>
          <w:trHeight w:val="180"/>
        </w:trPr>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8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Raw materials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79,795</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28,661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Work-in-progress</w:t>
            </w:r>
          </w:p>
        </w:tc>
        <w:tc>
          <w:tcPr>
            <w:tcW w:w="1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125,445</w:t>
            </w:r>
          </w:p>
        </w:tc>
        <w:tc>
          <w:tcPr>
            <w:tcW w:w="1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26,277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208,782</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64,888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During the periods ended June 30, 2025 and 2024, there were US$63.2 million and nil inventory recognized as expense and included in cost of revenue, respectively. Approximately US$146.8 million and US$0.3 million of inventories during the periods ended June 30, 2025 and 2024, respectively, was transferred to mining rigs. The Group did not record any write-down or reverse of write-down of inventories during the periods ended June 30, 2025 and 2024.</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ind w:left="300" w:right="5120" w:hanging="294"/>
        <w:spacing w:after="0" w:line="536" w:lineRule="auto"/>
        <w:tabs>
          <w:tab w:leader="none" w:pos="30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FINANCIAL ASSETS AT FAIR VALUE THROUGH PROFIT OR LOSS </w:t>
      </w:r>
      <w:r>
        <w:rPr>
          <w:rFonts w:ascii="Times New Roman" w:cs="Times New Roman" w:eastAsia="Times New Roman" w:hAnsi="Times New Roman"/>
          <w:sz w:val="14"/>
          <w:szCs w:val="14"/>
          <w:color w:val="auto"/>
        </w:rPr>
        <w:t>The breakdown of financial assets at fair value through profit or loss is as follows:</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199"/>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40" w:type="dxa"/>
            <w:vAlign w:val="bottom"/>
            <w:tcBorders>
              <w:top w:val="single" w:sz="8" w:color="auto"/>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Investments in unlisted equity instruments</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Investment A</w:t>
            </w:r>
          </w:p>
        </w:tc>
        <w:tc>
          <w:tcPr>
            <w:tcW w:w="1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Investment B</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Investment C</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9,557</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10,284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 Investment D – investment in a limited partnership set up by Matrixport Group </w:t>
            </w:r>
            <w:r>
              <w:rPr>
                <w:rFonts w:ascii="Times New Roman" w:cs="Times New Roman" w:eastAsia="Times New Roman" w:hAnsi="Times New Roman"/>
                <w:sz w:val="25"/>
                <w:szCs w:val="25"/>
                <w:color w:val="auto"/>
                <w:vertAlign w:val="superscript"/>
              </w:rPr>
              <w:t>(1)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19,292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Investment E</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1,500</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Investment F</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925</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Investment I</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2,009</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Investment J</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Investments in unlisted debt instruments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Investment G</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Investment H</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39,623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4,540</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35,083</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39,623</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6"/>
          <w:szCs w:val="26"/>
          <w:color w:val="auto"/>
          <w:vertAlign w:val="superscript"/>
        </w:rPr>
        <w:t>(1)</w:t>
      </w:r>
      <w:r>
        <w:rPr>
          <w:sz w:val="20"/>
          <w:szCs w:val="20"/>
          <w:color w:val="auto"/>
        </w:rPr>
        <w:tab/>
      </w:r>
      <w:r>
        <w:rPr>
          <w:rFonts w:ascii="Times New Roman" w:cs="Times New Roman" w:eastAsia="Times New Roman" w:hAnsi="Times New Roman"/>
          <w:sz w:val="14"/>
          <w:szCs w:val="14"/>
          <w:color w:val="auto"/>
        </w:rPr>
        <w:t>See Note 26.</w:t>
      </w:r>
    </w:p>
    <w:p>
      <w:pPr>
        <w:spacing w:after="0" w:line="61"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The above investments in unlisted debt and equity instruments at June 30, 2025 and December 31, 2024 were investments in funds and privately- held enterprises. These financial assets at fair value through profit or loss are measured at fair value using Levels 3 inputs with the assistance of an independent valuation specialist. Refer to Note 5 for more information. The Group does not have control or significant influence over the funds or privately-held enterprises.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MINING RIGS</w:t>
      </w:r>
    </w:p>
    <w:p>
      <w:pPr>
        <w:sectPr>
          <w:pgSz w:w="11900" w:h="16840" w:orient="portrait"/>
          <w:cols w:equalWidth="0" w:num="1">
            <w:col w:w="10560"/>
          </w:cols>
          <w:pgMar w:left="660" w:top="551" w:right="680" w:bottom="39" w:gutter="0" w:footer="0" w:header="0"/>
        </w:sectPr>
      </w:pP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details of mining rigs are as follows: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590740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5907405" cy="1524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6707505"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At January 1, 2025</w:t>
      </w:r>
    </w:p>
    <w:p>
      <w:pPr>
        <w:spacing w:after="0" w:line="194" w:lineRule="auto"/>
        <w:rPr>
          <w:sz w:val="20"/>
          <w:szCs w:val="20"/>
          <w:color w:val="auto"/>
        </w:rPr>
      </w:pPr>
      <w:r>
        <w:rPr>
          <w:rFonts w:ascii="Times New Roman" w:cs="Times New Roman" w:eastAsia="Times New Roman" w:hAnsi="Times New Roman"/>
          <w:sz w:val="16"/>
          <w:szCs w:val="16"/>
          <w:color w:val="auto"/>
        </w:rPr>
        <w:t xml:space="preserve">Additions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6707505" cy="144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At June 30, 2025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707505"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At January 1, 2025</w:t>
      </w:r>
    </w:p>
    <w:p>
      <w:pPr>
        <w:spacing w:after="0"/>
        <w:rPr>
          <w:sz w:val="20"/>
          <w:szCs w:val="20"/>
          <w:color w:val="auto"/>
        </w:rPr>
      </w:pPr>
      <w:r>
        <w:rPr>
          <w:rFonts w:ascii="Times New Roman" w:cs="Times New Roman" w:eastAsia="Times New Roman" w:hAnsi="Times New Roman"/>
          <w:sz w:val="16"/>
          <w:szCs w:val="16"/>
          <w:color w:val="auto"/>
        </w:rPr>
        <w:t>Charge for the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144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707505" cy="152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January 1,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144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707505" cy="152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At June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Mining Rigs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6985</wp:posOffset>
            </wp:positionV>
            <wp:extent cx="67056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70560" cy="15240"/>
                    </a:xfrm>
                    <a:prstGeom prst="rect">
                      <a:avLst/>
                    </a:prstGeom>
                    <a:noFill/>
                  </pic:spPr>
                </pic:pic>
              </a:graphicData>
            </a:graphic>
          </wp:anchor>
        </w:drawing>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184,905</w:t>
      </w:r>
    </w:p>
    <w:p>
      <w:pPr>
        <w:spacing w:after="0" w:line="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156,095</w:t>
      </w:r>
    </w:p>
    <w:p>
      <w:pPr>
        <w:spacing w:after="0" w:line="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341,000</w:t>
      </w:r>
    </w:p>
    <w:p>
      <w:pPr>
        <w:spacing w:after="0" w:line="2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(117,480)</w:t>
      </w:r>
    </w:p>
    <w:p>
      <w:pPr>
        <w:spacing w:after="0" w:line="1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(12,337)</w:t>
      </w:r>
    </w:p>
    <w:p>
      <w:pPr>
        <w:spacing w:after="0" w:line="1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(129,817)</w:t>
      </w:r>
    </w:p>
    <w:p>
      <w:pPr>
        <w:spacing w:after="0" w:line="20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(101)</w:t>
      </w:r>
    </w:p>
    <w:p>
      <w:pPr>
        <w:spacing w:after="0" w:line="5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(51)</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(152)</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211,031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28575</wp:posOffset>
            </wp:positionV>
            <wp:extent cx="67056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670560" cy="1524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8820" w:space="720"/>
            <w:col w:w="1020"/>
          </w:cols>
          <w:pgMar w:left="660" w:top="551" w:right="680" w:bottom="39"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6707505"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ectPr>
          <w:pgSz w:w="11900" w:h="16840" w:orient="portrait"/>
          <w:cols w:equalWidth="0" w:num="1">
            <w:col w:w="10560"/>
          </w:cols>
          <w:pgMar w:left="660" w:top="551" w:right="680" w:bottom="39"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60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6707505" cy="1600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 xml:space="preserve">Additions </w:t>
      </w:r>
      <w:r>
        <w:rPr>
          <w:rFonts w:ascii="Times New Roman" w:cs="Times New Roman" w:eastAsia="Times New Roman" w:hAnsi="Times New Roman"/>
          <w:sz w:val="26"/>
          <w:szCs w:val="26"/>
          <w:color w:val="auto"/>
          <w:vertAlign w:val="superscript"/>
        </w:rPr>
        <w:t>(1)</w:t>
      </w:r>
    </w:p>
    <w:p>
      <w:pPr>
        <w:spacing w:after="0"/>
        <w:rPr>
          <w:sz w:val="20"/>
          <w:szCs w:val="20"/>
          <w:color w:val="auto"/>
        </w:rPr>
      </w:pPr>
      <w:r>
        <w:rPr>
          <w:rFonts w:ascii="Times New Roman" w:cs="Times New Roman" w:eastAsia="Times New Roman" w:hAnsi="Times New Roman"/>
          <w:sz w:val="16"/>
          <w:szCs w:val="16"/>
          <w:color w:val="auto"/>
        </w:rPr>
        <w:t>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29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Accumulated depreciation: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Charge for the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6707505" cy="129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January 1,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144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707505" cy="152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At June 30, 2024</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168,513</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1,136</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169,649</w:t>
      </w:r>
    </w:p>
    <w:p>
      <w:pPr>
        <w:spacing w:after="0" w:line="2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(104,935)</w:t>
      </w:r>
    </w:p>
    <w:p>
      <w:pPr>
        <w:spacing w:after="0" w:line="3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(9,487)</w:t>
      </w:r>
    </w:p>
    <w:p>
      <w:pPr>
        <w:spacing w:after="0" w:line="1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(114,422)</w:t>
      </w:r>
    </w:p>
    <w:p>
      <w:pPr>
        <w:spacing w:after="0" w:line="2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(101)</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(101)</w:t>
      </w: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55,126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28575</wp:posOffset>
            </wp:positionV>
            <wp:extent cx="67056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670560" cy="15240"/>
                    </a:xfrm>
                    <a:prstGeom prst="rect">
                      <a:avLst/>
                    </a:prstGeom>
                    <a:noFill/>
                  </pic:spPr>
                </pic:pic>
              </a:graphicData>
            </a:graphic>
          </wp:anchor>
        </w:drawing>
      </w:r>
    </w:p>
    <w:p>
      <w:pPr>
        <w:spacing w:after="0" w:line="152" w:lineRule="exact"/>
        <w:rPr>
          <w:sz w:val="20"/>
          <w:szCs w:val="20"/>
          <w:color w:val="auto"/>
        </w:rPr>
      </w:pPr>
    </w:p>
    <w:p>
      <w:pPr>
        <w:sectPr>
          <w:pgSz w:w="11900" w:h="16840" w:orient="portrait"/>
          <w:cols w:equalWidth="0" w:num="2">
            <w:col w:w="9180" w:space="720"/>
            <w:col w:w="660"/>
          </w:cols>
          <w:pgMar w:left="660" w:top="737" w:right="680" w:bottom="73" w:gutter="0" w:footer="0" w:header="0"/>
        </w:sectPr>
      </w:pPr>
    </w:p>
    <w:p>
      <w:pPr>
        <w:ind w:left="300" w:hanging="294"/>
        <w:spacing w:after="0"/>
        <w:tabs>
          <w:tab w:leader="none" w:pos="30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Approximately US$146.8 million and US$0.3 million of addition to mining rigs during the periods ended June 30, 2025 and 2024 was transferred from inventories.</w:t>
      </w:r>
    </w:p>
    <w:p>
      <w:pPr>
        <w:spacing w:after="0" w:line="349" w:lineRule="exact"/>
        <w:rPr>
          <w:rFonts w:ascii="Times New Roman" w:cs="Times New Roman" w:eastAsia="Times New Roman" w:hAnsi="Times New Roman"/>
          <w:sz w:val="25"/>
          <w:szCs w:val="25"/>
          <w:color w:val="auto"/>
          <w:vertAlign w:val="superscript"/>
        </w:rPr>
      </w:pPr>
    </w:p>
    <w:p>
      <w:pPr>
        <w:ind w:left="51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ind w:left="300" w:hanging="294"/>
        <w:spacing w:after="0"/>
        <w:tabs>
          <w:tab w:leader="none" w:pos="300"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PLANT AND EQUIPMENT</w:t>
      </w:r>
    </w:p>
    <w:p>
      <w:pPr>
        <w:spacing w:after="0" w:line="178"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details of property, plant and equipment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5"/>
              </w:rPr>
              <w:t>Leasehold</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1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improvements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Construction</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81"/>
              <w:spacing w:after="0" w:line="180" w:lineRule="exact"/>
              <w:rPr>
                <w:sz w:val="20"/>
                <w:szCs w:val="20"/>
                <w:color w:val="auto"/>
              </w:rPr>
            </w:pPr>
            <w:r>
              <w:rPr>
                <w:rFonts w:ascii="Times New Roman" w:cs="Times New Roman" w:eastAsia="Times New Roman" w:hAnsi="Times New Roman"/>
                <w:sz w:val="16"/>
                <w:szCs w:val="16"/>
                <w:b w:val="1"/>
                <w:bCs w:val="1"/>
                <w:color w:val="auto"/>
                <w:w w:val="99"/>
              </w:rPr>
              <w:t>Electronic</w:t>
            </w:r>
          </w:p>
        </w:tc>
        <w:tc>
          <w:tcPr>
            <w:tcW w:w="1180" w:type="dxa"/>
            <w:vAlign w:val="bottom"/>
            <w:gridSpan w:val="2"/>
          </w:tcPr>
          <w:p>
            <w:pPr>
              <w:jc w:val="center"/>
              <w:ind w:right="1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and property</w:t>
            </w:r>
          </w:p>
        </w:tc>
        <w:tc>
          <w:tcPr>
            <w:tcW w:w="116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Containerized</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 progress</w:t>
            </w:r>
          </w:p>
        </w:tc>
        <w:tc>
          <w:tcPr>
            <w:tcW w:w="8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Building</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Land</w:t>
            </w: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6"/>
              </w:rPr>
              <w:t>Machinery</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5"/>
              </w:rPr>
              <w:t>equipment</w:t>
            </w:r>
          </w:p>
        </w:tc>
        <w:tc>
          <w:tcPr>
            <w:tcW w:w="118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6"/>
              </w:rPr>
              <w:t>improvements</w:t>
            </w: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solution</w:t>
            </w:r>
          </w:p>
        </w:tc>
        <w:tc>
          <w:tcPr>
            <w:tcW w:w="9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8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176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January 1, 2025</w:t>
            </w:r>
          </w:p>
        </w:tc>
        <w:tc>
          <w:tcPr>
            <w:tcW w:w="116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144,098</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28,768</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3,133</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49,933</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33,264</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120,342</w:t>
            </w:r>
          </w:p>
        </w:tc>
        <w:tc>
          <w:tcPr>
            <w:tcW w:w="116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9,223</w:t>
            </w:r>
          </w:p>
        </w:tc>
        <w:tc>
          <w:tcPr>
            <w:tcW w:w="900" w:type="dxa"/>
            <w:vAlign w:val="bottom"/>
            <w:gridSpan w:val="2"/>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2,485</w:t>
            </w:r>
          </w:p>
        </w:tc>
        <w:tc>
          <w:tcPr>
            <w:tcW w:w="8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391,246</w:t>
            </w:r>
          </w:p>
        </w:tc>
        <w:tc>
          <w:tcPr>
            <w:tcW w:w="0" w:type="dxa"/>
            <w:vAlign w:val="bottom"/>
          </w:tcPr>
          <w:p>
            <w:pPr>
              <w:spacing w:after="0"/>
              <w:rPr>
                <w:sz w:val="1"/>
                <w:szCs w:val="1"/>
                <w:color w:val="auto"/>
              </w:rPr>
            </w:pPr>
          </w:p>
        </w:tc>
      </w:tr>
      <w:tr>
        <w:trPr>
          <w:trHeight w:val="216"/>
        </w:trPr>
        <w:tc>
          <w:tcPr>
            <w:tcW w:w="176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Additions </w:t>
            </w:r>
            <w:r>
              <w:rPr>
                <w:rFonts w:ascii="Times New Roman" w:cs="Times New Roman" w:eastAsia="Times New Roman" w:hAnsi="Times New Roman"/>
                <w:sz w:val="25"/>
                <w:szCs w:val="25"/>
                <w:color w:val="auto"/>
                <w:vertAlign w:val="superscript"/>
              </w:rPr>
              <w:t>(1)</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123,936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3,438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8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1,012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129,245</w:t>
            </w: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Construction in progress</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transferred in</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(100,617)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21,889</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34,211</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33,558</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9,912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Disposals</w:t>
            </w:r>
          </w:p>
        </w:tc>
        <w:tc>
          <w:tcPr>
            <w:tcW w:w="116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(423)</w:t>
            </w:r>
          </w:p>
        </w:tc>
        <w:tc>
          <w:tcPr>
            <w:tcW w:w="94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(558)</w:t>
            </w:r>
          </w:p>
        </w:tc>
        <w:tc>
          <w:tcPr>
            <w:tcW w:w="118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80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(1,054)</w:t>
            </w:r>
          </w:p>
        </w:tc>
        <w:tc>
          <w:tcPr>
            <w:tcW w:w="0" w:type="dxa"/>
            <w:vAlign w:val="bottom"/>
          </w:tcPr>
          <w:p>
            <w:pPr>
              <w:spacing w:after="0"/>
              <w:rPr>
                <w:sz w:val="1"/>
                <w:szCs w:val="1"/>
                <w:color w:val="auto"/>
              </w:rPr>
            </w:pPr>
          </w:p>
        </w:tc>
      </w:tr>
      <w:tr>
        <w:trPr>
          <w:trHeight w:val="21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w:t>
            </w:r>
          </w:p>
        </w:tc>
        <w:tc>
          <w:tcPr>
            <w:tcW w:w="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(16)</w:t>
            </w:r>
          </w:p>
        </w:tc>
        <w:tc>
          <w:tcPr>
            <w:tcW w:w="1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7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At June 30, 2025</w:t>
            </w:r>
          </w:p>
        </w:tc>
        <w:tc>
          <w:tcPr>
            <w:tcW w:w="80" w:type="dxa"/>
            <w:vAlign w:val="bottom"/>
            <w:tcBorders>
              <w:top w:val="single" w:sz="8" w:color="CCEEFF"/>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167,417</w:t>
            </w:r>
          </w:p>
        </w:tc>
        <w:tc>
          <w:tcPr>
            <w:tcW w:w="160" w:type="dxa"/>
            <w:vAlign w:val="bottom"/>
            <w:tcBorders>
              <w:top w:val="single" w:sz="8" w:color="CCEEFF"/>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51,235</w:t>
            </w:r>
          </w:p>
        </w:tc>
        <w:tc>
          <w:tcPr>
            <w:tcW w:w="180" w:type="dxa"/>
            <w:vAlign w:val="bottom"/>
            <w:tcBorders>
              <w:top w:val="single" w:sz="8" w:color="CCEEFF"/>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6,619</w:t>
            </w:r>
          </w:p>
        </w:tc>
        <w:tc>
          <w:tcPr>
            <w:tcW w:w="18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83,827</w:t>
            </w:r>
          </w:p>
        </w:tc>
        <w:tc>
          <w:tcPr>
            <w:tcW w:w="180" w:type="dxa"/>
            <w:vAlign w:val="bottom"/>
            <w:tcBorders>
              <w:top w:val="single" w:sz="8" w:color="CCEEFF"/>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34,320</w:t>
            </w:r>
          </w:p>
        </w:tc>
        <w:tc>
          <w:tcPr>
            <w:tcW w:w="180" w:type="dxa"/>
            <w:vAlign w:val="bottom"/>
            <w:tcBorders>
              <w:top w:val="single" w:sz="8" w:color="CCEEFF"/>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154,030</w:t>
            </w:r>
          </w:p>
        </w:tc>
        <w:tc>
          <w:tcPr>
            <w:tcW w:w="200" w:type="dxa"/>
            <w:vAlign w:val="bottom"/>
            <w:tcBorders>
              <w:top w:val="single" w:sz="8" w:color="CCEEFF"/>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19,135</w:t>
            </w:r>
          </w:p>
        </w:tc>
        <w:tc>
          <w:tcPr>
            <w:tcW w:w="180" w:type="dxa"/>
            <w:vAlign w:val="bottom"/>
            <w:tcBorders>
              <w:top w:val="single" w:sz="8" w:color="CCEEFF"/>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2,883</w:t>
            </w:r>
          </w:p>
        </w:tc>
        <w:tc>
          <w:tcPr>
            <w:tcW w:w="200" w:type="dxa"/>
            <w:vAlign w:val="bottom"/>
            <w:tcBorders>
              <w:top w:val="single" w:sz="8" w:color="CCEEFF"/>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519,466</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At January 1, 2025</w:t>
            </w:r>
          </w:p>
        </w:tc>
        <w:tc>
          <w:tcPr>
            <w:tcW w:w="116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(6,095)</w:t>
            </w:r>
          </w:p>
        </w:tc>
        <w:tc>
          <w:tcPr>
            <w:tcW w:w="8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(20,305)</w:t>
            </w:r>
          </w:p>
        </w:tc>
        <w:tc>
          <w:tcPr>
            <w:tcW w:w="94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(9,162)</w:t>
            </w:r>
          </w:p>
        </w:tc>
        <w:tc>
          <w:tcPr>
            <w:tcW w:w="118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(97,247)</w:t>
            </w:r>
          </w:p>
        </w:tc>
        <w:tc>
          <w:tcPr>
            <w:tcW w:w="116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(5,130)</w:t>
            </w:r>
          </w:p>
        </w:tc>
        <w:tc>
          <w:tcPr>
            <w:tcW w:w="90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(1,930)</w:t>
            </w:r>
          </w:p>
        </w:tc>
        <w:tc>
          <w:tcPr>
            <w:tcW w:w="80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(139,869)</w:t>
            </w:r>
          </w:p>
        </w:tc>
        <w:tc>
          <w:tcPr>
            <w:tcW w:w="0" w:type="dxa"/>
            <w:vAlign w:val="bottom"/>
          </w:tcPr>
          <w:p>
            <w:pPr>
              <w:spacing w:after="0"/>
              <w:rPr>
                <w:sz w:val="1"/>
                <w:szCs w:val="1"/>
                <w:color w:val="auto"/>
              </w:rPr>
            </w:pPr>
          </w:p>
        </w:tc>
      </w:tr>
      <w:tr>
        <w:trPr>
          <w:trHeight w:val="180"/>
        </w:trPr>
        <w:tc>
          <w:tcPr>
            <w:tcW w:w="17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Charge for the period</w:t>
            </w:r>
          </w:p>
        </w:tc>
        <w:tc>
          <w:tcPr>
            <w:tcW w:w="116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(855)</w:t>
            </w:r>
          </w:p>
        </w:tc>
        <w:tc>
          <w:tcPr>
            <w:tcW w:w="82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(3,445)</w:t>
            </w:r>
          </w:p>
        </w:tc>
        <w:tc>
          <w:tcPr>
            <w:tcW w:w="94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(3,006)</w:t>
            </w:r>
          </w:p>
        </w:tc>
        <w:tc>
          <w:tcPr>
            <w:tcW w:w="118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(11,124)</w:t>
            </w:r>
          </w:p>
        </w:tc>
        <w:tc>
          <w:tcPr>
            <w:tcW w:w="116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(1,180)</w:t>
            </w:r>
          </w:p>
        </w:tc>
        <w:tc>
          <w:tcPr>
            <w:tcW w:w="90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80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(19,817)</w:t>
            </w: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Disposals</w:t>
            </w:r>
          </w:p>
        </w:tc>
        <w:tc>
          <w:tcPr>
            <w:tcW w:w="116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530</w:t>
            </w:r>
          </w:p>
        </w:tc>
        <w:tc>
          <w:tcPr>
            <w:tcW w:w="180" w:type="dxa"/>
            <w:vAlign w:val="bottom"/>
          </w:tcPr>
          <w:p>
            <w:pPr>
              <w:spacing w:after="0"/>
              <w:rPr>
                <w:sz w:val="15"/>
                <w:szCs w:val="15"/>
                <w:color w:val="auto"/>
              </w:rPr>
            </w:pPr>
          </w:p>
        </w:tc>
        <w:tc>
          <w:tcPr>
            <w:tcW w:w="118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2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7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At June 30, 2025</w:t>
            </w:r>
          </w:p>
        </w:tc>
        <w:tc>
          <w:tcPr>
            <w:tcW w:w="80" w:type="dxa"/>
            <w:vAlign w:val="bottom"/>
            <w:tcBorders>
              <w:top w:val="single" w:sz="8" w:color="CCEEFF"/>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(6,949</w:t>
            </w:r>
          </w:p>
        </w:tc>
        <w:tc>
          <w:tcPr>
            <w:tcW w:w="180" w:type="dxa"/>
            <w:vAlign w:val="bottom"/>
            <w:tcBorders>
              <w:top w:val="single" w:sz="8" w:color="CCEEFF"/>
              <w:bottom w:val="single" w:sz="8" w:color="CCEEFF"/>
            </w:tcBorders>
          </w:tcPr>
          <w:p>
            <w:pPr>
              <w:jc w:val="right"/>
              <w:ind w:right="4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(23,360</w:t>
            </w:r>
          </w:p>
        </w:tc>
        <w:tc>
          <w:tcPr>
            <w:tcW w:w="18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(11,638</w:t>
            </w:r>
          </w:p>
        </w:tc>
        <w:tc>
          <w:tcPr>
            <w:tcW w:w="18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9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(108,371</w:t>
            </w:r>
          </w:p>
        </w:tc>
        <w:tc>
          <w:tcPr>
            <w:tcW w:w="200" w:type="dxa"/>
            <w:vAlign w:val="bottom"/>
            <w:tcBorders>
              <w:top w:val="single" w:sz="8" w:color="CCEEFF"/>
              <w:bottom w:val="single" w:sz="8" w:color="CCEEFF"/>
            </w:tcBorders>
          </w:tcPr>
          <w:p>
            <w:pPr>
              <w:jc w:val="right"/>
              <w:ind w:right="6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(6,310</w:t>
            </w:r>
          </w:p>
        </w:tc>
        <w:tc>
          <w:tcPr>
            <w:tcW w:w="18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(2,058</w:t>
            </w:r>
          </w:p>
        </w:tc>
        <w:tc>
          <w:tcPr>
            <w:tcW w:w="200" w:type="dxa"/>
            <w:vAlign w:val="bottom"/>
            <w:tcBorders>
              <w:top w:val="single" w:sz="8" w:color="CCEEFF"/>
              <w:bottom w:val="single" w:sz="8" w:color="CCEEFF"/>
            </w:tcBorders>
          </w:tcPr>
          <w:p>
            <w:pPr>
              <w:jc w:val="right"/>
              <w:ind w:right="6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(158,686</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0"/>
        </w:trPr>
        <w:tc>
          <w:tcPr>
            <w:tcW w:w="17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At June 30, 2025</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167,417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44,286</w:t>
            </w:r>
          </w:p>
        </w:tc>
        <w:tc>
          <w:tcPr>
            <w:tcW w:w="18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6,619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60,467</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22,682</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45,659</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12,825</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00" w:type="dxa"/>
            <w:vAlign w:val="bottom"/>
          </w:tcPr>
          <w:p>
            <w:pPr>
              <w:spacing w:after="0"/>
              <w:rPr>
                <w:sz w:val="22"/>
                <w:szCs w:val="22"/>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360,780</w:t>
            </w:r>
          </w:p>
        </w:tc>
        <w:tc>
          <w:tcPr>
            <w:tcW w:w="0" w:type="dxa"/>
            <w:vAlign w:val="bottom"/>
          </w:tcPr>
          <w:p>
            <w:pPr>
              <w:spacing w:after="0"/>
              <w:rPr>
                <w:sz w:val="1"/>
                <w:szCs w:val="1"/>
                <w:color w:val="auto"/>
              </w:rPr>
            </w:pPr>
          </w:p>
        </w:tc>
      </w:tr>
      <w:tr>
        <w:trPr>
          <w:trHeight w:val="176"/>
        </w:trPr>
        <w:tc>
          <w:tcPr>
            <w:tcW w:w="176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At January 1, 2024</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30,095</w:t>
            </w:r>
          </w:p>
        </w:tc>
        <w:tc>
          <w:tcPr>
            <w:tcW w:w="16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27,364</w:t>
            </w:r>
          </w:p>
        </w:tc>
        <w:tc>
          <w:tcPr>
            <w:tcW w:w="180" w:type="dxa"/>
            <w:vAlign w:val="bottom"/>
          </w:tcPr>
          <w:p>
            <w:pPr>
              <w:spacing w:after="0"/>
              <w:rPr>
                <w:sz w:val="15"/>
                <w:szCs w:val="15"/>
                <w:color w:val="auto"/>
              </w:rPr>
            </w:pPr>
          </w:p>
        </w:tc>
        <w:tc>
          <w:tcPr>
            <w:tcW w:w="8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2,058</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48,738</w:t>
            </w: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15,286</w:t>
            </w:r>
          </w:p>
        </w:tc>
        <w:tc>
          <w:tcPr>
            <w:tcW w:w="180" w:type="dxa"/>
            <w:vAlign w:val="bottom"/>
          </w:tcPr>
          <w:p>
            <w:pPr>
              <w:spacing w:after="0"/>
              <w:rPr>
                <w:sz w:val="15"/>
                <w:szCs w:val="15"/>
                <w:color w:val="auto"/>
              </w:rPr>
            </w:pPr>
          </w:p>
        </w:tc>
        <w:tc>
          <w:tcPr>
            <w:tcW w:w="118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117,808</w:t>
            </w:r>
          </w:p>
        </w:tc>
        <w:tc>
          <w:tcPr>
            <w:tcW w:w="116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9,048</w:t>
            </w:r>
          </w:p>
        </w:tc>
        <w:tc>
          <w:tcPr>
            <w:tcW w:w="90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2,532</w:t>
            </w:r>
          </w:p>
        </w:tc>
        <w:tc>
          <w:tcPr>
            <w:tcW w:w="8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252,929</w:t>
            </w:r>
          </w:p>
        </w:tc>
        <w:tc>
          <w:tcPr>
            <w:tcW w:w="0" w:type="dxa"/>
            <w:vAlign w:val="bottom"/>
          </w:tcPr>
          <w:p>
            <w:pPr>
              <w:spacing w:after="0"/>
              <w:rPr>
                <w:sz w:val="1"/>
                <w:szCs w:val="1"/>
                <w:color w:val="auto"/>
              </w:rPr>
            </w:pPr>
          </w:p>
        </w:tc>
      </w:tr>
      <w:tr>
        <w:trPr>
          <w:trHeight w:val="180"/>
        </w:trPr>
        <w:tc>
          <w:tcPr>
            <w:tcW w:w="17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48,159</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897</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12,749</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140</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62,167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Acquired through the</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business combination</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 6)</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1,091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6"/>
                <w:szCs w:val="16"/>
                <w:color w:val="auto"/>
              </w:rPr>
            </w:pPr>
          </w:p>
        </w:tc>
        <w:tc>
          <w:tcPr>
            <w:tcW w:w="11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Pr>
          <w:p>
            <w:pPr>
              <w:spacing w:after="0"/>
              <w:rPr>
                <w:sz w:val="16"/>
                <w:szCs w:val="16"/>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Construction in progress</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transferred in</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(2,172)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Disposals</w:t>
            </w:r>
          </w:p>
        </w:tc>
        <w:tc>
          <w:tcPr>
            <w:tcW w:w="116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(9)</w:t>
            </w:r>
          </w:p>
        </w:tc>
        <w:tc>
          <w:tcPr>
            <w:tcW w:w="94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18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(626)</w:t>
            </w:r>
          </w:p>
        </w:tc>
        <w:tc>
          <w:tcPr>
            <w:tcW w:w="80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1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7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At June 30, 2024</w:t>
            </w:r>
          </w:p>
        </w:tc>
        <w:tc>
          <w:tcPr>
            <w:tcW w:w="80" w:type="dxa"/>
            <w:vAlign w:val="bottom"/>
            <w:tcBorders>
              <w:top w:val="single" w:sz="8" w:color="CCEEFF"/>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76,082</w:t>
            </w:r>
          </w:p>
        </w:tc>
        <w:tc>
          <w:tcPr>
            <w:tcW w:w="160" w:type="dxa"/>
            <w:vAlign w:val="bottom"/>
            <w:tcBorders>
              <w:top w:val="single" w:sz="8" w:color="CCEEFF"/>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28,593</w:t>
            </w:r>
          </w:p>
        </w:tc>
        <w:tc>
          <w:tcPr>
            <w:tcW w:w="180" w:type="dxa"/>
            <w:vAlign w:val="bottom"/>
            <w:tcBorders>
              <w:top w:val="single" w:sz="8" w:color="CCEEFF"/>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3,156</w:t>
            </w:r>
          </w:p>
        </w:tc>
        <w:tc>
          <w:tcPr>
            <w:tcW w:w="18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49,866</w:t>
            </w:r>
          </w:p>
        </w:tc>
        <w:tc>
          <w:tcPr>
            <w:tcW w:w="180" w:type="dxa"/>
            <w:vAlign w:val="bottom"/>
            <w:tcBorders>
              <w:top w:val="single" w:sz="8" w:color="CCEEFF"/>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27,904</w:t>
            </w:r>
          </w:p>
        </w:tc>
        <w:tc>
          <w:tcPr>
            <w:tcW w:w="180" w:type="dxa"/>
            <w:vAlign w:val="bottom"/>
            <w:tcBorders>
              <w:top w:val="single" w:sz="8" w:color="CCEEFF"/>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118,597</w:t>
            </w:r>
          </w:p>
        </w:tc>
        <w:tc>
          <w:tcPr>
            <w:tcW w:w="200" w:type="dxa"/>
            <w:vAlign w:val="bottom"/>
            <w:tcBorders>
              <w:top w:val="single" w:sz="8" w:color="CCEEFF"/>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9,100</w:t>
            </w:r>
          </w:p>
        </w:tc>
        <w:tc>
          <w:tcPr>
            <w:tcW w:w="180" w:type="dxa"/>
            <w:vAlign w:val="bottom"/>
            <w:tcBorders>
              <w:top w:val="single" w:sz="8" w:color="CCEEFF"/>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2,345</w:t>
            </w:r>
          </w:p>
        </w:tc>
        <w:tc>
          <w:tcPr>
            <w:tcW w:w="200" w:type="dxa"/>
            <w:vAlign w:val="bottom"/>
            <w:tcBorders>
              <w:top w:val="single" w:sz="8" w:color="CCEEFF"/>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315,643</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At January 1, 2024</w:t>
            </w:r>
          </w:p>
        </w:tc>
        <w:tc>
          <w:tcPr>
            <w:tcW w:w="116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(4,631)</w:t>
            </w:r>
          </w:p>
        </w:tc>
        <w:tc>
          <w:tcPr>
            <w:tcW w:w="8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(13,462)</w:t>
            </w:r>
          </w:p>
        </w:tc>
        <w:tc>
          <w:tcPr>
            <w:tcW w:w="94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(4,449)</w:t>
            </w:r>
          </w:p>
        </w:tc>
        <w:tc>
          <w:tcPr>
            <w:tcW w:w="118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(70,978)</w:t>
            </w:r>
          </w:p>
        </w:tc>
        <w:tc>
          <w:tcPr>
            <w:tcW w:w="116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(2,893)</w:t>
            </w:r>
          </w:p>
        </w:tc>
        <w:tc>
          <w:tcPr>
            <w:tcW w:w="90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(1,656)</w:t>
            </w:r>
          </w:p>
        </w:tc>
        <w:tc>
          <w:tcPr>
            <w:tcW w:w="80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(98,069)</w:t>
            </w:r>
          </w:p>
        </w:tc>
        <w:tc>
          <w:tcPr>
            <w:tcW w:w="0" w:type="dxa"/>
            <w:vAlign w:val="bottom"/>
          </w:tcPr>
          <w:p>
            <w:pPr>
              <w:spacing w:after="0"/>
              <w:rPr>
                <w:sz w:val="1"/>
                <w:szCs w:val="1"/>
                <w:color w:val="auto"/>
              </w:rPr>
            </w:pPr>
          </w:p>
        </w:tc>
      </w:tr>
      <w:tr>
        <w:trPr>
          <w:trHeight w:val="180"/>
        </w:trPr>
        <w:tc>
          <w:tcPr>
            <w:tcW w:w="17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Charge for the period</w:t>
            </w:r>
          </w:p>
        </w:tc>
        <w:tc>
          <w:tcPr>
            <w:tcW w:w="116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(713)</w:t>
            </w:r>
          </w:p>
        </w:tc>
        <w:tc>
          <w:tcPr>
            <w:tcW w:w="82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(3,417)</w:t>
            </w:r>
          </w:p>
        </w:tc>
        <w:tc>
          <w:tcPr>
            <w:tcW w:w="94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(2,227)</w:t>
            </w:r>
          </w:p>
        </w:tc>
        <w:tc>
          <w:tcPr>
            <w:tcW w:w="118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(13,390)</w:t>
            </w:r>
          </w:p>
        </w:tc>
        <w:tc>
          <w:tcPr>
            <w:tcW w:w="116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(1,115)</w:t>
            </w:r>
          </w:p>
        </w:tc>
        <w:tc>
          <w:tcPr>
            <w:tcW w:w="90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(530)</w:t>
            </w:r>
          </w:p>
        </w:tc>
        <w:tc>
          <w:tcPr>
            <w:tcW w:w="80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(21,392)</w:t>
            </w:r>
          </w:p>
        </w:tc>
        <w:tc>
          <w:tcPr>
            <w:tcW w:w="0" w:type="dxa"/>
            <w:vAlign w:val="bottom"/>
          </w:tcPr>
          <w:p>
            <w:pPr>
              <w:spacing w:after="0"/>
              <w:rPr>
                <w:sz w:val="1"/>
                <w:szCs w:val="1"/>
                <w:color w:val="auto"/>
              </w:rPr>
            </w:pPr>
          </w:p>
        </w:tc>
      </w:tr>
      <w:tr>
        <w:trPr>
          <w:trHeight w:val="192"/>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tcPr>
          <w:p>
            <w:pPr>
              <w:spacing w:after="0"/>
              <w:rPr>
                <w:sz w:val="16"/>
                <w:szCs w:val="16"/>
                <w:color w:val="auto"/>
              </w:rPr>
            </w:pPr>
          </w:p>
        </w:tc>
        <w:tc>
          <w:tcPr>
            <w:tcW w:w="11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At June 30, 2024</w:t>
            </w: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760" w:type="dxa"/>
            <w:vAlign w:val="bottom"/>
            <w:vMerge w:val="continue"/>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(5,344)</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(16,874)</w:t>
            </w:r>
          </w:p>
        </w:tc>
        <w:tc>
          <w:tcPr>
            <w:tcW w:w="940" w:type="dxa"/>
            <w:vAlign w:val="bottom"/>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(6,554)</w:t>
            </w:r>
          </w:p>
        </w:tc>
        <w:tc>
          <w:tcPr>
            <w:tcW w:w="118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(84,368)</w:t>
            </w:r>
          </w:p>
        </w:tc>
        <w:tc>
          <w:tcPr>
            <w:tcW w:w="1160" w:type="dxa"/>
            <w:vAlign w:val="bottom"/>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(4,008)</w:t>
            </w:r>
          </w:p>
        </w:tc>
        <w:tc>
          <w:tcPr>
            <w:tcW w:w="90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(1,746)</w:t>
            </w:r>
          </w:p>
        </w:tc>
        <w:tc>
          <w:tcPr>
            <w:tcW w:w="8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(118,894)</w:t>
            </w:r>
          </w:p>
        </w:tc>
        <w:tc>
          <w:tcPr>
            <w:tcW w:w="0" w:type="dxa"/>
            <w:vAlign w:val="bottom"/>
          </w:tcPr>
          <w:p>
            <w:pPr>
              <w:spacing w:after="0"/>
              <w:rPr>
                <w:sz w:val="1"/>
                <w:szCs w:val="1"/>
                <w:color w:val="auto"/>
              </w:rPr>
            </w:pPr>
          </w:p>
        </w:tc>
      </w:tr>
      <w:tr>
        <w:trPr>
          <w:trHeight w:val="153"/>
        </w:trPr>
        <w:tc>
          <w:tcPr>
            <w:tcW w:w="176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6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8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June 30, 2024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76,082</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23,249</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3,156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21,350</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34,229</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5,092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196,749</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hanging="294"/>
        <w:spacing w:after="0" w:line="243" w:lineRule="auto"/>
        <w:tabs>
          <w:tab w:leader="none" w:pos="3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June 30, 2025, the additions of construction in progress are inclusive of capitalized interest from borrowings, including borrowings from a related party and lease liabilities amounting to approximately US$5.5 million and US$0.2 million, respectively. Interests were capitalized at a capitalization rate of 12.0% per annum, which represents the weighted average of the borrowing costs applicable to the Group’s borrowings that were outstanding during the period. There was no interest capitalized for the six months ended June 30, 2024.</w:t>
      </w:r>
    </w:p>
    <w:p>
      <w:pPr>
        <w:spacing w:after="0" w:line="155"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in progress primarily represents the construction of mining datacenters.</w:t>
      </w:r>
    </w:p>
    <w:p>
      <w:pPr>
        <w:spacing w:after="0" w:line="176" w:lineRule="exact"/>
        <w:rPr>
          <w:sz w:val="20"/>
          <w:szCs w:val="20"/>
          <w:color w:val="auto"/>
        </w:rPr>
      </w:pPr>
    </w:p>
    <w:p>
      <w:pPr>
        <w:ind w:firstLine="288"/>
        <w:spacing w:after="0" w:line="259" w:lineRule="auto"/>
        <w:rPr>
          <w:sz w:val="20"/>
          <w:szCs w:val="20"/>
          <w:color w:val="auto"/>
        </w:rPr>
      </w:pPr>
      <w:r>
        <w:rPr>
          <w:rFonts w:ascii="Times New Roman" w:cs="Times New Roman" w:eastAsia="Times New Roman" w:hAnsi="Times New Roman"/>
          <w:sz w:val="16"/>
          <w:szCs w:val="16"/>
          <w:color w:val="auto"/>
        </w:rPr>
        <w:t>The Group had entered into contractual commitments, which was not recognized in payables, for the acquisition of property, plant and equipment amounting to approximately US$50.5 million and US$44.9 million as of June 30, 2025 and December 31, 2024, respectively.</w:t>
      </w:r>
    </w:p>
    <w:p>
      <w:pPr>
        <w:sectPr>
          <w:pgSz w:w="11900" w:h="16840" w:orient="portrait"/>
          <w:cols w:equalWidth="0" w:num="1">
            <w:col w:w="10560"/>
          </w:cols>
          <w:pgMar w:left="660" w:top="737" w:right="680" w:bottom="73" w:gutter="0" w:footer="0" w:header="0"/>
          <w:type w:val="continuous"/>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670750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737" w:right="680" w:bottom="73"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ind w:left="300" w:hanging="294"/>
        <w:spacing w:after="0"/>
        <w:tabs>
          <w:tab w:leader="none" w:pos="30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 PROPERTIES</w:t>
      </w:r>
    </w:p>
    <w:p>
      <w:pPr>
        <w:spacing w:after="0" w:line="178"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details of investment properties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20" w:type="dxa"/>
            <w:vAlign w:val="bottom"/>
          </w:tcPr>
          <w:p>
            <w:pPr>
              <w:spacing w:after="0"/>
              <w:rPr>
                <w:sz w:val="17"/>
                <w:szCs w:val="17"/>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Leasehold land</w:t>
            </w:r>
          </w:p>
        </w:tc>
        <w:tc>
          <w:tcPr>
            <w:tcW w:w="1280" w:type="dxa"/>
            <w:vAlign w:val="bottom"/>
            <w:gridSpan w:val="2"/>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Building</w:t>
            </w:r>
          </w:p>
        </w:tc>
        <w:tc>
          <w:tcPr>
            <w:tcW w:w="1240" w:type="dxa"/>
            <w:vAlign w:val="bottom"/>
            <w:gridSpan w:val="2"/>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1140" w:type="dxa"/>
            <w:vAlign w:val="bottom"/>
            <w:gridSpan w:val="2"/>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5500" w:type="dxa"/>
            <w:vAlign w:val="bottom"/>
            <w:tcBorders>
              <w:top w:val="single" w:sz="8" w:color="auto"/>
            </w:tcBorders>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January 1, 2025</w:t>
            </w:r>
          </w:p>
        </w:tc>
        <w:tc>
          <w:tcPr>
            <w:tcW w:w="120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5,175</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30,555</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1,304</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37,034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Disposals</w:t>
            </w:r>
          </w:p>
        </w:tc>
        <w:tc>
          <w:tcPr>
            <w:tcW w:w="1400" w:type="dxa"/>
            <w:vAlign w:val="bottom"/>
            <w:gridSpan w:val="4"/>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1,640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tcPr>
          <w:p>
            <w:pPr>
              <w:spacing w:after="0"/>
              <w:rPr>
                <w:sz w:val="17"/>
                <w:szCs w:val="17"/>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2,078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June 30, 2025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5,637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32,195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1,391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39,223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Accumulated depreciation:</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January 1, 2025</w:t>
            </w:r>
          </w:p>
        </w:tc>
        <w:tc>
          <w:tcPr>
            <w:tcW w:w="1400" w:type="dxa"/>
            <w:vAlign w:val="bottom"/>
            <w:gridSpan w:val="4"/>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(733)</w:t>
            </w:r>
          </w:p>
        </w:tc>
        <w:tc>
          <w:tcPr>
            <w:tcW w:w="128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(5,241)</w:t>
            </w:r>
          </w:p>
        </w:tc>
        <w:tc>
          <w:tcPr>
            <w:tcW w:w="124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11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(6,311)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Charge for the period</w:t>
            </w:r>
          </w:p>
        </w:tc>
        <w:tc>
          <w:tcPr>
            <w:tcW w:w="1400" w:type="dxa"/>
            <w:vAlign w:val="bottom"/>
            <w:gridSpan w:val="4"/>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128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(1,077)</w:t>
            </w:r>
          </w:p>
        </w:tc>
        <w:tc>
          <w:tcPr>
            <w:tcW w:w="124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(1,376)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Disposals</w:t>
            </w:r>
          </w:p>
        </w:tc>
        <w:tc>
          <w:tcPr>
            <w:tcW w:w="1400" w:type="dxa"/>
            <w:vAlign w:val="bottom"/>
            <w:gridSpan w:val="4"/>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4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(56)</w:t>
            </w:r>
          </w:p>
        </w:tc>
        <w:tc>
          <w:tcPr>
            <w:tcW w:w="12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(316)</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(27)</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June 30, 2025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(980</w:t>
            </w:r>
          </w:p>
        </w:tc>
        <w:tc>
          <w:tcPr>
            <w:tcW w:w="220" w:type="dxa"/>
            <w:vAlign w:val="bottom"/>
            <w:tcBorders>
              <w:top w:val="single" w:sz="8" w:color="CCEEFF"/>
              <w:bottom w:val="single" w:sz="8" w:color="CCEEFF"/>
            </w:tcBorders>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(6,634</w:t>
            </w:r>
          </w:p>
        </w:tc>
        <w:tc>
          <w:tcPr>
            <w:tcW w:w="220" w:type="dxa"/>
            <w:vAlign w:val="bottom"/>
            <w:tcBorders>
              <w:top w:val="single" w:sz="8" w:color="CCEEFF"/>
              <w:bottom w:val="single" w:sz="8" w:color="CCEEFF"/>
            </w:tcBorders>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(472</w:t>
            </w:r>
          </w:p>
        </w:tc>
        <w:tc>
          <w:tcPr>
            <w:tcW w:w="18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(8,086</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June 30, 2025</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At January 1, 2024</w:t>
            </w:r>
          </w:p>
        </w:tc>
        <w:tc>
          <w:tcPr>
            <w:tcW w:w="12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5,915</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31,273</w:t>
            </w:r>
          </w:p>
        </w:tc>
        <w:tc>
          <w:tcPr>
            <w:tcW w:w="220" w:type="dxa"/>
            <w:vAlign w:val="bottom"/>
          </w:tcPr>
          <w:p>
            <w:pPr>
              <w:spacing w:after="0"/>
              <w:rPr>
                <w:sz w:val="15"/>
                <w:szCs w:val="15"/>
                <w:color w:val="auto"/>
              </w:rPr>
            </w:pPr>
          </w:p>
        </w:tc>
        <w:tc>
          <w:tcPr>
            <w:tcW w:w="124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1,101</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38,289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1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Disposals</w:t>
            </w:r>
          </w:p>
        </w:tc>
        <w:tc>
          <w:tcPr>
            <w:tcW w:w="1400" w:type="dxa"/>
            <w:vAlign w:val="bottom"/>
            <w:gridSpan w:val="4"/>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(616)</w:t>
            </w:r>
          </w:p>
        </w:tc>
        <w:tc>
          <w:tcPr>
            <w:tcW w:w="128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(152)</w:t>
            </w:r>
          </w:p>
        </w:tc>
        <w:tc>
          <w:tcPr>
            <w:tcW w:w="12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(669)</w:t>
            </w: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(35)</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At June 30, 2024</w:t>
            </w:r>
          </w:p>
        </w:tc>
        <w:tc>
          <w:tcPr>
            <w:tcW w:w="120" w:type="dxa"/>
            <w:vAlign w:val="bottom"/>
            <w:tcBorders>
              <w:top w:val="single" w:sz="8" w:color="CCEEFF"/>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5,185</w:t>
            </w:r>
          </w:p>
        </w:tc>
        <w:tc>
          <w:tcPr>
            <w:tcW w:w="2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30,604</w:t>
            </w:r>
          </w:p>
        </w:tc>
        <w:tc>
          <w:tcPr>
            <w:tcW w:w="220" w:type="dxa"/>
            <w:vAlign w:val="bottom"/>
            <w:tcBorders>
              <w:top w:val="single" w:sz="8" w:color="CCEEFF"/>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1,307</w:t>
            </w:r>
          </w:p>
        </w:tc>
        <w:tc>
          <w:tcPr>
            <w:tcW w:w="180" w:type="dxa"/>
            <w:vAlign w:val="bottom"/>
            <w:tcBorders>
              <w:top w:val="single" w:sz="8" w:color="CCEEFF"/>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37,096</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Accumulated depreciation:</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At January 1, 2024</w:t>
            </w:r>
          </w:p>
        </w:tc>
        <w:tc>
          <w:tcPr>
            <w:tcW w:w="1400" w:type="dxa"/>
            <w:vAlign w:val="bottom"/>
            <w:gridSpan w:val="4"/>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(601)</w:t>
            </w:r>
          </w:p>
        </w:tc>
        <w:tc>
          <w:tcPr>
            <w:tcW w:w="128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(3,205)</w:t>
            </w:r>
          </w:p>
        </w:tc>
        <w:tc>
          <w:tcPr>
            <w:tcW w:w="124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(3,943)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Charge for the period</w:t>
            </w:r>
          </w:p>
        </w:tc>
        <w:tc>
          <w:tcPr>
            <w:tcW w:w="1400" w:type="dxa"/>
            <w:vAlign w:val="bottom"/>
            <w:gridSpan w:val="4"/>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128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(1,063)</w:t>
            </w:r>
          </w:p>
        </w:tc>
        <w:tc>
          <w:tcPr>
            <w:tcW w:w="124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11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(1,347)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Disposals</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At June 30, 2024</w:t>
            </w:r>
          </w:p>
        </w:tc>
        <w:tc>
          <w:tcPr>
            <w:tcW w:w="120" w:type="dxa"/>
            <w:vAlign w:val="bottom"/>
            <w:tcBorders>
              <w:top w:val="single" w:sz="8" w:color="CCEEFF"/>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(553</w:t>
            </w:r>
          </w:p>
        </w:tc>
        <w:tc>
          <w:tcPr>
            <w:tcW w:w="220" w:type="dxa"/>
            <w:vAlign w:val="bottom"/>
            <w:tcBorders>
              <w:top w:val="single" w:sz="8" w:color="CCEEFF"/>
              <w:bottom w:val="single" w:sz="8" w:color="CCEEFF"/>
            </w:tcBorders>
            <w:gridSpan w:val="2"/>
          </w:tcPr>
          <w:p>
            <w:pPr>
              <w:jc w:val="right"/>
              <w:ind w:right="160"/>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(4,193</w:t>
            </w:r>
          </w:p>
        </w:tc>
        <w:tc>
          <w:tcPr>
            <w:tcW w:w="220" w:type="dxa"/>
            <w:vAlign w:val="bottom"/>
            <w:tcBorders>
              <w:top w:val="single" w:sz="8" w:color="CCEEFF"/>
              <w:bottom w:val="single" w:sz="8" w:color="CCEEFF"/>
            </w:tcBorders>
          </w:tcPr>
          <w:p>
            <w:pPr>
              <w:jc w:val="right"/>
              <w:ind w:right="8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(232</w:t>
            </w:r>
          </w:p>
        </w:tc>
        <w:tc>
          <w:tcPr>
            <w:tcW w:w="18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(4,978</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At June 30, 2024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26,411</w:t>
            </w:r>
          </w:p>
        </w:tc>
        <w:tc>
          <w:tcPr>
            <w:tcW w:w="22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1,075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Leasehold land included in investment properties were right-of-use assets associated with leasehold land under operating leases where the building was constructed on. See Note 18.</w:t>
      </w:r>
    </w:p>
    <w:p>
      <w:pPr>
        <w:spacing w:after="0" w:line="143"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The Group leases the investment properties to its customers under operating leases for terms ranging from two to 12 years, with an option to extend for an additional lease term. The lease contracts contain market review clauses in the event that the lessees exercise their options to extend. The lessees do not have bargain purchase options to acquire the investment properties at the expiry of the lease term.</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00" w:type="dxa"/>
            <w:vAlign w:val="bottom"/>
            <w:tcBorders>
              <w:bottom w:val="single" w:sz="8" w:color="auto"/>
            </w:tcBorders>
          </w:tcPr>
          <w:p>
            <w:pPr>
              <w:jc w:val="center"/>
              <w:ind w:left="1202"/>
              <w:spacing w:after="0"/>
              <w:rPr>
                <w:sz w:val="20"/>
                <w:szCs w:val="20"/>
                <w:color w:val="auto"/>
              </w:rPr>
            </w:pPr>
            <w:r>
              <w:rPr>
                <w:rFonts w:ascii="Times New Roman" w:cs="Times New Roman" w:eastAsia="Times New Roman" w:hAnsi="Times New Roman"/>
                <w:sz w:val="16"/>
                <w:szCs w:val="16"/>
                <w:color w:val="auto"/>
                <w:w w:val="99"/>
              </w:rPr>
              <w:t>F-20</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813"/>
        </w:trPr>
        <w:tc>
          <w:tcPr>
            <w:tcW w:w="9300" w:type="dxa"/>
            <w:vAlign w:val="bottom"/>
          </w:tcPr>
          <w:p>
            <w:pPr>
              <w:jc w:val="center"/>
              <w:ind w:left="1202"/>
              <w:spacing w:after="0"/>
              <w:rPr>
                <w:sz w:val="20"/>
                <w:szCs w:val="20"/>
                <w:color w:val="auto"/>
              </w:rPr>
            </w:pPr>
            <w:r>
              <w:rPr>
                <w:rFonts w:ascii="Times New Roman" w:cs="Times New Roman" w:eastAsia="Times New Roman" w:hAnsi="Times New Roman"/>
                <w:sz w:val="16"/>
                <w:szCs w:val="16"/>
                <w:b w:val="1"/>
                <w:bCs w:val="1"/>
                <w:color w:val="auto"/>
                <w:w w:val="97"/>
              </w:rPr>
              <w:t>BITDEER TECHNOLOGIES GROUP AND SUBSIDIARIES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9300" w:type="dxa"/>
            <w:vAlign w:val="bottom"/>
          </w:tcPr>
          <w:p>
            <w:pPr>
              <w:jc w:val="center"/>
              <w:ind w:left="1202"/>
              <w:spacing w:after="0"/>
              <w:rPr>
                <w:sz w:val="20"/>
                <w:szCs w:val="20"/>
                <w:color w:val="auto"/>
              </w:rPr>
            </w:pPr>
            <w:r>
              <w:rPr>
                <w:rFonts w:ascii="Times New Roman" w:cs="Times New Roman" w:eastAsia="Times New Roman" w:hAnsi="Times New Roman"/>
                <w:sz w:val="16"/>
                <w:szCs w:val="16"/>
                <w:b w:val="1"/>
                <w:bCs w:val="1"/>
                <w:color w:val="auto"/>
                <w:w w:val="97"/>
              </w:rPr>
              <w:t>NOTES TO THE UNAUDITED CONDENSED CONSOLIDATED FINANCIAL STATEMENTS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0"/>
        </w:trPr>
        <w:tc>
          <w:tcPr>
            <w:tcW w:w="9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maturity analysis of lease payments receivable under operating leases of investment properties was as follows: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5"/>
        </w:trPr>
        <w:tc>
          <w:tcPr>
            <w:tcW w:w="9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180"/>
        </w:trPr>
        <w:tc>
          <w:tcPr>
            <w:tcW w:w="9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June 30,</w:t>
            </w:r>
          </w:p>
        </w:tc>
      </w:tr>
      <w:tr>
        <w:trPr>
          <w:trHeight w:val="199"/>
        </w:trPr>
        <w:tc>
          <w:tcPr>
            <w:tcW w:w="9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7"/>
                <w:szCs w:val="17"/>
                <w:color w:val="auto"/>
              </w:rPr>
            </w:pPr>
          </w:p>
        </w:tc>
      </w:tr>
      <w:tr>
        <w:trPr>
          <w:trHeight w:val="180"/>
        </w:trPr>
        <w:tc>
          <w:tcPr>
            <w:tcW w:w="930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1,854</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9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26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3,167</w:t>
            </w:r>
          </w:p>
        </w:tc>
      </w:tr>
      <w:tr>
        <w:trPr>
          <w:trHeight w:val="180"/>
        </w:trPr>
        <w:tc>
          <w:tcPr>
            <w:tcW w:w="9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26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2,093</w:t>
            </w:r>
          </w:p>
        </w:tc>
      </w:tr>
      <w:tr>
        <w:trPr>
          <w:trHeight w:val="180"/>
        </w:trPr>
        <w:tc>
          <w:tcPr>
            <w:tcW w:w="9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26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2,098</w:t>
            </w:r>
          </w:p>
        </w:tc>
      </w:tr>
      <w:tr>
        <w:trPr>
          <w:trHeight w:val="180"/>
        </w:trPr>
        <w:tc>
          <w:tcPr>
            <w:tcW w:w="9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26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2,084</w:t>
            </w:r>
          </w:p>
        </w:tc>
      </w:tr>
      <w:tr>
        <w:trPr>
          <w:trHeight w:val="196"/>
        </w:trPr>
        <w:tc>
          <w:tcPr>
            <w:tcW w:w="9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80" w:type="dxa"/>
            <w:vAlign w:val="bottom"/>
            <w:tcBorders>
              <w:bottom w:val="single" w:sz="8" w:color="CCEEFF"/>
            </w:tcBorders>
          </w:tcPr>
          <w:p>
            <w:pPr>
              <w:spacing w:after="0"/>
              <w:rPr>
                <w:sz w:val="17"/>
                <w:szCs w:val="17"/>
                <w:color w:val="auto"/>
              </w:rPr>
            </w:pPr>
          </w:p>
        </w:tc>
      </w:tr>
      <w:tr>
        <w:trPr>
          <w:trHeight w:val="208"/>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14,963</w:t>
            </w:r>
          </w:p>
        </w:tc>
        <w:tc>
          <w:tcPr>
            <w:tcW w:w="80" w:type="dxa"/>
            <w:vAlign w:val="bottom"/>
            <w:shd w:val="clear" w:color="auto" w:fill="CCEEFF"/>
          </w:tcPr>
          <w:p>
            <w:pPr>
              <w:spacing w:after="0"/>
              <w:rPr>
                <w:sz w:val="18"/>
                <w:szCs w:val="18"/>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The Group has no restrictions on the use of its investment properties and no contractual obligations to each investment property purchased or for repairs, maintenance and enhancements.</w:t>
      </w:r>
    </w:p>
    <w:p>
      <w:pPr>
        <w:spacing w:after="0" w:line="143"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The fair value of investment properties of the Group as of June 30, 2025 and December 31, 2024 was approximately US $36.5 million and US$35.4 million, respectively, determined using the income approach based on the operation projection and the discount rate with the assistance of an independent valuation specialist. The investment properties were classified as Level 3 in the fair value hierarchy.</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 did not record any impairment related to investment properties as of June 30, 2025 and December 31, 2024.</w:t>
      </w:r>
    </w:p>
    <w:p>
      <w:pPr>
        <w:spacing w:after="0" w:line="174" w:lineRule="exact"/>
        <w:rPr>
          <w:sz w:val="20"/>
          <w:szCs w:val="20"/>
          <w:color w:val="auto"/>
        </w:rPr>
      </w:pPr>
    </w:p>
    <w:p>
      <w:pPr>
        <w:ind w:left="300" w:hanging="294"/>
        <w:spacing w:after="0"/>
        <w:tabs>
          <w:tab w:leader="none" w:pos="30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INTANGIBLE ASSETS AND GOODWILL</w:t>
      </w:r>
    </w:p>
    <w:p>
      <w:pPr>
        <w:spacing w:after="0" w:line="178"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details of intangible assets and goodwill are as follows:</w:t>
      </w:r>
    </w:p>
    <w:p>
      <w:pPr>
        <w:sectPr>
          <w:pgSz w:w="11900" w:h="16840" w:orient="portrait"/>
          <w:cols w:equalWidth="0" w:num="1">
            <w:col w:w="10580"/>
          </w:cols>
          <w:pgMar w:left="660" w:top="1107" w:right="660" w:bottom="362"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Patents,</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Rights to</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161"/>
              <w:spacing w:after="0" w:line="180" w:lineRule="exact"/>
              <w:rPr>
                <w:sz w:val="20"/>
                <w:szCs w:val="20"/>
                <w:color w:val="auto"/>
              </w:rPr>
            </w:pPr>
            <w:r>
              <w:rPr>
                <w:rFonts w:ascii="Times New Roman" w:cs="Times New Roman" w:eastAsia="Times New Roman" w:hAnsi="Times New Roman"/>
                <w:sz w:val="16"/>
                <w:szCs w:val="16"/>
                <w:b w:val="1"/>
                <w:bCs w:val="1"/>
                <w:color w:val="auto"/>
                <w:w w:val="97"/>
              </w:rPr>
              <w:t>trademarks,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181"/>
              <w:spacing w:after="0" w:line="168" w:lineRule="exact"/>
              <w:rPr>
                <w:sz w:val="20"/>
                <w:szCs w:val="20"/>
                <w:color w:val="auto"/>
              </w:rPr>
            </w:pPr>
            <w:r>
              <w:rPr>
                <w:rFonts w:ascii="Times New Roman" w:cs="Times New Roman" w:eastAsia="Times New Roman" w:hAnsi="Times New Roman"/>
                <w:sz w:val="16"/>
                <w:szCs w:val="16"/>
                <w:b w:val="1"/>
                <w:bCs w:val="1"/>
                <w:color w:val="auto"/>
                <w:w w:val="99"/>
              </w:rPr>
              <w:t>royalties and</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electrical</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161"/>
              <w:spacing w:after="0" w:line="180" w:lineRule="exact"/>
              <w:rPr>
                <w:sz w:val="20"/>
                <w:szCs w:val="20"/>
                <w:color w:val="auto"/>
              </w:rPr>
            </w:pPr>
            <w:r>
              <w:rPr>
                <w:rFonts w:ascii="Times New Roman" w:cs="Times New Roman" w:eastAsia="Times New Roman" w:hAnsi="Times New Roman"/>
                <w:sz w:val="16"/>
                <w:szCs w:val="16"/>
                <w:b w:val="1"/>
                <w:bCs w:val="1"/>
                <w:color w:val="auto"/>
                <w:w w:val="96"/>
              </w:rPr>
              <w:t>other rights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161"/>
              <w:spacing w:after="0" w:line="180" w:lineRule="exact"/>
              <w:rPr>
                <w:sz w:val="20"/>
                <w:szCs w:val="20"/>
                <w:color w:val="auto"/>
              </w:rPr>
            </w:pPr>
            <w:r>
              <w:rPr>
                <w:rFonts w:ascii="Times New Roman" w:cs="Times New Roman" w:eastAsia="Times New Roman" w:hAnsi="Times New Roman"/>
                <w:sz w:val="16"/>
                <w:szCs w:val="16"/>
                <w:b w:val="1"/>
                <w:bCs w:val="1"/>
                <w:color w:val="auto"/>
                <w:w w:val="96"/>
              </w:rPr>
              <w:t>intangible</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capacity</w:t>
            </w:r>
          </w:p>
        </w:tc>
        <w:tc>
          <w:tcPr>
            <w:tcW w:w="1280" w:type="dxa"/>
            <w:vAlign w:val="bottom"/>
            <w:gridSpan w:val="2"/>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0" w:type="dxa"/>
            <w:vAlign w:val="bottom"/>
          </w:tcPr>
          <w:p>
            <w:pPr>
              <w:spacing w:after="0"/>
              <w:rPr>
                <w:sz w:val="1"/>
                <w:szCs w:val="1"/>
                <w:color w:val="auto"/>
              </w:rPr>
            </w:pPr>
          </w:p>
        </w:tc>
      </w:tr>
      <w:tr>
        <w:trPr>
          <w:trHeight w:val="180"/>
        </w:trPr>
        <w:tc>
          <w:tcPr>
            <w:tcW w:w="2980" w:type="dxa"/>
            <w:vAlign w:val="bottom"/>
            <w:tcBorders>
              <w:top w:val="single" w:sz="8" w:color="auto"/>
            </w:tcBorders>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January 1, 2025</w:t>
            </w:r>
          </w:p>
        </w:tc>
        <w:tc>
          <w:tcPr>
            <w:tcW w:w="1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22,429</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63,633</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1"/>
              <w:spacing w:after="0" w:line="180" w:lineRule="exact"/>
              <w:rPr>
                <w:sz w:val="20"/>
                <w:szCs w:val="20"/>
                <w:color w:val="auto"/>
              </w:rPr>
            </w:pPr>
            <w:r>
              <w:rPr>
                <w:rFonts w:ascii="Times New Roman" w:cs="Times New Roman" w:eastAsia="Times New Roman" w:hAnsi="Times New Roman"/>
                <w:sz w:val="16"/>
                <w:szCs w:val="16"/>
                <w:color w:val="auto"/>
              </w:rPr>
              <w:t>5,018</w:t>
            </w:r>
          </w:p>
        </w:tc>
        <w:tc>
          <w:tcPr>
            <w:tcW w:w="1260" w:type="dxa"/>
            <w:vAlign w:val="bottom"/>
            <w:gridSpan w:val="2"/>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1,413</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92,493</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35,818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8,000</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3,451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11,524</w:t>
            </w:r>
          </w:p>
        </w:tc>
        <w:tc>
          <w:tcPr>
            <w:tcW w:w="1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June 30, 2025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30,429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63,633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8,469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1,486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104,017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35,818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6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Accumulated depreciation:</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January 1, 2025</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(7,070)</w:t>
            </w:r>
          </w:p>
        </w:tc>
        <w:tc>
          <w:tcPr>
            <w:tcW w:w="130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(1,580)</w:t>
            </w:r>
          </w:p>
        </w:tc>
        <w:tc>
          <w:tcPr>
            <w:tcW w:w="126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(608)</w:t>
            </w:r>
          </w:p>
        </w:tc>
        <w:tc>
          <w:tcPr>
            <w:tcW w:w="122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(9,258)</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Charge for the period</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(10,605)</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(888)</w:t>
            </w:r>
          </w:p>
        </w:tc>
        <w:tc>
          <w:tcPr>
            <w:tcW w:w="12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(73)</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(11,566)</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June 30, 2025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(17,675</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(2,468</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(681</w:t>
            </w:r>
          </w:p>
        </w:tc>
        <w:tc>
          <w:tcPr>
            <w:tcW w:w="200" w:type="dxa"/>
            <w:vAlign w:val="bottom"/>
            <w:tcBorders>
              <w:top w:val="single" w:sz="8" w:color="CCEEFF"/>
              <w:bottom w:val="single" w:sz="8" w:color="CCEEFF"/>
            </w:tcBorders>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(20,824</w:t>
            </w:r>
          </w:p>
        </w:tc>
        <w:tc>
          <w:tcPr>
            <w:tcW w:w="18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6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June 30, 2025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30,429</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45,958</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6,001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83,193</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At January 1, 2024</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1"/>
              <w:spacing w:after="0" w:line="180" w:lineRule="exact"/>
              <w:rPr>
                <w:sz w:val="20"/>
                <w:szCs w:val="20"/>
                <w:color w:val="auto"/>
              </w:rPr>
            </w:pPr>
            <w:r>
              <w:rPr>
                <w:rFonts w:ascii="Times New Roman" w:cs="Times New Roman" w:eastAsia="Times New Roman" w:hAnsi="Times New Roman"/>
                <w:sz w:val="16"/>
                <w:szCs w:val="16"/>
                <w:color w:val="auto"/>
              </w:rPr>
              <w:t>4,899</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754</w:t>
            </w:r>
          </w:p>
        </w:tc>
        <w:tc>
          <w:tcPr>
            <w:tcW w:w="200" w:type="dxa"/>
            <w:vAlign w:val="bottom"/>
          </w:tcPr>
          <w:p>
            <w:pPr>
              <w:spacing w:after="0"/>
              <w:rPr>
                <w:sz w:val="15"/>
                <w:szCs w:val="15"/>
                <w:color w:val="auto"/>
              </w:rPr>
            </w:pPr>
          </w:p>
        </w:tc>
        <w:tc>
          <w:tcPr>
            <w:tcW w:w="122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5,653</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299</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409</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Acquired through the business combination</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 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22,429</w:t>
            </w:r>
          </w:p>
        </w:tc>
        <w:tc>
          <w:tcPr>
            <w:tcW w:w="22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June 30, 2024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22,429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5,009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1,053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28,491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14,451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6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Accumulated depreciation:</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January 1, 2024</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(573)</w:t>
            </w:r>
          </w:p>
        </w:tc>
        <w:tc>
          <w:tcPr>
            <w:tcW w:w="126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(303)</w:t>
            </w:r>
          </w:p>
        </w:tc>
        <w:tc>
          <w:tcPr>
            <w:tcW w:w="1220" w:type="dxa"/>
            <w:vAlign w:val="bottom"/>
            <w:gridSpan w:val="2"/>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(876)</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Charge for the period</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(497)</w:t>
            </w:r>
          </w:p>
        </w:tc>
        <w:tc>
          <w:tcPr>
            <w:tcW w:w="12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(143)</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(640)</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 June 30, 2024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(1,070</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(446</w:t>
            </w:r>
          </w:p>
        </w:tc>
        <w:tc>
          <w:tcPr>
            <w:tcW w:w="200" w:type="dxa"/>
            <w:vAlign w:val="bottom"/>
            <w:tcBorders>
              <w:top w:val="single" w:sz="8" w:color="CCEEFF"/>
              <w:bottom w:val="single" w:sz="8" w:color="CCEEFF"/>
            </w:tcBorders>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(1,516</w:t>
            </w:r>
          </w:p>
        </w:tc>
        <w:tc>
          <w:tcPr>
            <w:tcW w:w="18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6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June 30, 2024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22,429</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3,939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26,975</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 had no contractual commitments for the acquisition or development of intangible assets as of June 30, 2025, and December 31, 2024.</w:t>
      </w:r>
    </w:p>
    <w:p>
      <w:pPr>
        <w:spacing w:after="0" w:line="176"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Indefinite useful life intangible assets and goodwill are tested for impairment annually, or whenever there are impairment indicators. There were no impairment indicators at June 30, 2025. The Group did not record any impairment related to indefinite useful life intangible assets or goodwill as of June 30, 2025 and December 31, 2024.</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LEASES</w:t>
      </w:r>
    </w:p>
    <w:p>
      <w:pPr>
        <w:spacing w:after="0" w:line="178" w:lineRule="exact"/>
        <w:rPr>
          <w:sz w:val="20"/>
          <w:szCs w:val="20"/>
          <w:color w:val="auto"/>
        </w:rPr>
      </w:pPr>
    </w:p>
    <w:p>
      <w:pPr>
        <w:jc w:val="both"/>
        <w:ind w:firstLine="288"/>
        <w:spacing w:after="0" w:line="241" w:lineRule="auto"/>
        <w:rPr>
          <w:sz w:val="20"/>
          <w:szCs w:val="20"/>
          <w:color w:val="auto"/>
        </w:rPr>
      </w:pPr>
      <w:r>
        <w:rPr>
          <w:rFonts w:ascii="Times New Roman" w:cs="Times New Roman" w:eastAsia="Times New Roman" w:hAnsi="Times New Roman"/>
          <w:sz w:val="16"/>
          <w:szCs w:val="16"/>
          <w:color w:val="auto"/>
        </w:rPr>
        <w:t>The Group occupies most of its office premises and certain mining datacenters under lease arrangements, which generally have an initial lease term betweentwo to 30 years. Lease contracts are typically made for fixed periods but may have extension options. The Group accounts for lease and non-lease component separately, where the non-lease component is charged to expenses as they incur. Any extension options in these leases have not been included in the lease liabilities unless the Group is reasonably certain to exercise the extension option. In addition, periods after termination options are only included in the lease term if the lease is reasonably certain not to be terminated. The Group does not have an option to purchase these leased assets at the expiration of the lease periods.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unaudited condensed consolidated statements of financial position show the following amounts relating to the right-of-use assets: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180"/>
        </w:trPr>
        <w:tc>
          <w:tcPr>
            <w:tcW w:w="14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199"/>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7"/>
                <w:szCs w:val="17"/>
                <w:color w:val="auto"/>
              </w:rPr>
            </w:pPr>
          </w:p>
        </w:tc>
      </w:tr>
      <w:tr>
        <w:trPr>
          <w:trHeight w:val="180"/>
        </w:trPr>
        <w:tc>
          <w:tcPr>
            <w:tcW w:w="8040" w:type="dxa"/>
            <w:vAlign w:val="bottom"/>
            <w:tcBorders>
              <w:top w:val="single" w:sz="8" w:color="auto"/>
            </w:tcBorders>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Right-of-use assets</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9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color w:val="auto"/>
              </w:rPr>
              <w:t>Land and buildings</w:t>
            </w:r>
          </w:p>
        </w:tc>
        <w:tc>
          <w:tcPr>
            <w:tcW w:w="1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80,424</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69,273</w:t>
            </w:r>
          </w:p>
        </w:tc>
        <w:tc>
          <w:tcPr>
            <w:tcW w:w="80" w:type="dxa"/>
            <w:vAlign w:val="bottom"/>
            <w:shd w:val="clear" w:color="auto" w:fill="CCEEFF"/>
          </w:tcPr>
          <w:p>
            <w:pPr>
              <w:spacing w:after="0"/>
              <w:rPr>
                <w:sz w:val="15"/>
                <w:szCs w:val="15"/>
                <w:color w:val="auto"/>
              </w:rPr>
            </w:pPr>
          </w:p>
        </w:tc>
      </w:tr>
      <w:tr>
        <w:trPr>
          <w:trHeight w:val="180"/>
        </w:trPr>
        <w:tc>
          <w:tcPr>
            <w:tcW w:w="80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Investment properties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9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color w:val="auto"/>
              </w:rPr>
              <w:t>Leasehold land</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4,657</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4,442</w:t>
            </w:r>
          </w:p>
        </w:tc>
      </w:tr>
    </w:tbl>
    <w:p>
      <w:pPr>
        <w:spacing w:after="0" w:line="167"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Addition to the right- of- use assets and investment properties of leasehold land, including the increase in the right-of-use assets and investment properties of leasehold land as a result of lease modification, for the six months ended June 30, 2025 and 2024, were approximately US$17.7 million and US$17.0 million, respectively. The balance of the investment properties leasehold land was included in investment properties. See Note 16.</w:t>
      </w:r>
    </w:p>
    <w:p>
      <w:pPr>
        <w:spacing w:after="0" w:line="152"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The Group is obligated to complete site restoration for certain leased properties as required under the respective lease agreements. The provision for site restoration is reviewed periodically and updated when there are material changes in the underlying estimates.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The following table represents the movement of the restoration provision:</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c>
          <w:tcPr>
            <w:tcW w:w="0" w:type="dxa"/>
            <w:vAlign w:val="bottom"/>
          </w:tcPr>
          <w:p>
            <w:pPr>
              <w:spacing w:after="0"/>
              <w:rPr>
                <w:sz w:val="1"/>
                <w:szCs w:val="1"/>
                <w:color w:val="auto"/>
              </w:rPr>
            </w:pPr>
          </w:p>
        </w:tc>
      </w:tr>
      <w:tr>
        <w:trPr>
          <w:trHeight w:val="19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Restoration provision at January 1</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1,361</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1,363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Change in provision</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633</w:t>
            </w:r>
          </w:p>
        </w:tc>
        <w:tc>
          <w:tcPr>
            <w:tcW w:w="20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Unwind of discount</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80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Restoration provision at June 30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2,092</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unaudited condensed consolidated statements of financial position show the following amounts relating to the lease liabilities:</w:t>
      </w:r>
    </w:p>
    <w:p>
      <w:pPr>
        <w:sectPr>
          <w:pgSz w:w="11900" w:h="16840" w:orient="portrait"/>
          <w:cols w:equalWidth="0" w:num="1">
            <w:col w:w="10580"/>
          </w:cols>
          <w:pgMar w:left="660" w:top="551" w:right="660" w:bottom="578"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180"/>
        </w:trPr>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9"/>
                <w:szCs w:val="19"/>
                <w:color w:val="auto"/>
              </w:rPr>
            </w:pPr>
          </w:p>
        </w:tc>
      </w:tr>
      <w:tr>
        <w:trPr>
          <w:trHeight w:val="180"/>
        </w:trPr>
        <w:tc>
          <w:tcPr>
            <w:tcW w:w="80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Lease liabilities mature within 12 months</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7,967</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5,460</w:t>
            </w:r>
          </w:p>
        </w:tc>
        <w:tc>
          <w:tcPr>
            <w:tcW w:w="80" w:type="dxa"/>
            <w:vAlign w:val="bottom"/>
            <w:tcBorders>
              <w:top w:val="single" w:sz="8" w:color="CCEEFF"/>
            </w:tcBorders>
            <w:shd w:val="clear" w:color="auto" w:fill="CCEEFF"/>
          </w:tcPr>
          <w:p>
            <w:pPr>
              <w:spacing w:after="0"/>
              <w:rPr>
                <w:sz w:val="15"/>
                <w:szCs w:val="15"/>
                <w:color w:val="auto"/>
              </w:rPr>
            </w:pPr>
          </w:p>
        </w:tc>
      </w:tr>
      <w:tr>
        <w:trPr>
          <w:trHeight w:val="196"/>
        </w:trPr>
        <w:tc>
          <w:tcPr>
            <w:tcW w:w="8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Lease liabilities mature over 12 months</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84,675</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72,673</w:t>
            </w:r>
          </w:p>
        </w:tc>
        <w:tc>
          <w:tcPr>
            <w:tcW w:w="80" w:type="dxa"/>
            <w:vAlign w:val="bottom"/>
            <w:tcBorders>
              <w:bottom w:val="single" w:sz="8" w:color="CCEEFF"/>
            </w:tcBorders>
          </w:tcPr>
          <w:p>
            <w:pPr>
              <w:spacing w:after="0"/>
              <w:rPr>
                <w:sz w:val="17"/>
                <w:szCs w:val="17"/>
                <w:color w:val="auto"/>
              </w:rPr>
            </w:pPr>
          </w:p>
        </w:tc>
      </w:tr>
      <w:tr>
        <w:trPr>
          <w:trHeight w:val="208"/>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92,642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78,133</w:t>
            </w:r>
          </w:p>
        </w:tc>
        <w:tc>
          <w:tcPr>
            <w:tcW w:w="80" w:type="dxa"/>
            <w:vAlign w:val="bottom"/>
            <w:shd w:val="clear" w:color="auto" w:fill="CCEEFF"/>
          </w:tcPr>
          <w:p>
            <w:pPr>
              <w:spacing w:after="0"/>
              <w:rPr>
                <w:sz w:val="18"/>
                <w:szCs w:val="18"/>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left="300" w:right="20" w:hanging="294"/>
        <w:spacing w:after="0" w:line="259" w:lineRule="auto"/>
        <w:tabs>
          <w:tab w:leader="none" w:pos="3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liabilities in amount of approximately US$4.0 million and US$3.8 million were associated with leasehold land under investment properties as of June 30, 2025 and December 31, 2024. See Note 16.</w:t>
      </w:r>
    </w:p>
    <w:p>
      <w:pPr>
        <w:spacing w:after="0" w:line="143"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recognized in profit or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r>
      <w:tr>
        <w:trPr>
          <w:trHeight w:val="19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80"/>
        </w:trPr>
        <w:tc>
          <w:tcPr>
            <w:tcW w:w="80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Depreciation expense of right-of-use assets</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6,736</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3,625</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8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1,779</w:t>
            </w:r>
          </w:p>
        </w:tc>
        <w:tc>
          <w:tcPr>
            <w:tcW w:w="18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1,676</w:t>
            </w:r>
          </w:p>
        </w:tc>
      </w:tr>
      <w:tr>
        <w:trPr>
          <w:trHeight w:val="180"/>
        </w:trPr>
        <w:tc>
          <w:tcPr>
            <w:tcW w:w="8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Expense relating to variable payment leases</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5"/>
                <w:szCs w:val="15"/>
                <w:color w:val="auto"/>
              </w:rPr>
            </w:pPr>
          </w:p>
        </w:tc>
      </w:tr>
      <w:tr>
        <w:trPr>
          <w:trHeight w:val="180"/>
        </w:trPr>
        <w:tc>
          <w:tcPr>
            <w:tcW w:w="8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Expense relating to short-term leases</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5"/>
                <w:szCs w:val="15"/>
                <w:color w:val="auto"/>
              </w:rPr>
            </w:pPr>
          </w:p>
        </w:tc>
      </w:tr>
      <w:tr>
        <w:trPr>
          <w:trHeight w:val="212"/>
        </w:trPr>
        <w:tc>
          <w:tcPr>
            <w:tcW w:w="8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lease termination</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2"/>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8,702</w:t>
            </w:r>
          </w:p>
        </w:tc>
        <w:tc>
          <w:tcPr>
            <w:tcW w:w="1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5,793</w:t>
            </w: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right="20" w:hanging="294"/>
        <w:spacing w:after="0" w:line="259" w:lineRule="auto"/>
        <w:tabs>
          <w:tab w:leader="none" w:pos="3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expense includes the amount associated with leasehold land under investment properties for the periods ended June 30, 2025 and 2024, which was approximately US$0.1 million for each period. See Note 16.</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10" w:lineRule="exact"/>
        <w:rPr>
          <w:sz w:val="20"/>
          <w:szCs w:val="20"/>
          <w:color w:val="auto"/>
        </w:rPr>
      </w:pPr>
    </w:p>
    <w:p>
      <w:pPr>
        <w:ind w:right="20" w:firstLine="312"/>
        <w:spacing w:after="0" w:line="259" w:lineRule="auto"/>
        <w:rPr>
          <w:sz w:val="20"/>
          <w:szCs w:val="20"/>
          <w:color w:val="auto"/>
        </w:rPr>
      </w:pPr>
      <w:r>
        <w:rPr>
          <w:rFonts w:ascii="Times New Roman" w:cs="Times New Roman" w:eastAsia="Times New Roman" w:hAnsi="Times New Roman"/>
          <w:sz w:val="16"/>
          <w:szCs w:val="16"/>
          <w:color w:val="auto"/>
        </w:rPr>
        <w:t>The total cash outflow for leases, including capital element of lease rentals paid and interests paid on leases for the six months ended June 30, 2025 and 2024 were approximately US$5.9 million and US$4.3 million, respectively.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19. BORROWINGS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Borrowings consist of the following:</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At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199"/>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Promissory note (a)</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14,990</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14,907</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August 2024 convertible senior notes (b)</w:t>
            </w:r>
          </w:p>
        </w:tc>
        <w:tc>
          <w:tcPr>
            <w:tcW w:w="1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2,783</w:t>
            </w:r>
          </w:p>
        </w:tc>
        <w:tc>
          <w:tcPr>
            <w:tcW w:w="1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32,503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November 2024 convertible senior notes (c)</w:t>
            </w:r>
          </w:p>
        </w:tc>
        <w:tc>
          <w:tcPr>
            <w:tcW w:w="1200" w:type="dxa"/>
            <w:vAlign w:val="bottom"/>
            <w:gridSpan w:val="3"/>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172,956</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160,717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June 2025 convertible senior notes (d)</w:t>
            </w:r>
          </w:p>
        </w:tc>
        <w:tc>
          <w:tcPr>
            <w:tcW w:w="1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151,947</w:t>
            </w:r>
          </w:p>
        </w:tc>
        <w:tc>
          <w:tcPr>
            <w:tcW w:w="18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loans</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17,483</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360,159</w:t>
            </w:r>
          </w:p>
        </w:tc>
        <w:tc>
          <w:tcPr>
            <w:tcW w:w="1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208,127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359,684</w:t>
            </w:r>
          </w:p>
        </w:tc>
        <w:tc>
          <w:tcPr>
            <w:tcW w:w="18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208,127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360,159</w:t>
            </w:r>
          </w:p>
        </w:tc>
        <w:tc>
          <w:tcPr>
            <w:tcW w:w="1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For the six months ended June 30, 2025 and 2024, the interest arising from borrowings including the interest capitalized to property, plant and equipment was approximately US$31.2 million and US$1.2 million, respectively.</w:t>
      </w:r>
    </w:p>
    <w:p>
      <w:pPr>
        <w:spacing w:after="0" w:line="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(a)  Promissory note</w:t>
      </w:r>
    </w:p>
    <w:p>
      <w:pPr>
        <w:spacing w:after="0" w:line="130" w:lineRule="exact"/>
        <w:rPr>
          <w:sz w:val="20"/>
          <w:szCs w:val="20"/>
          <w:color w:val="auto"/>
        </w:rPr>
      </w:pPr>
    </w:p>
    <w:p>
      <w:pPr>
        <w:jc w:val="both"/>
        <w:ind w:left="300"/>
        <w:spacing w:after="0" w:line="238" w:lineRule="auto"/>
        <w:rPr>
          <w:sz w:val="20"/>
          <w:szCs w:val="20"/>
          <w:color w:val="auto"/>
        </w:rPr>
      </w:pPr>
      <w:r>
        <w:rPr>
          <w:rFonts w:ascii="Times New Roman" w:cs="Times New Roman" w:eastAsia="Times New Roman" w:hAnsi="Times New Roman"/>
          <w:sz w:val="16"/>
          <w:szCs w:val="16"/>
          <w:color w:val="auto"/>
        </w:rPr>
        <w:t>The Group issued a US $30.0 million promissory note on July 23, 2021. The promissory note is non-secured, bears an annual interest rate of 8%, matures on July 23, 2023 and provides the holder an option to convert all or any portion of the note into the ordinary shares of Bitdeer Technologies Holding Company at US$0.0632 per share at any time from the issuance of the note to the second anniversary of the date of issuance. Approximately US$683,000 was recognized as an equity component. In July 2023, the Group repaid US$7.0 million in principal and amended the promissory note to extend the maturity of the promissory note to July 21, 2025. In addition, to reflect the reverse recapitalization effectuated in April 2023, the shares convertible under the promissory note was changed from the ordinary shares of Bitdeer Technologies Holding Company to the Class A ordinary shares of the Group, and the per-share conversion price was adjusted to US$7.3660 from US$0.0632. The extension of the maturity date is accounted for as a debt modification, and a gain from modification of approximately US$481,000 was recognized in earnings. In 2024, the holder of promissory note converted principal amount of US$8.0 million for 1,086,070 Class A ordinary shares. The unamortized discount as of June 30, 2025 and December 31, 2024 was approximately US$10,000 and US$93,000, respectively.</w:t>
      </w:r>
    </w:p>
    <w:p>
      <w:pPr>
        <w:spacing w:after="0" w:line="108" w:lineRule="exact"/>
        <w:rPr>
          <w:sz w:val="20"/>
          <w:szCs w:val="20"/>
          <w:color w:val="auto"/>
        </w:rPr>
      </w:pPr>
    </w:p>
    <w:p>
      <w:pPr>
        <w:ind w:left="580" w:hanging="286"/>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August 2024 convertible senior notes</w:t>
      </w:r>
    </w:p>
    <w:p>
      <w:pPr>
        <w:spacing w:after="0" w:line="130" w:lineRule="exact"/>
        <w:rPr>
          <w:sz w:val="20"/>
          <w:szCs w:val="20"/>
          <w:color w:val="auto"/>
        </w:rPr>
      </w:pPr>
    </w:p>
    <w:p>
      <w:pPr>
        <w:jc w:val="both"/>
        <w:ind w:left="300" w:right="20"/>
        <w:spacing w:after="0" w:line="241" w:lineRule="auto"/>
        <w:rPr>
          <w:sz w:val="20"/>
          <w:szCs w:val="20"/>
          <w:color w:val="auto"/>
        </w:rPr>
      </w:pPr>
      <w:r>
        <w:rPr>
          <w:rFonts w:ascii="Times New Roman" w:cs="Times New Roman" w:eastAsia="Times New Roman" w:hAnsi="Times New Roman"/>
          <w:sz w:val="16"/>
          <w:szCs w:val="16"/>
          <w:color w:val="auto"/>
        </w:rPr>
        <w:t>In August 2024, the Group issued US$172.5 million in aggregate principal amount of 8.5% Convertible Senior Notes due 2029 (the “August 2024 convertible senior notes”). The August 2024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effectively junior to any of the Group’s secured indebtedness to the extent of the value of the assets securing such indebtedness and structurally junior to all indebtedness and other liabilities, including trade payables, of the Group’s subsidiaries.</w:t>
      </w:r>
    </w:p>
    <w:p>
      <w:pPr>
        <w:spacing w:after="0" w:line="109" w:lineRule="exact"/>
        <w:rPr>
          <w:sz w:val="20"/>
          <w:szCs w:val="20"/>
          <w:color w:val="auto"/>
        </w:rPr>
      </w:pPr>
    </w:p>
    <w:p>
      <w:pPr>
        <w:jc w:val="both"/>
        <w:ind w:left="300"/>
        <w:spacing w:after="0" w:line="239" w:lineRule="auto"/>
        <w:rPr>
          <w:sz w:val="20"/>
          <w:szCs w:val="20"/>
          <w:color w:val="auto"/>
        </w:rPr>
      </w:pPr>
      <w:r>
        <w:rPr>
          <w:rFonts w:ascii="Times New Roman" w:cs="Times New Roman" w:eastAsia="Times New Roman" w:hAnsi="Times New Roman"/>
          <w:sz w:val="16"/>
          <w:szCs w:val="16"/>
          <w:color w:val="auto"/>
        </w:rPr>
        <w:t>The August 2024 convertible senior notes accrue interest at a rate of 8.5% per annum, payable semi-annually in arrears on February 15 and August 15 of each year, beginning on February 15, 2025. The August 2024 convertible senior notes will mature on August 15, 2029, unless earlier repurchased, redeemed or converted. At any time prior to the close of business on the second scheduled trading day immediately preceding the maturity date, holders may convert their August 2024 convertible senior notes at their option. The Group is able to settle the conversion using shares, cash or a combination at its own discretion. The conversion rate is initially 117.0207 Class A ordinary shares per US$1,000 principal amount of August 2024 convertible senior notes, and the number of Class A ordinary shares issuable upon conversion is subject to customary adjustments upon the occurrence of certain events, such as the interest make-whole conversion rate adjustment, or conversion upon a make-whole fundamental change, as defined in the agreement of the August 2024 convertible senior notes.</w:t>
      </w:r>
    </w:p>
    <w:p>
      <w:pPr>
        <w:spacing w:after="0" w:line="110" w:lineRule="exact"/>
        <w:rPr>
          <w:sz w:val="20"/>
          <w:szCs w:val="20"/>
          <w:color w:val="auto"/>
        </w:rPr>
      </w:pPr>
    </w:p>
    <w:p>
      <w:pPr>
        <w:jc w:val="both"/>
        <w:ind w:left="300"/>
        <w:spacing w:after="0" w:line="331" w:lineRule="auto"/>
        <w:rPr>
          <w:sz w:val="20"/>
          <w:szCs w:val="20"/>
          <w:color w:val="auto"/>
        </w:rPr>
      </w:pPr>
      <w:r>
        <w:rPr>
          <w:rFonts w:ascii="Times New Roman" w:cs="Times New Roman" w:eastAsia="Times New Roman" w:hAnsi="Times New Roman"/>
          <w:sz w:val="14"/>
          <w:szCs w:val="14"/>
          <w:color w:val="auto"/>
        </w:rPr>
        <w:t>Under the interest make-whole conversion rate adjustment, the holders of the August 2024 convertible senior notes are able to convert at any time during the period from, and including, the date that is six months after the last date of original issuance of the notes until the close of business on the business day immediately</w:t>
      </w:r>
    </w:p>
    <w:p>
      <w:pPr>
        <w:sectPr>
          <w:pgSz w:w="11900" w:h="16840" w:orient="portrait"/>
          <w:cols w:equalWidth="0" w:num="1">
            <w:col w:w="10580"/>
          </w:cols>
          <w:pgMar w:left="660" w:top="551" w:right="660" w:bottom="0" w:gutter="0" w:footer="0" w:header="0"/>
        </w:sectPr>
      </w:pPr>
    </w:p>
    <w:bookmarkStart w:id="17" w:name="page18"/>
    <w:bookmarkEnd w:id="17"/>
    <w:p>
      <w:pPr>
        <w:jc w:val="both"/>
        <w:ind w:left="300" w:right="40"/>
        <w:spacing w:after="0" w:line="331" w:lineRule="auto"/>
        <w:rPr>
          <w:sz w:val="20"/>
          <w:szCs w:val="20"/>
          <w:color w:val="auto"/>
        </w:rPr>
      </w:pPr>
      <w:r>
        <w:rPr>
          <w:rFonts w:ascii="Times New Roman" w:cs="Times New Roman" w:eastAsia="Times New Roman" w:hAnsi="Times New Roman"/>
          <w:sz w:val="14"/>
          <w:szCs w:val="14"/>
          <w:color w:val="auto"/>
        </w:rPr>
        <w:t>preceding August 1, 2027 (other than a conversion in connection with a make-whole fundamental change or a cleanup redemption or a tax redemption). During the period, the Group will increase the conversion rate per US$1,000 principal amount of notes to be converted by a number of additional Class A ordinary shares.</w:t>
      </w:r>
    </w:p>
    <w:p>
      <w:pPr>
        <w:spacing w:after="0" w:line="48" w:lineRule="exact"/>
        <w:rPr>
          <w:sz w:val="20"/>
          <w:szCs w:val="20"/>
          <w:color w:val="auto"/>
        </w:rPr>
      </w:pPr>
    </w:p>
    <w:p>
      <w:pPr>
        <w:jc w:val="both"/>
        <w:ind w:left="300" w:right="40"/>
        <w:spacing w:after="0" w:line="241" w:lineRule="auto"/>
        <w:rPr>
          <w:sz w:val="20"/>
          <w:szCs w:val="20"/>
          <w:color w:val="auto"/>
        </w:rPr>
      </w:pPr>
      <w:r>
        <w:rPr>
          <w:rFonts w:ascii="Times New Roman" w:cs="Times New Roman" w:eastAsia="Times New Roman" w:hAnsi="Times New Roman"/>
          <w:sz w:val="16"/>
          <w:szCs w:val="16"/>
          <w:color w:val="auto"/>
        </w:rPr>
        <w:t>The Group is able to call for redemption of the August 2024 convertible senior notes based on the terms and conditions specified in the agreement of the August 2024 convertible senior notes at a redemption price equal to the principal amount of the notes to be redeemed, plus any accrued and unpaid interest. In addition, upon the occurrence of a fundamental change, as defined in the agreement of the August 2024 convertible senior notes, holders may require the Group to repurchase their August 2024 convertible senior notes at a cash repurchase price equal to the principal amount of the August 2024 convertible senior notes to be repurchased, plus accrued and unpaid interest.</w:t>
      </w: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p>
      <w:pPr>
        <w:jc w:val="both"/>
        <w:ind w:left="300" w:right="40"/>
        <w:spacing w:after="0" w:line="241" w:lineRule="auto"/>
        <w:rPr>
          <w:sz w:val="20"/>
          <w:szCs w:val="20"/>
          <w:color w:val="auto"/>
        </w:rPr>
      </w:pPr>
      <w:r>
        <w:rPr>
          <w:rFonts w:ascii="Times New Roman" w:cs="Times New Roman" w:eastAsia="Times New Roman" w:hAnsi="Times New Roman"/>
          <w:sz w:val="16"/>
          <w:szCs w:val="16"/>
          <w:color w:val="auto"/>
        </w:rPr>
        <w:t>The conversion features embedded to the August 2024 convertible senior notes met the criteria to be separated from the host contract and recognized separately at fair value. The total proceeds received were first allocated to the fair value of the derivative liability, and the remaining proceeds allocated to the host. The host is subsequently measured using the effective interest method, and the derivative liability is measured at fair value, with changes in fair value recorded in profit or loss. The borrowings and associated derivative liabilities arising from the August 2024 convertible senior notes are classified as current liabilities as of June 30, 2025 and December 31, 2024.</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Unamortized debt discount and transaction costs were reported as a direct deduction from the face amount of the August 2024 convertible senior notes.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During the six months ended June 30, 2025, there were 2 types of settlements of the August 2024 convertible senior notes:</w:t>
      </w:r>
    </w:p>
    <w:p>
      <w:pPr>
        <w:spacing w:after="0" w:line="176" w:lineRule="exact"/>
        <w:rPr>
          <w:sz w:val="20"/>
          <w:szCs w:val="20"/>
          <w:color w:val="auto"/>
        </w:rPr>
      </w:pPr>
    </w:p>
    <w:p>
      <w:pPr>
        <w:jc w:val="both"/>
        <w:ind w:left="580" w:right="20" w:hanging="286"/>
        <w:spacing w:after="0" w:line="247" w:lineRule="auto"/>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the August 2024 convertible senior notes with aggregate principal amount of approximately US$14.4 million have converted their notes, in accordance with the terms specified in the August 2024 convertible senior notes, into 1,968,760 of the Group’s Class A ordinary shares, with no cash consideration.</w:t>
      </w:r>
    </w:p>
    <w:p>
      <w:pPr>
        <w:spacing w:after="0" w:line="152" w:lineRule="exact"/>
        <w:rPr>
          <w:rFonts w:ascii="Times New Roman" w:cs="Times New Roman" w:eastAsia="Times New Roman" w:hAnsi="Times New Roman"/>
          <w:sz w:val="16"/>
          <w:szCs w:val="16"/>
          <w:color w:val="auto"/>
        </w:rPr>
      </w:pPr>
    </w:p>
    <w:p>
      <w:pPr>
        <w:jc w:val="both"/>
        <w:ind w:left="580" w:right="40" w:hanging="286"/>
        <w:spacing w:after="0" w:line="299" w:lineRule="auto"/>
        <w:tabs>
          <w:tab w:leader="none" w:pos="5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the August 2024 convertible senior notes with aggregate principal amount of approximately US$75.7 million have exchanged their notes into 8,093,427 of the Group’s Class A ordinary shares and cash consideration of US$36.1 million, which included accrued interest. The exchange of notes was accounted as an extinguishment of the August 2024 convertible senior notes and resulted in a loss on extinguishment of convertible notes of US$16.2 million.</w:t>
      </w:r>
    </w:p>
    <w:p>
      <w:pPr>
        <w:sectPr>
          <w:pgSz w:w="11900" w:h="16840" w:orient="portrait"/>
          <w:cols w:equalWidth="0" w:num="1">
            <w:col w:w="10600"/>
          </w:cols>
          <w:pgMar w:left="660" w:top="557" w:right="640" w:bottom="119" w:gutter="0" w:footer="0" w:header="0"/>
        </w:sectPr>
      </w:pP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following table reconciles the carrying value of the August 2024 convertible senior notes as of June 30, 2025 and December 31,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707505" cy="1295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issuance of convertible notes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Less: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Less: fair value of embedded derivative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Carrying value of convertible notes at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1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Amortized debt discount</w:t>
      </w:r>
    </w:p>
    <w:p>
      <w:pPr>
        <w:spacing w:after="0"/>
        <w:rPr>
          <w:sz w:val="20"/>
          <w:szCs w:val="20"/>
          <w:color w:val="auto"/>
        </w:rPr>
      </w:pPr>
      <w:r>
        <w:rPr>
          <w:rFonts w:ascii="Times New Roman" w:cs="Times New Roman" w:eastAsia="Times New Roman" w:hAnsi="Times New Roman"/>
          <w:sz w:val="16"/>
          <w:szCs w:val="16"/>
          <w:color w:val="auto"/>
        </w:rPr>
        <w:t>Debt extinguishment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w:t>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1295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Amortized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Debt extinguishment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June 30, 2025</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June 30, 2025 and December 31, 2024, the unamortized debt discount was US$4.9 million and US$65.2 million.</w:t>
      </w:r>
    </w:p>
    <w:p>
      <w:pPr>
        <w:spacing w:after="0" w:line="174" w:lineRule="exact"/>
        <w:rPr>
          <w:sz w:val="20"/>
          <w:szCs w:val="20"/>
          <w:color w:val="auto"/>
        </w:rPr>
      </w:pPr>
    </w:p>
    <w:p>
      <w:pPr>
        <w:ind w:left="580" w:hanging="286"/>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November 2024 convertible senior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172,500</w:t>
      </w:r>
    </w:p>
    <w:p>
      <w:pPr>
        <w:spacing w:after="0" w:line="1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(6,204)</w:t>
      </w:r>
    </w:p>
    <w:p>
      <w:pPr>
        <w:spacing w:after="0"/>
        <w:rPr>
          <w:sz w:val="20"/>
          <w:szCs w:val="20"/>
          <w:color w:val="auto"/>
        </w:rPr>
      </w:pPr>
      <w:r>
        <w:rPr>
          <w:rFonts w:ascii="Times New Roman" w:cs="Times New Roman" w:eastAsia="Times New Roman" w:hAnsi="Times New Roman"/>
          <w:sz w:val="14"/>
          <w:szCs w:val="14"/>
          <w:color w:val="auto"/>
        </w:rPr>
        <w:t>(112,205)</w:t>
      </w:r>
    </w:p>
    <w:p>
      <w:pPr>
        <w:spacing w:after="0" w:line="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54,091</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2,902</w:t>
      </w:r>
    </w:p>
    <w:p>
      <w:pPr>
        <w:jc w:val="right"/>
        <w:ind w:right="80"/>
        <w:spacing w:after="0"/>
        <w:rPr>
          <w:sz w:val="20"/>
          <w:szCs w:val="20"/>
          <w:color w:val="auto"/>
        </w:rPr>
      </w:pPr>
      <w:r>
        <w:rPr>
          <w:rFonts w:ascii="Times New Roman" w:cs="Times New Roman" w:eastAsia="Times New Roman" w:hAnsi="Times New Roman"/>
          <w:sz w:val="16"/>
          <w:szCs w:val="16"/>
          <w:color w:val="auto"/>
        </w:rPr>
        <w:t>(24,490)</w:t>
      </w:r>
    </w:p>
    <w:p>
      <w:pPr>
        <w:spacing w:after="0" w:line="1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32,503</w:t>
      </w:r>
    </w:p>
    <w:p>
      <w:pPr>
        <w:spacing w:after="0" w:line="1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2,627</w:t>
      </w:r>
    </w:p>
    <w:p>
      <w:pPr>
        <w:jc w:val="right"/>
        <w:ind w:right="80"/>
        <w:spacing w:after="0"/>
        <w:rPr>
          <w:sz w:val="20"/>
          <w:szCs w:val="20"/>
          <w:color w:val="auto"/>
        </w:rPr>
      </w:pPr>
      <w:r>
        <w:rPr>
          <w:rFonts w:ascii="Times New Roman" w:cs="Times New Roman" w:eastAsia="Times New Roman" w:hAnsi="Times New Roman"/>
          <w:sz w:val="16"/>
          <w:szCs w:val="16"/>
          <w:color w:val="auto"/>
        </w:rPr>
        <w:t>(32,347)</w:t>
      </w:r>
    </w:p>
    <w:p>
      <w:pPr>
        <w:spacing w:after="0" w:line="38"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2,783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5715</wp:posOffset>
            </wp:positionV>
            <wp:extent cx="67056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70560" cy="15240"/>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28575</wp:posOffset>
            </wp:positionV>
            <wp:extent cx="67056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70560" cy="15240"/>
                    </a:xfrm>
                    <a:prstGeom prst="rect">
                      <a:avLst/>
                    </a:prstGeom>
                    <a:noFill/>
                  </pic:spPr>
                </pic:pic>
              </a:graphicData>
            </a:graphic>
          </wp:anchor>
        </w:drawing>
      </w:r>
    </w:p>
    <w:p>
      <w:pPr>
        <w:spacing w:after="0" w:line="956" w:lineRule="exact"/>
        <w:rPr>
          <w:sz w:val="20"/>
          <w:szCs w:val="20"/>
          <w:color w:val="auto"/>
        </w:rPr>
      </w:pPr>
    </w:p>
    <w:p>
      <w:pPr>
        <w:sectPr>
          <w:pgSz w:w="11900" w:h="16840" w:orient="portrait"/>
          <w:cols w:equalWidth="0" w:num="2">
            <w:col w:w="9180" w:space="720"/>
            <w:col w:w="700"/>
          </w:cols>
          <w:pgMar w:left="660" w:top="557" w:right="640" w:bottom="119" w:gutter="0" w:footer="0" w:header="0"/>
          <w:type w:val="continuous"/>
        </w:sectPr>
      </w:pPr>
    </w:p>
    <w:p>
      <w:pPr>
        <w:jc w:val="both"/>
        <w:ind w:left="300"/>
        <w:spacing w:after="0" w:line="284" w:lineRule="auto"/>
        <w:rPr>
          <w:sz w:val="20"/>
          <w:szCs w:val="20"/>
          <w:color w:val="auto"/>
        </w:rPr>
      </w:pPr>
      <w:r>
        <w:rPr>
          <w:rFonts w:ascii="Times New Roman" w:cs="Times New Roman" w:eastAsia="Times New Roman" w:hAnsi="Times New Roman"/>
          <w:sz w:val="14"/>
          <w:szCs w:val="14"/>
          <w:color w:val="auto"/>
        </w:rPr>
        <w:t>In November 2024, the Group issued US $400.0 million in aggregate principal amount of 5.25% Convertible Senior Notes due 2029 (the “November 2024 convertible senior notes”). The November 2024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including the August 2024 convertible senior notes, effectively junior to any of the Group’s secured indebtedness to the extent of the value of the assets securing such indebtedness and structurally junior to all indebtedness and other liabilities, including trade payables, of the Group’s subsidiaries.</w:t>
      </w:r>
    </w:p>
    <w:p>
      <w:pPr>
        <w:spacing w:after="0" w:line="128" w:lineRule="exact"/>
        <w:rPr>
          <w:sz w:val="20"/>
          <w:szCs w:val="20"/>
          <w:color w:val="auto"/>
        </w:rPr>
      </w:pPr>
    </w:p>
    <w:p>
      <w:pPr>
        <w:jc w:val="both"/>
        <w:ind w:left="300" w:right="20"/>
        <w:spacing w:after="0" w:line="238" w:lineRule="auto"/>
        <w:rPr>
          <w:sz w:val="20"/>
          <w:szCs w:val="20"/>
          <w:color w:val="auto"/>
        </w:rPr>
      </w:pPr>
      <w:r>
        <w:rPr>
          <w:rFonts w:ascii="Times New Roman" w:cs="Times New Roman" w:eastAsia="Times New Roman" w:hAnsi="Times New Roman"/>
          <w:sz w:val="16"/>
          <w:szCs w:val="16"/>
          <w:color w:val="auto"/>
        </w:rPr>
        <w:t>The November 2024 convertible senior notes accrue interest at a rate of 5.25% per annum, payable semi- annually in arrears on June 1 and December 1 of each year, beginning on June 1, 2025. The November 2024 convertible senior notes will mature on December 1, 2029, unless earlier repurchased, redeemed or converted. Holders may convert their November 2024 convertible senior notes at their option upon satisfaction of certain conditions as defined in the conversion privilege section of the agreement of the November 2024 convertible senior notes, or any time after September 1, 2029, and prior to the close of business on the second scheduled trading day immediately preceding the maturity date. The Group is able to settle the conversion using shares, cash or a combination at its own discretion. The initial conversion rate is 62.7126 Class A ordinary shares per US$1,000 principal amount of November 2024 convertible senior notes, and the number of Class A ordinary shares issuable upon conversion is subject to customary adjustments upon the occurrence of certain events, such as the conversion upon a make-whole fundamental change, as defined in the agreement of the November 2024 convertible senior notes.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p>
      <w:pPr>
        <w:jc w:val="both"/>
        <w:ind w:left="300" w:right="20"/>
        <w:spacing w:after="0" w:line="247" w:lineRule="auto"/>
        <w:rPr>
          <w:sz w:val="20"/>
          <w:szCs w:val="20"/>
          <w:color w:val="auto"/>
        </w:rPr>
      </w:pPr>
      <w:r>
        <w:rPr>
          <w:rFonts w:ascii="Times New Roman" w:cs="Times New Roman" w:eastAsia="Times New Roman" w:hAnsi="Times New Roman"/>
          <w:sz w:val="16"/>
          <w:szCs w:val="16"/>
          <w:color w:val="auto"/>
        </w:rPr>
        <w:t>On December 6, 2027 (the “specified repurchase date”), the holders of the November 2024 convertible senior notes may require the Group to repurchase all or a portion of their notes for cash, in principal amount of US$1,000 or any integral multiple thereof. The repurchase price will be equal to 100% of the principal amount of the notes being repurchased, plus accrued and unpaid interest up to, but excluding, the specified repurchase date.</w:t>
      </w:r>
    </w:p>
    <w:p>
      <w:pPr>
        <w:spacing w:after="0" w:line="152" w:lineRule="exact"/>
        <w:rPr>
          <w:sz w:val="20"/>
          <w:szCs w:val="20"/>
          <w:color w:val="auto"/>
        </w:rPr>
      </w:pPr>
    </w:p>
    <w:p>
      <w:pPr>
        <w:jc w:val="both"/>
        <w:ind w:left="300" w:right="20"/>
        <w:spacing w:after="0" w:line="289" w:lineRule="auto"/>
        <w:rPr>
          <w:sz w:val="20"/>
          <w:szCs w:val="20"/>
          <w:color w:val="auto"/>
        </w:rPr>
      </w:pPr>
      <w:r>
        <w:rPr>
          <w:rFonts w:ascii="Times New Roman" w:cs="Times New Roman" w:eastAsia="Times New Roman" w:hAnsi="Times New Roman"/>
          <w:sz w:val="14"/>
          <w:szCs w:val="14"/>
          <w:color w:val="auto"/>
        </w:rPr>
        <w:t>The Group is able to call for redemption of the November 2024 convertible senior notes based on the terms and conditions specified in the agreement of the November 2024 convertible senior notes at a redemption price equal to the principal amount of the notes to be redeemed, plus any accrued and unpaid interest. In addition, upon the occurrence of a fundamental change, as defined in the agreement of the November 2024 convertible senior notes, holders may require the Group to repurchase their November 2024 convertible senior notes at a cash repurchase price equal to the principal amount of the November 2024 convertible senior notes</w:t>
      </w:r>
    </w:p>
    <w:p>
      <w:pPr>
        <w:sectPr>
          <w:pgSz w:w="11900" w:h="16840" w:orient="portrait"/>
          <w:cols w:equalWidth="0" w:num="1">
            <w:col w:w="10600"/>
          </w:cols>
          <w:pgMar w:left="660" w:top="557" w:right="640" w:bottom="119" w:gutter="0" w:footer="0" w:header="0"/>
          <w:type w:val="continuous"/>
        </w:sectPr>
      </w:pPr>
    </w:p>
    <w:bookmarkStart w:id="18" w:name="page19"/>
    <w:bookmarkEnd w:id="18"/>
    <w:p>
      <w:pPr>
        <w:ind w:left="300"/>
        <w:spacing w:after="0"/>
        <w:rPr>
          <w:sz w:val="20"/>
          <w:szCs w:val="20"/>
          <w:color w:val="auto"/>
        </w:rPr>
      </w:pPr>
      <w:r>
        <w:rPr>
          <w:rFonts w:ascii="Times New Roman" w:cs="Times New Roman" w:eastAsia="Times New Roman" w:hAnsi="Times New Roman"/>
          <w:sz w:val="16"/>
          <w:szCs w:val="16"/>
          <w:color w:val="auto"/>
        </w:rPr>
        <w:t>to be repurchased, plus accrued and unpaid interest.</w:t>
      </w:r>
    </w:p>
    <w:p>
      <w:pPr>
        <w:spacing w:after="0" w:line="176" w:lineRule="exact"/>
        <w:rPr>
          <w:sz w:val="20"/>
          <w:szCs w:val="20"/>
          <w:color w:val="auto"/>
        </w:rPr>
      </w:pPr>
    </w:p>
    <w:p>
      <w:pPr>
        <w:jc w:val="both"/>
        <w:ind w:left="300" w:right="20"/>
        <w:spacing w:after="0" w:line="241" w:lineRule="auto"/>
        <w:rPr>
          <w:sz w:val="20"/>
          <w:szCs w:val="20"/>
          <w:color w:val="auto"/>
        </w:rPr>
      </w:pPr>
      <w:r>
        <w:rPr>
          <w:rFonts w:ascii="Times New Roman" w:cs="Times New Roman" w:eastAsia="Times New Roman" w:hAnsi="Times New Roman"/>
          <w:sz w:val="16"/>
          <w:szCs w:val="16"/>
          <w:color w:val="auto"/>
        </w:rPr>
        <w:t>The conversion features embedded to the November 2024 convertible senior notes met the criteria to be separated from the host contract and recognized separately at fair value. The total proceeds received were first allocated to the fair value of the derivative liability, and the remaining proceeds allocated to the host. The host is subsequently measured using the effective interest method, and the derivative liability is measured at fair value, with changes in fair value recorded in profit or loss. The borrowings and associated derivative liabilities arising from the November 2024 convertible senior notes are classified as current liabilities as of June 30, 2025 and December 31, 2024.</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Unamortized debt discount and transaction costs were reported as a direct deduction from the face amount of the November 2024 convertible senior notes.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92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The following table reconciles the carrying value of the November 2024 convertible senior notes as of June 30, 2025 and December 31, 2024:</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Proceeds from issuance of convertible notes</w:t>
            </w:r>
          </w:p>
        </w:tc>
        <w:tc>
          <w:tcPr>
            <w:tcW w:w="1200" w:type="dxa"/>
            <w:vAlign w:val="bottom"/>
            <w:tcBorders>
              <w:top w:val="single" w:sz="8" w:color="CCEEFF"/>
            </w:tcBorders>
            <w:gridSpan w:val="3"/>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transaction costs</w:t>
            </w:r>
          </w:p>
        </w:tc>
        <w:tc>
          <w:tcPr>
            <w:tcW w:w="1260" w:type="dxa"/>
            <w:vAlign w:val="bottom"/>
            <w:gridSpan w:val="4"/>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(13,214)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fair value of embedded derivative</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(228,298)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Carrying value of convertible notes at inception</w:t>
            </w:r>
          </w:p>
        </w:tc>
        <w:tc>
          <w:tcPr>
            <w:tcW w:w="120" w:type="dxa"/>
            <w:vAlign w:val="bottom"/>
            <w:tcBorders>
              <w:top w:val="single" w:sz="8" w:color="CCEEFF"/>
            </w:tcBorders>
          </w:tcPr>
          <w:p>
            <w:pPr>
              <w:spacing w:after="0"/>
              <w:rPr>
                <w:sz w:val="14"/>
                <w:szCs w:val="14"/>
                <w:color w:val="auto"/>
              </w:rPr>
            </w:pPr>
          </w:p>
        </w:tc>
        <w:tc>
          <w:tcPr>
            <w:tcW w:w="10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158,488</w:t>
            </w: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Amortized debt discount</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At December 31, 2024</w:t>
            </w: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160,717</w:t>
            </w: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9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Amortized debt discount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12,239</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80" w:type="dxa"/>
            <w:vAlign w:val="bottom"/>
          </w:tcPr>
          <w:p>
            <w:pPr>
              <w:spacing w:after="0"/>
              <w:rPr>
                <w:sz w:val="20"/>
                <w:szCs w:val="20"/>
                <w:color w:val="auto"/>
              </w:rPr>
            </w:pPr>
            <w:r>
              <w:rPr>
                <w:rFonts w:ascii="Times New Roman" w:cs="Times New Roman" w:eastAsia="Times New Roman" w:hAnsi="Times New Roman"/>
                <w:sz w:val="16"/>
                <w:szCs w:val="16"/>
                <w:color w:val="auto"/>
              </w:rPr>
              <w:t>At June 30, 2025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172,956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June 30, 2025 and December 31, 2024, the unamortized debt discount was US$227.0 million and US$239.3 million.</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xml:space="preserve">(d)  </w:t>
      </w:r>
      <w:r>
        <w:rPr>
          <w:rFonts w:ascii="Times New Roman" w:cs="Times New Roman" w:eastAsia="Times New Roman" w:hAnsi="Times New Roman"/>
          <w:sz w:val="16"/>
          <w:szCs w:val="16"/>
          <w:i w:val="1"/>
          <w:iCs w:val="1"/>
          <w:color w:val="auto"/>
        </w:rPr>
        <w:t>June 2025 convertible senior notes</w:t>
      </w:r>
    </w:p>
    <w:p>
      <w:pPr>
        <w:spacing w:after="0" w:line="178" w:lineRule="exact"/>
        <w:rPr>
          <w:sz w:val="20"/>
          <w:szCs w:val="20"/>
          <w:color w:val="auto"/>
        </w:rPr>
      </w:pPr>
    </w:p>
    <w:p>
      <w:pPr>
        <w:jc w:val="both"/>
        <w:ind w:left="300" w:right="20"/>
        <w:spacing w:after="0" w:line="239" w:lineRule="auto"/>
        <w:rPr>
          <w:sz w:val="20"/>
          <w:szCs w:val="20"/>
          <w:color w:val="auto"/>
        </w:rPr>
      </w:pPr>
      <w:r>
        <w:rPr>
          <w:rFonts w:ascii="Times New Roman" w:cs="Times New Roman" w:eastAsia="Times New Roman" w:hAnsi="Times New Roman"/>
          <w:sz w:val="16"/>
          <w:szCs w:val="16"/>
          <w:color w:val="auto"/>
        </w:rPr>
        <w:t>In June 2025, the Group issued US $375.0 million in aggregate principal amount of 4.875% Convertible Senior Notes due 2031 (the “June 2025 convertible senior notes”). The June 2025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including the August 2024 convertible senior notes and November 2024 convertible senior notes, effectively junior to any of the Group’s secured indebtedness to the extent of the value of the assets securing such indebtedness and structurally junior to all indebtedness and other liabilities, including trade payables, of the Group’s subsidiaries.</w:t>
      </w:r>
    </w:p>
    <w:p>
      <w:pPr>
        <w:spacing w:after="0" w:line="161" w:lineRule="exact"/>
        <w:rPr>
          <w:sz w:val="20"/>
          <w:szCs w:val="20"/>
          <w:color w:val="auto"/>
        </w:rPr>
      </w:pPr>
    </w:p>
    <w:p>
      <w:pPr>
        <w:jc w:val="both"/>
        <w:ind w:left="300"/>
        <w:spacing w:after="0" w:line="238" w:lineRule="auto"/>
        <w:rPr>
          <w:sz w:val="20"/>
          <w:szCs w:val="20"/>
          <w:color w:val="auto"/>
        </w:rPr>
      </w:pPr>
      <w:r>
        <w:rPr>
          <w:rFonts w:ascii="Times New Roman" w:cs="Times New Roman" w:eastAsia="Times New Roman" w:hAnsi="Times New Roman"/>
          <w:sz w:val="16"/>
          <w:szCs w:val="16"/>
          <w:color w:val="auto"/>
        </w:rPr>
        <w:t>The June 2025 convertible senior notes accrue interest at a rate of 4.875% per annum, payable semi-annually in arrears on January 1 and July 1 of each year, beginning on January 1, 2026. The June 2025 convertible senior notes will mature on July 1, 2031, unless earlier repurchased, redeemed or converted. Holders may convert their June 2025 convertible senior notes at their option upon satisfaction of certain conditions as defined in the conversion privilege section of the agreement of the June 2025 convertible senior notes, or any time after April 1, 2031, and prior to the close of business on the second scheduled trading day immediately preceding the maturity date. The Group is able to settle the conversion using shares, cash or a combination at its own discretion. The initial conversion rate is 62.9921 Class A ordinary shares per US$1,000 principal amount of June 2025 convertible senior notes, and the number of Class A ordinary shares issuable upon conversion is subject to customary adjustments upon the occurrence of certain events, such as the conversion upon a make-whole fundamental change, as defined in the agreement of the June 2025 convertible senior notes.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p>
      <w:pPr>
        <w:jc w:val="both"/>
        <w:ind w:left="300"/>
        <w:spacing w:after="0" w:line="247" w:lineRule="auto"/>
        <w:rPr>
          <w:sz w:val="20"/>
          <w:szCs w:val="20"/>
          <w:color w:val="auto"/>
        </w:rPr>
      </w:pPr>
      <w:r>
        <w:rPr>
          <w:rFonts w:ascii="Times New Roman" w:cs="Times New Roman" w:eastAsia="Times New Roman" w:hAnsi="Times New Roman"/>
          <w:sz w:val="16"/>
          <w:szCs w:val="16"/>
          <w:color w:val="auto"/>
        </w:rPr>
        <w:t>On July 6, 2029 (the “specified repurchase date”), the holders of the June 2025 convertible senior notes may require the Group to repurchase all or a portion of their notes for cash, in principal amount of US$1,000 or any integral multiple thereof. The repurchase price will be equal to 100% of the principal amount of the notes being repurchased, plus accrued and unpaid interest up to, but excluding, the specified repurchase date.</w:t>
      </w:r>
    </w:p>
    <w:p>
      <w:pPr>
        <w:spacing w:after="0" w:line="152" w:lineRule="exact"/>
        <w:rPr>
          <w:sz w:val="20"/>
          <w:szCs w:val="20"/>
          <w:color w:val="auto"/>
        </w:rPr>
      </w:pPr>
    </w:p>
    <w:p>
      <w:pPr>
        <w:jc w:val="both"/>
        <w:ind w:left="300"/>
        <w:spacing w:after="0" w:line="241" w:lineRule="auto"/>
        <w:rPr>
          <w:sz w:val="20"/>
          <w:szCs w:val="20"/>
          <w:color w:val="auto"/>
        </w:rPr>
      </w:pPr>
      <w:r>
        <w:rPr>
          <w:rFonts w:ascii="Times New Roman" w:cs="Times New Roman" w:eastAsia="Times New Roman" w:hAnsi="Times New Roman"/>
          <w:sz w:val="16"/>
          <w:szCs w:val="16"/>
          <w:color w:val="auto"/>
        </w:rPr>
        <w:t>The Group is able to call for redemption of the June 2025 convertible senior notes based on the terms and conditions specified in the agreement of the June 2025 convertible senior notes at a redemption price equal to the principal amount of the notes to be redeemed, plus any accrued and unpaid interest. In addition, upon the occurrence of a fundamental change, as defined in the agreement of the June 2025 convertible senior notes, holders may require the Group to repurchase their June 2025 convertible senior notes at a cash repurchase price equal to the principal amount of the June 2025 convertible senior notes to be repurchased, plus accrued and unpaid interest.</w:t>
      </w:r>
    </w:p>
    <w:p>
      <w:pPr>
        <w:spacing w:after="0" w:line="157" w:lineRule="exact"/>
        <w:rPr>
          <w:sz w:val="20"/>
          <w:szCs w:val="20"/>
          <w:color w:val="auto"/>
        </w:rPr>
      </w:pPr>
    </w:p>
    <w:p>
      <w:pPr>
        <w:jc w:val="both"/>
        <w:ind w:left="300"/>
        <w:spacing w:after="0" w:line="289" w:lineRule="auto"/>
        <w:rPr>
          <w:sz w:val="20"/>
          <w:szCs w:val="20"/>
          <w:color w:val="auto"/>
        </w:rPr>
      </w:pPr>
      <w:r>
        <w:rPr>
          <w:rFonts w:ascii="Times New Roman" w:cs="Times New Roman" w:eastAsia="Times New Roman" w:hAnsi="Times New Roman"/>
          <w:sz w:val="14"/>
          <w:szCs w:val="14"/>
          <w:color w:val="auto"/>
        </w:rPr>
        <w:t>The conversion features embedded to the June 2025 convertible senior notes met the criteria to be separated from the host contract and recognized separately at fair value. The total proceeds received were first allocated to the fair value of the derivative liability, and the remaining proceeds allocated to the host. The host is subsequently measured using the effective interest method, and the derivative liability is measured at fair value, with changes in fair value recorded in profit or loss. The borrowings and associated derivative liabilities arising from the June 2025 convertible senior notes are classified as current liabilities as of June 30, 2025.</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Unamortized debt discount and transaction costs were reported as a direct deduction from the face amount of the June 2025 convertible senior notes.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reconciles the carrying value of the June 2025 convertible senior notes as of June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707505" cy="129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ectPr>
          <w:pgSz w:w="11900" w:h="16840" w:orient="portrait"/>
          <w:cols w:equalWidth="0" w:num="1">
            <w:col w:w="10580"/>
          </w:cols>
          <w:pgMar w:left="660" w:top="557" w:right="660" w:bottom="326" w:gutter="0" w:footer="0" w:header="0"/>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issuance of convertible notes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Less: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Less: fair value of embedded derivative (see Note 20)</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Carrying value of convertible notes at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Amortized debt discount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June 30, 2025</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375,000</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(11,403)</w:t>
      </w:r>
    </w:p>
    <w:p>
      <w:pPr>
        <w:spacing w:after="0"/>
        <w:rPr>
          <w:sz w:val="20"/>
          <w:szCs w:val="20"/>
          <w:color w:val="auto"/>
        </w:rPr>
      </w:pPr>
      <w:r>
        <w:rPr>
          <w:rFonts w:ascii="Times New Roman" w:cs="Times New Roman" w:eastAsia="Times New Roman" w:hAnsi="Times New Roman"/>
          <w:sz w:val="14"/>
          <w:szCs w:val="14"/>
          <w:color w:val="auto"/>
        </w:rPr>
        <w:t>(212,026)</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151,571</w:t>
      </w:r>
    </w:p>
    <w:p>
      <w:pPr>
        <w:spacing w:after="0" w:line="1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376</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151,947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5715</wp:posOffset>
            </wp:positionV>
            <wp:extent cx="67056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70560" cy="15240"/>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28575</wp:posOffset>
            </wp:positionV>
            <wp:extent cx="67056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70560" cy="1524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9180" w:space="720"/>
            <w:col w:w="680"/>
          </w:cols>
          <w:pgMar w:left="660" w:top="557" w:right="660" w:bottom="326" w:gutter="0" w:footer="0" w:header="0"/>
          <w:type w:val="continuous"/>
        </w:sectPr>
      </w:pP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As of June 30, 2025, the unamortized debt discount was US$223.0 million.</w:t>
      </w:r>
    </w:p>
    <w:p>
      <w:pPr>
        <w:spacing w:after="0" w:line="197" w:lineRule="exact"/>
        <w:rPr>
          <w:sz w:val="20"/>
          <w:szCs w:val="20"/>
          <w:color w:val="auto"/>
        </w:rPr>
      </w:pPr>
    </w:p>
    <w:p>
      <w:pPr>
        <w:ind w:left="300" w:hanging="294"/>
        <w:spacing w:after="0"/>
        <w:tabs>
          <w:tab w:leader="none" w:pos="30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 LIABILITIES</w:t>
      </w:r>
    </w:p>
    <w:p>
      <w:pPr>
        <w:spacing w:after="0" w:line="178"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represents the movement of the derivative liabilities:</w:t>
      </w:r>
    </w:p>
    <w:p>
      <w:pPr>
        <w:sectPr>
          <w:pgSz w:w="11900" w:h="16840" w:orient="portrait"/>
          <w:cols w:equalWidth="0" w:num="1">
            <w:col w:w="10580"/>
          </w:cols>
          <w:pgMar w:left="660" w:top="557" w:right="660" w:bottom="326"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2025</w:t>
            </w:r>
          </w:p>
        </w:tc>
        <w:tc>
          <w:tcPr>
            <w:tcW w:w="49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763,939</w:t>
            </w:r>
          </w:p>
        </w:tc>
      </w:tr>
      <w:tr>
        <w:trPr>
          <w:trHeight w:val="180"/>
        </w:trPr>
        <w:tc>
          <w:tcPr>
            <w:tcW w:w="4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Issuance of June 2025 convertible senior notes (d)</w:t>
            </w:r>
          </w:p>
        </w:tc>
        <w:tc>
          <w:tcPr>
            <w:tcW w:w="6160" w:type="dxa"/>
            <w:vAlign w:val="bottom"/>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212,026</w:t>
            </w:r>
          </w:p>
        </w:tc>
      </w:tr>
      <w:tr>
        <w:trPr>
          <w:trHeight w:val="180"/>
        </w:trPr>
        <w:tc>
          <w:tcPr>
            <w:tcW w:w="4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6160" w:type="dxa"/>
            <w:vAlign w:val="bottom"/>
            <w:gridSpan w:val="4"/>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(415,921)</w:t>
            </w: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Derecognition of derivative liabilities on conversion (a)(b)</w:t>
            </w:r>
          </w:p>
        </w:tc>
        <w:tc>
          <w:tcPr>
            <w:tcW w:w="61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(122,091)</w:t>
            </w:r>
          </w:p>
        </w:tc>
      </w:tr>
      <w:tr>
        <w:trPr>
          <w:trHeight w:val="200"/>
        </w:trPr>
        <w:tc>
          <w:tcPr>
            <w:tcW w:w="440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June 30, 2025</w:t>
            </w:r>
          </w:p>
        </w:tc>
        <w:tc>
          <w:tcPr>
            <w:tcW w:w="50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437,953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360"/>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4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180"/>
        </w:trPr>
        <w:tc>
          <w:tcPr>
            <w:tcW w:w="4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January 1, 2024</w:t>
            </w:r>
          </w:p>
        </w:tc>
        <w:tc>
          <w:tcPr>
            <w:tcW w:w="490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Issuance of Tether warrants (a)</w:t>
            </w:r>
          </w:p>
        </w:tc>
        <w:tc>
          <w:tcPr>
            <w:tcW w:w="608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11,106</w:t>
            </w:r>
          </w:p>
        </w:tc>
        <w:tc>
          <w:tcPr>
            <w:tcW w:w="80" w:type="dxa"/>
            <w:vAlign w:val="bottom"/>
          </w:tcPr>
          <w:p>
            <w:pPr>
              <w:spacing w:after="0"/>
              <w:rPr>
                <w:sz w:val="15"/>
                <w:szCs w:val="15"/>
                <w:color w:val="auto"/>
              </w:rPr>
            </w:pPr>
          </w:p>
        </w:tc>
      </w:tr>
      <w:tr>
        <w:trPr>
          <w:trHeight w:val="212"/>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6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14,230</w:t>
            </w:r>
          </w:p>
        </w:tc>
        <w:tc>
          <w:tcPr>
            <w:tcW w:w="80" w:type="dxa"/>
            <w:vAlign w:val="bottom"/>
            <w:shd w:val="clear" w:color="auto" w:fill="CCEEFF"/>
          </w:tcPr>
          <w:p>
            <w:pPr>
              <w:spacing w:after="0"/>
              <w:rPr>
                <w:sz w:val="18"/>
                <w:szCs w:val="18"/>
                <w:color w:val="auto"/>
              </w:rPr>
            </w:pPr>
          </w:p>
        </w:tc>
      </w:tr>
      <w:tr>
        <w:trPr>
          <w:trHeight w:val="168"/>
        </w:trPr>
        <w:tc>
          <w:tcPr>
            <w:tcW w:w="440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Balance at June 30, 2024</w:t>
            </w:r>
          </w:p>
        </w:tc>
        <w:tc>
          <w:tcPr>
            <w:tcW w:w="5020" w:type="dxa"/>
            <w:vAlign w:val="bottom"/>
            <w:tcBorders>
              <w:top w:val="single" w:sz="8" w:color="CCEEFF"/>
            </w:tcBorders>
            <w:gridSpan w:val="2"/>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25,336</w:t>
            </w:r>
          </w:p>
        </w:tc>
        <w:tc>
          <w:tcPr>
            <w:tcW w:w="80" w:type="dxa"/>
            <w:vAlign w:val="bottom"/>
            <w:tcBorders>
              <w:top w:val="single" w:sz="8" w:color="CCEEFF"/>
            </w:tcBorders>
          </w:tcPr>
          <w:p>
            <w:pPr>
              <w:spacing w:after="0"/>
              <w:rPr>
                <w:sz w:val="14"/>
                <w:szCs w:val="14"/>
                <w:color w:val="auto"/>
              </w:rPr>
            </w:pPr>
          </w:p>
        </w:tc>
      </w:tr>
      <w:tr>
        <w:trPr>
          <w:trHeight w:val="556"/>
        </w:trPr>
        <w:tc>
          <w:tcPr>
            <w:tcW w:w="440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jc w:val="right"/>
              <w:ind w:right="5120"/>
              <w:spacing w:after="0"/>
              <w:rPr>
                <w:sz w:val="20"/>
                <w:szCs w:val="20"/>
                <w:color w:val="auto"/>
              </w:rPr>
            </w:pPr>
            <w:r>
              <w:rPr>
                <w:rFonts w:ascii="Times New Roman" w:cs="Times New Roman" w:eastAsia="Times New Roman" w:hAnsi="Times New Roman"/>
                <w:sz w:val="16"/>
                <w:szCs w:val="16"/>
                <w:color w:val="auto"/>
              </w:rPr>
              <w:t>F-26</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derivative liabilities balance as of June 30, 2025 and December 31, 2024 comprise of:</w:t>
      </w:r>
    </w:p>
    <w:p>
      <w:pPr>
        <w:sectPr>
          <w:pgSz w:w="11900" w:h="16840" w:orient="portrait"/>
          <w:cols w:equalWidth="0" w:num="1">
            <w:col w:w="10600"/>
          </w:cols>
          <w:pgMar w:left="660" w:top="555" w:right="640" w:bottom="116"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707505" cy="129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Tether warrants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2024 convertible senior notes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14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November 2024 convertible senior notes (c)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2025 convertible senior notes (d)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160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707505"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180" w:type="dxa"/>
            <w:vAlign w:val="bottom"/>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180"/>
        </w:trPr>
        <w:tc>
          <w:tcPr>
            <w:tcW w:w="820" w:type="dxa"/>
            <w:vAlign w:val="bottom"/>
          </w:tcPr>
          <w:p>
            <w:pPr>
              <w:jc w:val="center"/>
              <w:ind w:right="182"/>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80" w:type="dxa"/>
            <w:vAlign w:val="bottom"/>
          </w:tcPr>
          <w:p>
            <w:pPr>
              <w:jc w:val="center"/>
              <w:ind w:left="2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820" w:type="dxa"/>
            <w:vAlign w:val="bottom"/>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180" w:type="dxa"/>
            <w:vAlign w:val="bottom"/>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3"/>
              </w:rPr>
              <w:t>2024</w:t>
            </w:r>
          </w:p>
        </w:tc>
      </w:tr>
    </w:tbl>
    <w:p>
      <w:pPr>
        <w:spacing w:after="0" w:line="1" w:lineRule="exact"/>
        <w:rPr>
          <w:sz w:val="20"/>
          <w:szCs w:val="20"/>
          <w:color w:val="auto"/>
        </w:rPr>
      </w:pPr>
    </w:p>
    <w:p>
      <w:pPr>
        <w:ind w:left="1640" w:hanging="875"/>
        <w:spacing w:after="0"/>
        <w:tabs>
          <w:tab w:leader="none" w:pos="1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66,803</w:t>
      </w:r>
    </w:p>
    <w:p>
      <w:pPr>
        <w:spacing w:after="0" w:line="14" w:lineRule="exact"/>
        <w:rPr>
          <w:rFonts w:ascii="Times New Roman" w:cs="Times New Roman" w:eastAsia="Times New Roman" w:hAnsi="Times New Roman"/>
          <w:sz w:val="16"/>
          <w:szCs w:val="16"/>
          <w:color w:val="auto"/>
        </w:rPr>
      </w:pPr>
    </w:p>
    <w:p>
      <w:pPr>
        <w:ind w:left="46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8,293228,932</w:t>
      </w:r>
    </w:p>
    <w:p>
      <w:pPr>
        <w:spacing w:after="0" w:line="1" w:lineRule="exact"/>
        <w:rPr>
          <w:sz w:val="20"/>
          <w:szCs w:val="20"/>
          <w:color w:val="auto"/>
        </w:rPr>
      </w:pPr>
    </w:p>
    <w:p>
      <w:pPr>
        <w:ind w:left="300"/>
        <w:spacing w:after="0"/>
        <w:tabs>
          <w:tab w:leader="none" w:pos="1540" w:val="left"/>
        </w:tabs>
        <w:rPr>
          <w:sz w:val="20"/>
          <w:szCs w:val="20"/>
          <w:color w:val="auto"/>
        </w:rPr>
      </w:pPr>
      <w:r>
        <w:rPr>
          <w:rFonts w:ascii="Times New Roman" w:cs="Times New Roman" w:eastAsia="Times New Roman" w:hAnsi="Times New Roman"/>
          <w:sz w:val="16"/>
          <w:szCs w:val="16"/>
          <w:color w:val="auto"/>
        </w:rPr>
        <w:t>214,266</w:t>
      </w:r>
      <w:r>
        <w:rPr>
          <w:sz w:val="20"/>
          <w:szCs w:val="20"/>
          <w:color w:val="auto"/>
        </w:rPr>
        <w:tab/>
      </w:r>
      <w:r>
        <w:rPr>
          <w:rFonts w:ascii="Times New Roman" w:cs="Times New Roman" w:eastAsia="Times New Roman" w:hAnsi="Times New Roman"/>
          <w:sz w:val="16"/>
          <w:szCs w:val="16"/>
          <w:color w:val="auto"/>
        </w:rPr>
        <w:t>468,204</w:t>
      </w:r>
    </w:p>
    <w:p>
      <w:pPr>
        <w:spacing w:after="0" w:line="1" w:lineRule="exact"/>
        <w:rPr>
          <w:sz w:val="20"/>
          <w:szCs w:val="20"/>
          <w:color w:val="auto"/>
        </w:rPr>
      </w:pPr>
    </w:p>
    <w:p>
      <w:pPr>
        <w:jc w:val="both"/>
        <w:ind w:left="300"/>
        <w:spacing w:after="0"/>
        <w:tabs>
          <w:tab w:leader="none" w:pos="2000" w:val="left"/>
        </w:tabs>
        <w:rPr>
          <w:sz w:val="20"/>
          <w:szCs w:val="20"/>
          <w:color w:val="auto"/>
        </w:rPr>
      </w:pPr>
      <w:r>
        <w:rPr>
          <w:rFonts w:ascii="Times New Roman" w:cs="Times New Roman" w:eastAsia="Times New Roman" w:hAnsi="Times New Roman"/>
          <w:sz w:val="16"/>
          <w:szCs w:val="16"/>
          <w:color w:val="auto"/>
        </w:rPr>
        <w:t>215,394</w:t>
      </w:r>
      <w:r>
        <w:rPr>
          <w:sz w:val="20"/>
          <w:szCs w:val="20"/>
          <w:color w:val="auto"/>
        </w:rPr>
        <w:tab/>
      </w:r>
      <w:r>
        <w:rPr>
          <w:rFonts w:ascii="Times New Roman" w:cs="Times New Roman" w:eastAsia="Times New Roman" w:hAnsi="Times New Roman"/>
          <w:sz w:val="16"/>
          <w:szCs w:val="16"/>
          <w:color w:val="auto"/>
        </w:rPr>
        <w:t>-</w:t>
      </w:r>
    </w:p>
    <w:p>
      <w:pPr>
        <w:spacing w:after="0" w:line="33" w:lineRule="exact"/>
        <w:rPr>
          <w:sz w:val="20"/>
          <w:szCs w:val="20"/>
          <w:color w:val="auto"/>
        </w:rPr>
      </w:pPr>
    </w:p>
    <w:p>
      <w:pPr>
        <w:ind w:left="300"/>
        <w:spacing w:after="0"/>
        <w:tabs>
          <w:tab w:leader="none" w:pos="1540" w:val="left"/>
        </w:tabs>
        <w:rPr>
          <w:sz w:val="20"/>
          <w:szCs w:val="20"/>
          <w:color w:val="auto"/>
        </w:rPr>
      </w:pPr>
      <w:r>
        <w:rPr>
          <w:rFonts w:ascii="Times New Roman" w:cs="Times New Roman" w:eastAsia="Times New Roman" w:hAnsi="Times New Roman"/>
          <w:sz w:val="16"/>
          <w:szCs w:val="16"/>
          <w:color w:val="auto"/>
        </w:rPr>
        <w:t>437,953</w:t>
      </w:r>
      <w:r>
        <w:rPr>
          <w:sz w:val="20"/>
          <w:szCs w:val="20"/>
          <w:color w:val="auto"/>
        </w:rPr>
        <w:tab/>
      </w:r>
      <w:r>
        <w:rPr>
          <w:rFonts w:ascii="Times New Roman" w:cs="Times New Roman" w:eastAsia="Times New Roman" w:hAnsi="Times New Roman"/>
          <w:sz w:val="16"/>
          <w:szCs w:val="16"/>
          <w:color w:val="auto"/>
        </w:rPr>
        <w:t>763,939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28575</wp:posOffset>
            </wp:positionV>
            <wp:extent cx="147891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1478915" cy="1524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7680" w:space="720"/>
            <w:col w:w="2200"/>
          </w:cols>
          <w:pgMar w:left="660" w:top="555" w:right="640" w:bottom="116" w:gutter="0" w:footer="0" w:header="0"/>
          <w:type w:val="continuous"/>
        </w:sectPr>
      </w:pPr>
    </w:p>
    <w:p>
      <w:pPr>
        <w:spacing w:after="0" w:line="34" w:lineRule="exact"/>
        <w:rPr>
          <w:sz w:val="20"/>
          <w:szCs w:val="20"/>
          <w:color w:val="auto"/>
        </w:rPr>
      </w:pPr>
    </w:p>
    <w:p>
      <w:pPr>
        <w:ind w:left="300" w:hanging="294"/>
        <w:spacing w:after="0"/>
        <w:tabs>
          <w:tab w:leader="none" w:pos="3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Tether warrants</w:t>
      </w:r>
    </w:p>
    <w:p>
      <w:pPr>
        <w:spacing w:after="0" w:line="178" w:lineRule="exact"/>
        <w:rPr>
          <w:rFonts w:ascii="Times New Roman" w:cs="Times New Roman" w:eastAsia="Times New Roman" w:hAnsi="Times New Roman"/>
          <w:sz w:val="16"/>
          <w:szCs w:val="16"/>
          <w:color w:val="auto"/>
        </w:rPr>
      </w:pPr>
    </w:p>
    <w:p>
      <w:pPr>
        <w:ind w:left="300"/>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2024, the Group entered into a subscription agreement with Tether International Limited (“Tether”). Pursuant to the agreement, the Group agreed to issue and sell to Tether (i) 18,587,360 Class A ordinary shares and (ii) a warrant to purchase up to 5,000,000 Class A ordinary shares at an exercise price of US$10.00 per share (the “Tether Warrant”), for a total consideration of US$100,000,000. The warrant includes repricing adjustments for offerings at a price lower than the existing exercise price of the warrant and as a result, the Group has the obligation to issue a variable number of shares for a fixed total consideration upon exercise of the warrants.</w:t>
      </w:r>
    </w:p>
    <w:p>
      <w:pPr>
        <w:spacing w:after="0" w:line="156" w:lineRule="exact"/>
        <w:rPr>
          <w:rFonts w:ascii="Times New Roman" w:cs="Times New Roman" w:eastAsia="Times New Roman" w:hAnsi="Times New Roman"/>
          <w:sz w:val="16"/>
          <w:szCs w:val="16"/>
          <w:color w:val="auto"/>
        </w:rPr>
      </w:pPr>
    </w:p>
    <w:p>
      <w:pPr>
        <w:jc w:val="both"/>
        <w:ind w:left="300" w:right="20"/>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warrants are accounted for as a derivative instrument and measured at fair value at the issuance date and subsequently remeasured at each reporting date, with changes in fair value recognized in the profit or loss. For the periods ended June 30, 2025 and 2024, the Group recognized changes in fair value of derivative liability of US$42.6 million and US$14.2 million, respectively. The fair value of the warrant derivative was determined using the binomial model, with the assistance of an independent valuation specialist. Inputs to the model include assumptions about the expected volatility of the Group’s stock, the expected life of the warrants, the risk-free interest rate, and other factors.</w:t>
      </w:r>
    </w:p>
    <w:p>
      <w:pPr>
        <w:spacing w:after="0" w:line="156" w:lineRule="exact"/>
        <w:rPr>
          <w:rFonts w:ascii="Times New Roman" w:cs="Times New Roman" w:eastAsia="Times New Roman" w:hAnsi="Times New Roman"/>
          <w:sz w:val="16"/>
          <w:szCs w:val="16"/>
          <w:color w:val="auto"/>
        </w:rPr>
      </w:pPr>
    </w:p>
    <w:p>
      <w:pPr>
        <w:jc w:val="both"/>
        <w:ind w:left="300" w:right="6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2025, the derivative liability related to the Tether Warrant was extinguished upon exercise, with the exercise price adjusted to US$9.64 per share as a result of the repricing adjustments by issuance of 5,186,627 Class A ordinary shares to Tether. The carrying amount of US$24.2 million included in the liabilities was reclassified to equity.</w:t>
      </w:r>
    </w:p>
    <w:p>
      <w:pPr>
        <w:spacing w:after="0" w:line="152"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provides the inputs used in the model for determining the value of the warrant derivative: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520" w:type="dxa"/>
            <w:vAlign w:val="bottom"/>
          </w:tcPr>
          <w:p>
            <w:pPr>
              <w:spacing w:after="0"/>
              <w:rPr>
                <w:sz w:val="17"/>
                <w:szCs w:val="17"/>
                <w:color w:val="auto"/>
              </w:rPr>
            </w:pPr>
          </w:p>
        </w:tc>
        <w:tc>
          <w:tcPr>
            <w:tcW w:w="304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r>
      <w:tr>
        <w:trPr>
          <w:trHeight w:val="196"/>
        </w:trPr>
        <w:tc>
          <w:tcPr>
            <w:tcW w:w="752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r>
      <w:tr>
        <w:trPr>
          <w:trHeight w:val="180"/>
        </w:trPr>
        <w:tc>
          <w:tcPr>
            <w:tcW w:w="7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Share price</w:t>
            </w: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8.83 – 14.30</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5.82 - 10.26</w:t>
            </w:r>
          </w:p>
        </w:tc>
        <w:tc>
          <w:tcPr>
            <w:tcW w:w="80" w:type="dxa"/>
            <w:vAlign w:val="bottom"/>
            <w:shd w:val="clear" w:color="auto" w:fill="CCEEFF"/>
          </w:tcPr>
          <w:p>
            <w:pPr>
              <w:spacing w:after="0"/>
              <w:rPr>
                <w:sz w:val="15"/>
                <w:szCs w:val="15"/>
                <w:color w:val="auto"/>
              </w:rPr>
            </w:pPr>
          </w:p>
        </w:tc>
      </w:tr>
      <w:tr>
        <w:trPr>
          <w:trHeight w:val="180"/>
        </w:trPr>
        <w:tc>
          <w:tcPr>
            <w:tcW w:w="7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Dividend yield (%)</w:t>
            </w:r>
          </w:p>
        </w:tc>
        <w:tc>
          <w:tcPr>
            <w:tcW w:w="16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Expected volatility (%)</w:t>
            </w:r>
          </w:p>
        </w:tc>
        <w:tc>
          <w:tcPr>
            <w:tcW w:w="160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94% - 133%</w:t>
            </w:r>
          </w:p>
        </w:tc>
        <w:tc>
          <w:tcPr>
            <w:tcW w:w="1440" w:type="dxa"/>
            <w:vAlign w:val="bottom"/>
            <w:gridSpan w:val="2"/>
            <w:shd w:val="clear" w:color="auto" w:fill="CCEEFF"/>
          </w:tcPr>
          <w:p>
            <w:pPr>
              <w:ind w:left="520"/>
              <w:spacing w:after="0" w:line="180" w:lineRule="exact"/>
              <w:rPr>
                <w:sz w:val="20"/>
                <w:szCs w:val="20"/>
                <w:color w:val="auto"/>
              </w:rPr>
            </w:pPr>
            <w:r>
              <w:rPr>
                <w:rFonts w:ascii="Times New Roman" w:cs="Times New Roman" w:eastAsia="Times New Roman" w:hAnsi="Times New Roman"/>
                <w:sz w:val="16"/>
                <w:szCs w:val="16"/>
                <w:color w:val="auto"/>
              </w:rPr>
              <w:t>133% - 136%</w:t>
            </w: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 (%)</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- 5.19%</w:t>
            </w:r>
          </w:p>
        </w:tc>
        <w:tc>
          <w:tcPr>
            <w:tcW w:w="80" w:type="dxa"/>
            <w:vAlign w:val="bottom"/>
          </w:tcPr>
          <w:p>
            <w:pPr>
              <w:spacing w:after="0"/>
              <w:rPr>
                <w:sz w:val="17"/>
                <w:szCs w:val="17"/>
                <w:color w:val="auto"/>
              </w:rPr>
            </w:pPr>
          </w:p>
        </w:tc>
      </w:tr>
    </w:tbl>
    <w:p>
      <w:pPr>
        <w:spacing w:after="0" w:line="142" w:lineRule="exact"/>
        <w:rPr>
          <w:sz w:val="20"/>
          <w:szCs w:val="20"/>
          <w:color w:val="auto"/>
        </w:rPr>
      </w:pPr>
    </w:p>
    <w:p>
      <w:pPr>
        <w:ind w:left="300" w:hanging="294"/>
        <w:spacing w:after="0"/>
        <w:tabs>
          <w:tab w:leader="none" w:pos="3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Embedded derivative for August 2024 convertible senior notes</w:t>
      </w:r>
    </w:p>
    <w:p>
      <w:pPr>
        <w:spacing w:after="0" w:line="178" w:lineRule="exact"/>
        <w:rPr>
          <w:rFonts w:ascii="Times New Roman" w:cs="Times New Roman" w:eastAsia="Times New Roman" w:hAnsi="Times New Roman"/>
          <w:sz w:val="16"/>
          <w:szCs w:val="16"/>
          <w:color w:val="auto"/>
        </w:rPr>
      </w:pPr>
    </w:p>
    <w:p>
      <w:pPr>
        <w:ind w:left="300" w:right="4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issuance of the August 2024 convertible senior notes, the Group recognized a derivative liability related to the embedded conversion feature. See Note 19 for further details on the accounting treatment of the convertible notes and associated derivative liability.</w:t>
      </w:r>
    </w:p>
    <w:p>
      <w:pPr>
        <w:spacing w:after="0" w:line="143" w:lineRule="exact"/>
        <w:rPr>
          <w:rFonts w:ascii="Times New Roman" w:cs="Times New Roman" w:eastAsia="Times New Roman" w:hAnsi="Times New Roman"/>
          <w:sz w:val="16"/>
          <w:szCs w:val="16"/>
          <w:color w:val="auto"/>
        </w:rPr>
      </w:pPr>
    </w:p>
    <w:p>
      <w:pPr>
        <w:jc w:val="both"/>
        <w:ind w:left="300" w:right="4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six months ended June 30, 2025, holders of the August 2024 convertible senior notes undertook both conversions and extinguishments, pursuant to which, the corresponding derivative liabilities associated with the embedded conversion features, amounting to US$19.0 million and US$78.9 million respectively, were reclassified to equity. See Note 19.</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p>
      <w:pPr>
        <w:ind w:left="300" w:right="40"/>
        <w:spacing w:after="0" w:line="259" w:lineRule="auto"/>
        <w:rPr>
          <w:sz w:val="20"/>
          <w:szCs w:val="20"/>
          <w:color w:val="auto"/>
        </w:rPr>
      </w:pPr>
      <w:r>
        <w:rPr>
          <w:rFonts w:ascii="Times New Roman" w:cs="Times New Roman" w:eastAsia="Times New Roman" w:hAnsi="Times New Roman"/>
          <w:sz w:val="16"/>
          <w:szCs w:val="16"/>
          <w:color w:val="auto"/>
        </w:rPr>
        <w:t>The fair value of the derivative liability was determined using a binomial model, with the assistance of an independent valuation specialist. The model incorporates the following key inputs and assumptions:</w:t>
      </w:r>
    </w:p>
    <w:p>
      <w:pPr>
        <w:spacing w:after="0" w:line="141"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6"/>
          <w:szCs w:val="16"/>
          <w:b w:val="1"/>
          <w:bCs w:val="1"/>
          <w:color w:val="auto"/>
        </w:rPr>
        <w:t>Periods ended</w:t>
      </w:r>
    </w:p>
    <w:p>
      <w:pPr>
        <w:spacing w:after="0" w:line="12"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6"/>
          <w:szCs w:val="16"/>
          <w:b w:val="1"/>
          <w:bCs w:val="1"/>
          <w:color w:val="auto"/>
        </w:rPr>
        <w:t>June 30,</w:t>
      </w:r>
    </w:p>
    <w:p>
      <w:pPr>
        <w:jc w:val="center"/>
        <w:ind w:left="910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5781675</wp:posOffset>
            </wp:positionH>
            <wp:positionV relativeFrom="paragraph">
              <wp:posOffset>-5080</wp:posOffset>
            </wp:positionV>
            <wp:extent cx="86868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868680" cy="15240"/>
                    </a:xfrm>
                    <a:prstGeom prst="rect">
                      <a:avLst/>
                    </a:prstGeom>
                    <a:noFill/>
                  </pic:spPr>
                </pic:pic>
              </a:graphicData>
            </a:graphic>
          </wp:anchor>
        </w:drawing>
      </w:r>
    </w:p>
    <w:p>
      <w:pPr>
        <w:sectPr>
          <w:pgSz w:w="11900" w:h="16840" w:orient="portrait"/>
          <w:cols w:equalWidth="0" w:num="1">
            <w:col w:w="10600"/>
          </w:cols>
          <w:pgMar w:left="660" w:top="555" w:right="640" w:bottom="116"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
        </w:trPr>
        <w:tc>
          <w:tcPr>
            <w:tcW w:w="910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2"/>
        </w:trPr>
        <w:tc>
          <w:tcPr>
            <w:tcW w:w="91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Share price</w:t>
            </w:r>
          </w:p>
        </w:tc>
        <w:tc>
          <w:tcPr>
            <w:tcW w:w="14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8.83 - 14.18</w:t>
            </w:r>
          </w:p>
        </w:tc>
      </w:tr>
      <w:tr>
        <w:trPr>
          <w:trHeight w:val="180"/>
        </w:trPr>
        <w:tc>
          <w:tcPr>
            <w:tcW w:w="9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Dividend yield (%)</w:t>
            </w:r>
          </w:p>
        </w:tc>
        <w:tc>
          <w:tcPr>
            <w:tcW w:w="14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9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Expected volatility (%)</w:t>
            </w:r>
          </w:p>
        </w:tc>
        <w:tc>
          <w:tcPr>
            <w:tcW w:w="146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111% - 121%</w:t>
            </w:r>
          </w:p>
        </w:tc>
      </w:tr>
      <w:tr>
        <w:trPr>
          <w:trHeight w:val="203"/>
        </w:trPr>
        <w:tc>
          <w:tcPr>
            <w:tcW w:w="91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 (%)</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 - 4.05%</w:t>
            </w:r>
          </w:p>
        </w:tc>
        <w:tc>
          <w:tcPr>
            <w:tcW w:w="80" w:type="dxa"/>
            <w:vAlign w:val="bottom"/>
          </w:tcPr>
          <w:p>
            <w:pPr>
              <w:spacing w:after="0"/>
              <w:rPr>
                <w:sz w:val="17"/>
                <w:szCs w:val="17"/>
                <w:color w:val="auto"/>
              </w:rPr>
            </w:pPr>
          </w:p>
        </w:tc>
      </w:tr>
    </w:tbl>
    <w:p>
      <w:pPr>
        <w:spacing w:after="0" w:line="144"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6"/>
          <w:szCs w:val="16"/>
          <w:color w:val="auto"/>
        </w:rPr>
        <w:t>For the six months ended June 30, 2025 and 2024, the Group recognized a gain on change in fair value of derivative liability of US$122.7 million andnil, respectively.</w:t>
      </w:r>
    </w:p>
    <w:p>
      <w:pPr>
        <w:spacing w:after="0" w:line="141" w:lineRule="exact"/>
        <w:rPr>
          <w:sz w:val="20"/>
          <w:szCs w:val="20"/>
          <w:color w:val="auto"/>
        </w:rPr>
      </w:pPr>
    </w:p>
    <w:p>
      <w:pPr>
        <w:ind w:left="300" w:hanging="294"/>
        <w:spacing w:after="0"/>
        <w:tabs>
          <w:tab w:leader="none" w:pos="3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Embedded derivative for November 2024 convertible senior notes</w:t>
      </w:r>
    </w:p>
    <w:p>
      <w:pPr>
        <w:spacing w:after="0" w:line="178" w:lineRule="exact"/>
        <w:rPr>
          <w:rFonts w:ascii="Times New Roman" w:cs="Times New Roman" w:eastAsia="Times New Roman" w:hAnsi="Times New Roman"/>
          <w:sz w:val="16"/>
          <w:szCs w:val="16"/>
          <w:color w:val="auto"/>
        </w:rPr>
      </w:pPr>
    </w:p>
    <w:p>
      <w:pPr>
        <w:ind w:left="300" w:right="2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issuance of the November 2024 convertible senior notes, the Group recognized a derivative liability related to the embedded conversion feature. See Note 19 for further details on the accounting treatment of the convertible notes and associated derivative liability.</w:t>
      </w:r>
    </w:p>
    <w:p>
      <w:pPr>
        <w:spacing w:after="0" w:line="143" w:lineRule="exact"/>
        <w:rPr>
          <w:rFonts w:ascii="Times New Roman" w:cs="Times New Roman" w:eastAsia="Times New Roman" w:hAnsi="Times New Roman"/>
          <w:sz w:val="16"/>
          <w:szCs w:val="16"/>
          <w:color w:val="auto"/>
        </w:rPr>
      </w:pPr>
    </w:p>
    <w:p>
      <w:pPr>
        <w:ind w:left="300" w:right="2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derivative liability was determined using a binomial model, with the assistance of an independent valuation specialist. The model incorporates the following key inputs and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Periods ended</w:t>
            </w:r>
          </w:p>
        </w:tc>
      </w:tr>
      <w:tr>
        <w:trPr>
          <w:trHeight w:val="180"/>
        </w:trPr>
        <w:tc>
          <w:tcPr>
            <w:tcW w:w="9100" w:type="dxa"/>
            <w:vAlign w:val="bottom"/>
          </w:tcPr>
          <w:p>
            <w:pPr>
              <w:spacing w:after="0"/>
              <w:rPr>
                <w:sz w:val="15"/>
                <w:szCs w:val="15"/>
                <w:color w:val="auto"/>
              </w:rPr>
            </w:pPr>
          </w:p>
        </w:tc>
        <w:tc>
          <w:tcPr>
            <w:tcW w:w="146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199"/>
        </w:trPr>
        <w:tc>
          <w:tcPr>
            <w:tcW w:w="9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0"/>
        </w:trPr>
        <w:tc>
          <w:tcPr>
            <w:tcW w:w="9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Share price</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8.83</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6"/>
              </w:rPr>
              <w:t>- 11.48</w:t>
            </w:r>
          </w:p>
        </w:tc>
        <w:tc>
          <w:tcPr>
            <w:tcW w:w="80" w:type="dxa"/>
            <w:vAlign w:val="bottom"/>
            <w:shd w:val="clear" w:color="auto" w:fill="CCEEFF"/>
          </w:tcPr>
          <w:p>
            <w:pPr>
              <w:spacing w:after="0"/>
              <w:rPr>
                <w:sz w:val="15"/>
                <w:szCs w:val="15"/>
                <w:color w:val="auto"/>
              </w:rPr>
            </w:pPr>
          </w:p>
        </w:tc>
      </w:tr>
      <w:tr>
        <w:trPr>
          <w:trHeight w:val="180"/>
        </w:trPr>
        <w:tc>
          <w:tcPr>
            <w:tcW w:w="9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Dividend yield (%)</w:t>
            </w:r>
          </w:p>
        </w:tc>
        <w:tc>
          <w:tcPr>
            <w:tcW w:w="920" w:type="dxa"/>
            <w:vAlign w:val="bottom"/>
          </w:tcPr>
          <w:p>
            <w:pPr>
              <w:spacing w:after="0"/>
              <w:rPr>
                <w:sz w:val="15"/>
                <w:szCs w:val="15"/>
                <w:color w:val="auto"/>
              </w:rPr>
            </w:pPr>
          </w:p>
        </w:tc>
        <w:tc>
          <w:tcPr>
            <w:tcW w:w="5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9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Expected volatility (%)</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5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w w:val="94"/>
              </w:rPr>
              <w:t>- 121%</w:t>
            </w:r>
          </w:p>
        </w:tc>
      </w:tr>
      <w:tr>
        <w:trPr>
          <w:trHeight w:val="203"/>
        </w:trPr>
        <w:tc>
          <w:tcPr>
            <w:tcW w:w="91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3.76% - 3.95%</w:t>
            </w:r>
          </w:p>
        </w:tc>
        <w:tc>
          <w:tcPr>
            <w:tcW w:w="80" w:type="dxa"/>
            <w:vAlign w:val="bottom"/>
          </w:tcPr>
          <w:p>
            <w:pPr>
              <w:spacing w:after="0"/>
              <w:rPr>
                <w:sz w:val="17"/>
                <w:szCs w:val="17"/>
                <w:color w:val="auto"/>
              </w:rPr>
            </w:pPr>
          </w:p>
        </w:tc>
      </w:tr>
    </w:tbl>
    <w:p>
      <w:pPr>
        <w:spacing w:after="0" w:line="144"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6"/>
          <w:szCs w:val="16"/>
          <w:color w:val="auto"/>
        </w:rPr>
        <w:t>For the six months ended June 30, 2025 and 2024, the Group recognized a gain on change in fair value of derivative liability of US$253.9 million andnil, respectively.</w:t>
      </w:r>
    </w:p>
    <w:p>
      <w:pPr>
        <w:spacing w:after="0" w:line="141" w:lineRule="exact"/>
        <w:rPr>
          <w:sz w:val="20"/>
          <w:szCs w:val="20"/>
          <w:color w:val="auto"/>
        </w:rPr>
      </w:pPr>
    </w:p>
    <w:p>
      <w:pPr>
        <w:ind w:left="300" w:hanging="294"/>
        <w:spacing w:after="0"/>
        <w:tabs>
          <w:tab w:leader="none" w:pos="3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Embedded derivative for June 2025 convertible senior notes</w:t>
      </w:r>
    </w:p>
    <w:p>
      <w:pPr>
        <w:spacing w:after="0" w:line="178" w:lineRule="exact"/>
        <w:rPr>
          <w:rFonts w:ascii="Times New Roman" w:cs="Times New Roman" w:eastAsia="Times New Roman" w:hAnsi="Times New Roman"/>
          <w:sz w:val="16"/>
          <w:szCs w:val="16"/>
          <w:color w:val="auto"/>
        </w:rPr>
      </w:pPr>
    </w:p>
    <w:p>
      <w:pPr>
        <w:ind w:left="30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issuance of the June 2025 convertible senior notes, the Group recognized a derivative liability related to the embedded conversion feature. See Note 19 for further details on the accounting treatment of the convertible notes and associated derivative liability.</w:t>
      </w:r>
    </w:p>
    <w:p>
      <w:pPr>
        <w:spacing w:after="0" w:line="143" w:lineRule="exact"/>
        <w:rPr>
          <w:rFonts w:ascii="Times New Roman" w:cs="Times New Roman" w:eastAsia="Times New Roman" w:hAnsi="Times New Roman"/>
          <w:sz w:val="16"/>
          <w:szCs w:val="16"/>
          <w:color w:val="auto"/>
        </w:rPr>
      </w:pPr>
    </w:p>
    <w:p>
      <w:pPr>
        <w:ind w:left="300" w:right="2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derivative liability was determined using a binomial model, with the assistance of an independent valuation specialist. The model incorporates the following key inputs and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Initial</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4880" w:type="dxa"/>
            <w:vAlign w:val="bottom"/>
          </w:tcPr>
          <w:p>
            <w:pPr>
              <w:spacing w:after="0"/>
              <w:rPr>
                <w:sz w:val="15"/>
                <w:szCs w:val="15"/>
                <w:color w:val="auto"/>
              </w:rPr>
            </w:pPr>
          </w:p>
        </w:tc>
        <w:tc>
          <w:tcPr>
            <w:tcW w:w="4520" w:type="dxa"/>
            <w:vAlign w:val="bottom"/>
            <w:gridSpan w:val="3"/>
          </w:tcPr>
          <w:p>
            <w:pPr>
              <w:jc w:val="center"/>
              <w:ind w:left="29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recognition - At</w:t>
            </w:r>
          </w:p>
        </w:tc>
        <w:tc>
          <w:tcPr>
            <w:tcW w:w="1160" w:type="dxa"/>
            <w:vAlign w:val="bottom"/>
            <w:gridSpan w:val="2"/>
          </w:tcPr>
          <w:p>
            <w:pPr>
              <w:jc w:val="right"/>
              <w:ind w:right="580"/>
              <w:spacing w:after="0" w:line="180" w:lineRule="exact"/>
              <w:rPr>
                <w:sz w:val="20"/>
                <w:szCs w:val="20"/>
                <w:color w:val="auto"/>
              </w:rPr>
            </w:pPr>
            <w:r>
              <w:rPr>
                <w:rFonts w:ascii="Times New Roman" w:cs="Times New Roman" w:eastAsia="Times New Roman" w:hAnsi="Times New Roman"/>
                <w:sz w:val="16"/>
                <w:szCs w:val="16"/>
                <w:b w:val="1"/>
                <w:bCs w:val="1"/>
                <w:color w:val="auto"/>
              </w:rPr>
              <w:t>At</w:t>
            </w:r>
          </w:p>
        </w:tc>
      </w:tr>
      <w:tr>
        <w:trPr>
          <w:trHeight w:val="180"/>
        </w:trPr>
        <w:tc>
          <w:tcPr>
            <w:tcW w:w="4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23,</w:t>
            </w:r>
          </w:p>
        </w:tc>
        <w:tc>
          <w:tcPr>
            <w:tcW w:w="116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199"/>
        </w:trPr>
        <w:tc>
          <w:tcPr>
            <w:tcW w:w="4880" w:type="dxa"/>
            <w:vAlign w:val="bottom"/>
          </w:tcPr>
          <w:p>
            <w:pPr>
              <w:spacing w:after="0"/>
              <w:rPr>
                <w:sz w:val="17"/>
                <w:szCs w:val="17"/>
                <w:color w:val="auto"/>
              </w:rPr>
            </w:pPr>
          </w:p>
        </w:tc>
        <w:tc>
          <w:tcPr>
            <w:tcW w:w="4280" w:type="dxa"/>
            <w:vAlign w:val="bottom"/>
            <w:gridSpan w:val="2"/>
          </w:tcPr>
          <w:p>
            <w:pPr>
              <w:jc w:val="center"/>
              <w:ind w:left="316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17"/>
                <w:szCs w:val="17"/>
                <w:color w:val="auto"/>
              </w:rPr>
            </w:pPr>
          </w:p>
        </w:tc>
        <w:tc>
          <w:tcPr>
            <w:tcW w:w="10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80"/>
        </w:trPr>
        <w:tc>
          <w:tcPr>
            <w:tcW w:w="4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Share price</w:t>
            </w:r>
          </w:p>
        </w:tc>
        <w:tc>
          <w:tcPr>
            <w:tcW w:w="32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10.91</w:t>
            </w:r>
          </w:p>
        </w:tc>
        <w:tc>
          <w:tcPr>
            <w:tcW w:w="2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11.48</w:t>
            </w:r>
          </w:p>
        </w:tc>
        <w:tc>
          <w:tcPr>
            <w:tcW w:w="120" w:type="dxa"/>
            <w:vAlign w:val="bottom"/>
            <w:tcBorders>
              <w:top w:val="single" w:sz="8" w:color="CCEEFF"/>
            </w:tcBorders>
            <w:shd w:val="clear" w:color="auto" w:fill="CCEEFF"/>
          </w:tcPr>
          <w:p>
            <w:pPr>
              <w:spacing w:after="0"/>
              <w:rPr>
                <w:sz w:val="15"/>
                <w:szCs w:val="15"/>
                <w:color w:val="auto"/>
              </w:rPr>
            </w:pPr>
          </w:p>
        </w:tc>
      </w:tr>
      <w:tr>
        <w:trPr>
          <w:trHeight w:val="180"/>
        </w:trPr>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Dividend yield (%)</w:t>
            </w:r>
          </w:p>
        </w:tc>
        <w:tc>
          <w:tcPr>
            <w:tcW w:w="452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Expected volatility (%)</w:t>
            </w:r>
          </w:p>
        </w:tc>
        <w:tc>
          <w:tcPr>
            <w:tcW w:w="452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1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121%</w:t>
            </w:r>
          </w:p>
        </w:tc>
      </w:tr>
      <w:tr>
        <w:trPr>
          <w:trHeight w:val="203"/>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 (%)</w:t>
            </w:r>
          </w:p>
        </w:tc>
        <w:tc>
          <w:tcPr>
            <w:tcW w:w="4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3.89%</w:t>
            </w:r>
          </w:p>
        </w:tc>
      </w:tr>
    </w:tbl>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For the six months ended June 30, 2025, the Group recognized a loss on change in fair value of derivative liability of US$3.4 million.</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ind w:left="300" w:hanging="294"/>
        <w:spacing w:after="0"/>
        <w:tabs>
          <w:tab w:leader="none" w:pos="30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PAYABLES AND ACCRUALS</w:t>
      </w:r>
    </w:p>
    <w:p>
      <w:pPr>
        <w:spacing w:after="0" w:line="178"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Other payables and accruals consist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199"/>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Deposits from customers</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14,593</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12,561</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operating expenses</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8,792</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9,537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Payables for surtaxes</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6,894</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8,164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payable</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2,804</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Payable to the former owners in Norway Acquisition </w:t>
            </w:r>
            <w:r>
              <w:rPr>
                <w:rFonts w:ascii="Times New Roman" w:cs="Times New Roman" w:eastAsia="Times New Roman" w:hAnsi="Times New Roman"/>
                <w:sz w:val="25"/>
                <w:szCs w:val="25"/>
                <w:color w:val="auto"/>
                <w:vertAlign w:val="superscript"/>
              </w:rPr>
              <w:t>(1)</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2,162</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Payables for staff-related costs</w:t>
            </w:r>
          </w:p>
        </w:tc>
        <w:tc>
          <w:tcPr>
            <w:tcW w:w="13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2,713</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Restoration provision</w:t>
            </w:r>
          </w:p>
        </w:tc>
        <w:tc>
          <w:tcPr>
            <w:tcW w:w="13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2,092</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1,361</w:t>
            </w:r>
          </w:p>
        </w:tc>
        <w:tc>
          <w:tcPr>
            <w:tcW w:w="0" w:type="dxa"/>
            <w:vAlign w:val="bottom"/>
          </w:tcPr>
          <w:p>
            <w:pPr>
              <w:spacing w:after="0"/>
              <w:rPr>
                <w:sz w:val="1"/>
                <w:szCs w:val="1"/>
                <w:color w:val="auto"/>
              </w:rPr>
            </w:pPr>
          </w:p>
        </w:tc>
      </w:tr>
      <w:tr>
        <w:trPr>
          <w:trHeight w:val="203"/>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Warranty provisions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9"/>
        </w:trPr>
        <w:tc>
          <w:tcPr>
            <w:tcW w:w="8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41,620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39,219</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40,617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41,620</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right="20" w:hanging="294"/>
        <w:spacing w:after="0" w:line="259" w:lineRule="auto"/>
        <w:tabs>
          <w:tab w:leader="none" w:pos="3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balance due to former owners in Norway Acquisition, which is a normal annual dividend authorized prior to the acquisition, thus not considered relevant to the business combination described in Note 6, and listed in other payable.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EXPENSES BY NATURE AND OTHER INCOME AND EXPENSES ITEMS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Expenses by nature</w:t>
      </w:r>
    </w:p>
    <w:p>
      <w:pPr>
        <w:sectPr>
          <w:pgSz w:w="11900" w:h="16840" w:orient="portrait"/>
          <w:cols w:equalWidth="0" w:num="1">
            <w:col w:w="10580"/>
          </w:cols>
          <w:pgMar w:left="660" w:top="570" w:right="660" w:bottom="314"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c>
          <w:tcPr>
            <w:tcW w:w="0" w:type="dxa"/>
            <w:vAlign w:val="bottom"/>
          </w:tcPr>
          <w:p>
            <w:pPr>
              <w:spacing w:after="0"/>
              <w:rPr>
                <w:sz w:val="1"/>
                <w:szCs w:val="1"/>
                <w:color w:val="auto"/>
              </w:rPr>
            </w:pPr>
          </w:p>
        </w:tc>
      </w:tr>
      <w:tr>
        <w:trPr>
          <w:trHeight w:val="114"/>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8140" w:type="dxa"/>
            <w:vAlign w:val="bottom"/>
            <w:gridSpan w:val="3"/>
            <w:vMerge w:val="continue"/>
          </w:tcPr>
          <w:p>
            <w:pPr>
              <w:spacing w:after="0"/>
              <w:rPr>
                <w:sz w:val="17"/>
                <w:szCs w:val="17"/>
                <w:color w:val="auto"/>
              </w:rPr>
            </w:pPr>
          </w:p>
        </w:tc>
        <w:tc>
          <w:tcPr>
            <w:tcW w:w="10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Staff cost</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Salaries, wages and other benefits</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37,989</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28,987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Share-based payment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20,574</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intangible assets</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11,566</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mining rigs</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12,337</w:t>
            </w:r>
          </w:p>
        </w:tc>
        <w:tc>
          <w:tcPr>
            <w:tcW w:w="20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9,487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property, plant and equipment</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19,817</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21,392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investment properties</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1,376</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right-of-use assets</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6,736</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Electricity cost in operating mining rigs</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93,397</w:t>
            </w:r>
          </w:p>
        </w:tc>
        <w:tc>
          <w:tcPr>
            <w:tcW w:w="20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110,474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Cost of mining rigs and accessories sold</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63,220</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One-off incremental development expense</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38,616</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Consulting service fee</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5,864</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3,712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 technical service fees</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4,975</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Office expenses</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2,401</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Travel expenses</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1,974</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Expenses of low-value consumables</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1,934</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Insurance fee</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1,191</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Advertising expenses</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1,116</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Logistic expenses</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Expenses of short-term leases</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Expenses of variable payment lease</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Impairment loss of mining rigs</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8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8,812</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cost of revenue, selling, general and administrative and research and development expenses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gridSpan w:val="2"/>
            <w:vMerge w:val="restart"/>
          </w:tcPr>
          <w:p>
            <w:pPr>
              <w:ind w:left="5120"/>
              <w:spacing w:after="0"/>
              <w:rPr>
                <w:sz w:val="20"/>
                <w:szCs w:val="20"/>
                <w:color w:val="auto"/>
              </w:rPr>
            </w:pPr>
            <w:r>
              <w:rPr>
                <w:rFonts w:ascii="Times New Roman" w:cs="Times New Roman" w:eastAsia="Times New Roman" w:hAnsi="Times New Roman"/>
                <w:sz w:val="16"/>
                <w:szCs w:val="16"/>
                <w:color w:val="auto"/>
              </w:rPr>
              <w:t>F-29</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8120" w:type="dxa"/>
            <w:vAlign w:val="bottom"/>
            <w:tcBorders>
              <w:bottom w:val="single" w:sz="8" w:color="auto"/>
            </w:tcBorders>
            <w:gridSpan w:val="2"/>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(b) Other operating income / (expenses)</w:t>
            </w: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66"/>
        </w:trPr>
        <w:tc>
          <w:tcPr>
            <w:tcW w:w="8140" w:type="dxa"/>
            <w:vAlign w:val="bottom"/>
          </w:tcPr>
          <w:p>
            <w:pPr>
              <w:spacing w:after="0"/>
              <w:rPr>
                <w:sz w:val="24"/>
                <w:szCs w:val="24"/>
                <w:color w:val="auto"/>
              </w:rPr>
            </w:pPr>
          </w:p>
        </w:tc>
        <w:tc>
          <w:tcPr>
            <w:tcW w:w="2340" w:type="dxa"/>
            <w:vAlign w:val="bottom"/>
            <w:tcBorders>
              <w:bottom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r>
      <w:tr>
        <w:trPr>
          <w:trHeight w:val="205"/>
        </w:trPr>
        <w:tc>
          <w:tcPr>
            <w:tcW w:w="8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707505" cy="129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ectPr>
          <w:pgSz w:w="11900" w:h="16840" w:orient="portrait"/>
          <w:cols w:equalWidth="0" w:num="1">
            <w:col w:w="10560"/>
          </w:cols>
          <w:pgMar w:left="660" w:top="555" w:right="680" w:bottom="0" w:gutter="0" w:footer="0" w:header="0"/>
        </w:sectPr>
      </w:pPr>
    </w:p>
    <w:p>
      <w:pPr>
        <w:spacing w:after="0"/>
        <w:rPr>
          <w:sz w:val="20"/>
          <w:szCs w:val="20"/>
          <w:color w:val="auto"/>
        </w:rPr>
      </w:pPr>
      <w:r>
        <w:rPr>
          <w:rFonts w:ascii="Times New Roman" w:cs="Times New Roman" w:eastAsia="Times New Roman" w:hAnsi="Times New Roman"/>
          <w:sz w:val="16"/>
          <w:szCs w:val="16"/>
          <w:color w:val="auto"/>
        </w:rPr>
        <w:t>Net gains on disposal of cryptocurrencies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Recognition of impairment loss of cryptocurrencies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14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ind w:right="3600"/>
        <w:spacing w:after="0" w:line="267" w:lineRule="auto"/>
        <w:rPr>
          <w:sz w:val="20"/>
          <w:szCs w:val="20"/>
          <w:color w:val="auto"/>
        </w:rPr>
      </w:pPr>
      <w:r>
        <w:rPr>
          <w:rFonts w:ascii="Times New Roman" w:cs="Times New Roman" w:eastAsia="Times New Roman" w:hAnsi="Times New Roman"/>
          <w:sz w:val="16"/>
          <w:szCs w:val="16"/>
          <w:color w:val="auto"/>
        </w:rPr>
        <w:t>Change in fair value of cryptocurrency-settled receivables and payables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6707505" cy="160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707505" cy="1600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ind w:left="1320" w:hanging="1147"/>
        <w:spacing w:after="0"/>
        <w:tabs>
          <w:tab w:leader="none" w:pos="1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3,981</w:t>
      </w:r>
    </w:p>
    <w:p>
      <w:pPr>
        <w:spacing w:after="0" w:line="1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(1,052)</w:t>
      </w:r>
      <w:r>
        <w:rPr>
          <w:rFonts w:ascii="Times New Roman" w:cs="Times New Roman" w:eastAsia="Times New Roman" w:hAnsi="Times New Roman"/>
          <w:sz w:val="14"/>
          <w:szCs w:val="14"/>
          <w:color w:val="auto"/>
        </w:rPr>
        <w:t>(823)</w:t>
      </w:r>
    </w:p>
    <w:p>
      <w:pPr>
        <w:spacing w:after="0" w:line="235" w:lineRule="auto"/>
        <w:tabs>
          <w:tab w:leader="none" w:pos="1500" w:val="left"/>
        </w:tabs>
        <w:rPr>
          <w:sz w:val="20"/>
          <w:szCs w:val="20"/>
          <w:color w:val="auto"/>
        </w:rPr>
      </w:pPr>
      <w:r>
        <w:rPr>
          <w:rFonts w:ascii="Times New Roman" w:cs="Times New Roman" w:eastAsia="Times New Roman" w:hAnsi="Times New Roman"/>
          <w:sz w:val="16"/>
          <w:szCs w:val="16"/>
          <w:color w:val="auto"/>
        </w:rPr>
        <w:t>(3,189)</w:t>
      </w:r>
      <w:r>
        <w:rPr>
          <w:sz w:val="20"/>
          <w:szCs w:val="20"/>
          <w:color w:val="auto"/>
        </w:rPr>
        <w:tab/>
      </w:r>
      <w:r>
        <w:rPr>
          <w:rFonts w:ascii="Times New Roman" w:cs="Times New Roman" w:eastAsia="Times New Roman" w:hAnsi="Times New Roman"/>
          <w:sz w:val="16"/>
          <w:szCs w:val="16"/>
          <w:color w:val="auto"/>
        </w:rPr>
        <w:t>32</w:t>
      </w:r>
    </w:p>
    <w:p>
      <w:pPr>
        <w:spacing w:after="0" w:line="1" w:lineRule="exact"/>
        <w:rPr>
          <w:sz w:val="20"/>
          <w:szCs w:val="20"/>
          <w:color w:val="auto"/>
        </w:rPr>
      </w:pPr>
    </w:p>
    <w:p>
      <w:pPr>
        <w:ind w:left="1460" w:hanging="1095"/>
        <w:spacing w:after="0"/>
        <w:tabs>
          <w:tab w:leader="none" w:pos="14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w:t>
      </w:r>
    </w:p>
    <w:p>
      <w:pPr>
        <w:spacing w:after="0" w:line="3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(4,054</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3,177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-64135</wp:posOffset>
            </wp:positionV>
            <wp:extent cx="147891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1478915" cy="15240"/>
                    </a:xfrm>
                    <a:prstGeom prst="rect">
                      <a:avLst/>
                    </a:prstGeom>
                    <a:noFill/>
                  </pic:spPr>
                </pic:pic>
              </a:graphicData>
            </a:graphic>
          </wp:anchor>
        </w:drawing>
      </w:r>
    </w:p>
    <w:p>
      <w:pPr>
        <w:spacing w:after="0" w:line="89" w:lineRule="exact"/>
        <w:rPr>
          <w:sz w:val="20"/>
          <w:szCs w:val="20"/>
          <w:color w:val="auto"/>
        </w:rPr>
      </w:pPr>
    </w:p>
    <w:p>
      <w:pPr>
        <w:sectPr>
          <w:pgSz w:w="11900" w:h="16840" w:orient="portrait"/>
          <w:cols w:equalWidth="0" w:num="2">
            <w:col w:w="8080" w:space="720"/>
            <w:col w:w="1760"/>
          </w:cols>
          <w:pgMar w:left="660" w:top="555" w:right="680" w:bottom="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 Other net gains / (losses)</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c>
          <w:tcPr>
            <w:tcW w:w="0" w:type="dxa"/>
            <w:vAlign w:val="bottom"/>
          </w:tcPr>
          <w:p>
            <w:pPr>
              <w:spacing w:after="0"/>
              <w:rPr>
                <w:sz w:val="1"/>
                <w:szCs w:val="1"/>
                <w:color w:val="auto"/>
              </w:rPr>
            </w:pPr>
          </w:p>
        </w:tc>
      </w:tr>
      <w:tr>
        <w:trPr>
          <w:trHeight w:val="19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415,921</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(14,230)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Government grants</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gains / (losses) on disposal of property, plant and equipment</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Changes in fair value of financial assets at fair value through profit or loss</w:t>
            </w: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(3,230)</w:t>
            </w: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180"/>
        </w:trPr>
        <w:tc>
          <w:tcPr>
            <w:tcW w:w="8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Losses on extinguishment of convertible notes</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(16,194)</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(1,851)</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08"/>
        </w:trPr>
        <w:tc>
          <w:tcPr>
            <w:tcW w:w="8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394,599</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 Finance income / (expenses)</w:t>
            </w: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14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c>
          <w:tcPr>
            <w:tcW w:w="0" w:type="dxa"/>
            <w:vAlign w:val="bottom"/>
          </w:tcPr>
          <w:p>
            <w:pPr>
              <w:spacing w:after="0"/>
              <w:rPr>
                <w:sz w:val="1"/>
                <w:szCs w:val="1"/>
                <w:color w:val="auto"/>
              </w:rPr>
            </w:pPr>
          </w:p>
        </w:tc>
      </w:tr>
      <w:tr>
        <w:trPr>
          <w:trHeight w:val="19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4,188</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3,535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Gains / (losses) on foreign currency transactions</w:t>
            </w:r>
          </w:p>
        </w:tc>
        <w:tc>
          <w:tcPr>
            <w:tcW w:w="12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3,448</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180"/>
        </w:trPr>
        <w:tc>
          <w:tcPr>
            <w:tcW w:w="8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Unwind of discount on restoration provision</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Cryptocurrency transaction service fee</w:t>
            </w: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0"/>
        </w:trPr>
        <w:tc>
          <w:tcPr>
            <w:tcW w:w="8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on lease liabilities</w:t>
            </w: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(1,779)</w:t>
            </w:r>
          </w:p>
        </w:tc>
        <w:tc>
          <w:tcPr>
            <w:tcW w:w="11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 xml:space="preserve">Interest expense on borrowings </w:t>
            </w:r>
            <w:r>
              <w:rPr>
                <w:rFonts w:ascii="Times New Roman" w:cs="Times New Roman" w:eastAsia="Times New Roman" w:hAnsi="Times New Roman"/>
                <w:sz w:val="25"/>
                <w:szCs w:val="25"/>
                <w:color w:val="auto"/>
                <w:vertAlign w:val="superscript"/>
              </w:rPr>
              <w:t>(1)</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(28,740)</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248"/>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(149)</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92"/>
        </w:trPr>
        <w:tc>
          <w:tcPr>
            <w:tcW w:w="8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(23,036</w:t>
            </w:r>
          </w:p>
        </w:tc>
        <w:tc>
          <w:tcPr>
            <w:tcW w:w="2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Included the amount of interest expense on borrowings from a related party. See Note 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23. SHARE-BASED PAYMENTS</w:t>
      </w:r>
    </w:p>
    <w:p>
      <w:pPr>
        <w:spacing w:after="0" w:line="178" w:lineRule="exact"/>
        <w:rPr>
          <w:sz w:val="20"/>
          <w:szCs w:val="20"/>
          <w:color w:val="auto"/>
        </w:rPr>
      </w:pPr>
    </w:p>
    <w:p>
      <w:pPr>
        <w:jc w:val="both"/>
        <w:ind w:firstLine="288"/>
        <w:spacing w:after="0" w:line="284" w:lineRule="auto"/>
        <w:rPr>
          <w:sz w:val="20"/>
          <w:szCs w:val="20"/>
          <w:color w:val="auto"/>
        </w:rPr>
      </w:pPr>
      <w:r>
        <w:rPr>
          <w:rFonts w:ascii="Times New Roman" w:cs="Times New Roman" w:eastAsia="Times New Roman" w:hAnsi="Times New Roman"/>
          <w:sz w:val="14"/>
          <w:szCs w:val="14"/>
          <w:color w:val="auto"/>
        </w:rPr>
        <w:t>In March 2023, the board of directors of BTG approved the 2023 Share Incentive Plan (the “2023 Plan”), which was effectuated in April 2023. Under the 2023 Plan, the Group is able to issue up to an aggregate of 21,877,912 Class A ordinary shares to the designated recipients. BTG granted a total of 915,362 shares awards in two batches in January and April 2025 for the six months ended June 30, 2025, and a total of 1,276,418 shares awards in two batches in January and April 2024 for the six months ended June 30, 2024, to the designated recipients under the 2023 Plan. Each share award grants an option for the recipient to purchase one share of the Group’s ordinary shares at exercise prices ranging from US$0.01 to US$21.67 and US$3.50 to US$9.86 per share for the six months ended June 30, 2025 and 2024,</w:t>
      </w:r>
    </w:p>
    <w:p>
      <w:pPr>
        <w:sectPr>
          <w:pgSz w:w="11900" w:h="16840" w:orient="portrait"/>
          <w:cols w:equalWidth="0" w:num="1">
            <w:col w:w="10560"/>
          </w:cols>
          <w:pgMar w:left="660" w:top="555" w:right="680" w:bottom="0" w:gutter="0" w:footer="0" w:header="0"/>
          <w:type w:val="continuous"/>
        </w:sectPr>
      </w:pPr>
    </w:p>
    <w:bookmarkStart w:id="22" w:name="page23"/>
    <w:bookmarkEnd w:id="22"/>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respectively. The majority of the share awards vest from two to five years and certain share awards vest immediately upon issuance. The recipient shall continue to provide services to the Group by each vesting date. All share awards granted expire on the tenth anniversary from the date of grant.</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In June 2023, the board of directors of BTG approved the 2023 Performance Share Plan (the “2023 Performance Plan”), which was effective in October 2023. The 2023 Performance Plan authorizes the Group to issue up to an aggregate of 11,128,861 Class A ordinary shares to designated recipients in accordance with the plan. The Group did not issue any award under the 2023 Performance Plan for the periods ended June 30, 2025.</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illustrates the number of shares and weighted average exercise prices of, and movements in, share awards.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80" w:type="dxa"/>
            <w:vAlign w:val="bottom"/>
          </w:tcPr>
          <w:p>
            <w:pPr>
              <w:spacing w:after="0"/>
              <w:rPr>
                <w:sz w:val="17"/>
                <w:szCs w:val="17"/>
                <w:color w:val="auto"/>
              </w:rPr>
            </w:pPr>
          </w:p>
        </w:tc>
        <w:tc>
          <w:tcPr>
            <w:tcW w:w="2740" w:type="dxa"/>
            <w:vAlign w:val="bottom"/>
            <w:tcBorders>
              <w:bottom w:val="single" w:sz="8" w:color="auto"/>
            </w:tcBorders>
            <w:gridSpan w:val="6"/>
          </w:tcPr>
          <w:p>
            <w:pPr>
              <w:jc w:val="center"/>
              <w:ind w:left="782"/>
              <w:spacing w:after="0"/>
              <w:rPr>
                <w:sz w:val="20"/>
                <w:szCs w:val="20"/>
                <w:color w:val="auto"/>
              </w:rPr>
            </w:pPr>
            <w:r>
              <w:rPr>
                <w:rFonts w:ascii="Times New Roman" w:cs="Times New Roman" w:eastAsia="Times New Roman" w:hAnsi="Times New Roman"/>
                <w:sz w:val="16"/>
                <w:szCs w:val="16"/>
                <w:b w:val="1"/>
                <w:bCs w:val="1"/>
                <w:color w:val="auto"/>
                <w:w w:val="97"/>
              </w:rPr>
              <w:t>Periods ended June 30, 2025</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65"/>
        </w:trPr>
        <w:tc>
          <w:tcPr>
            <w:tcW w:w="6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center"/>
              <w:ind w:right="380"/>
              <w:spacing w:after="0" w:line="16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94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5"/>
              </w:rPr>
              <w:t>exercise</w:t>
            </w:r>
          </w:p>
        </w:tc>
        <w:tc>
          <w:tcPr>
            <w:tcW w:w="94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average</w:t>
            </w: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price</w:t>
            </w:r>
          </w:p>
        </w:tc>
        <w:tc>
          <w:tcPr>
            <w:tcW w:w="94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fair value</w:t>
            </w:r>
          </w:p>
        </w:tc>
      </w:tr>
      <w:tr>
        <w:trPr>
          <w:trHeight w:val="180"/>
        </w:trPr>
        <w:tc>
          <w:tcPr>
            <w:tcW w:w="6880" w:type="dxa"/>
            <w:vAlign w:val="bottom"/>
          </w:tcPr>
          <w:p>
            <w:pPr>
              <w:spacing w:after="0"/>
              <w:rPr>
                <w:sz w:val="15"/>
                <w:szCs w:val="15"/>
                <w:color w:val="auto"/>
              </w:rPr>
            </w:pPr>
          </w:p>
        </w:tc>
        <w:tc>
          <w:tcPr>
            <w:tcW w:w="128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1460" w:type="dxa"/>
            <w:vAlign w:val="bottom"/>
            <w:gridSpan w:val="3"/>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per share</w:t>
            </w:r>
          </w:p>
        </w:tc>
        <w:tc>
          <w:tcPr>
            <w:tcW w:w="94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per share</w:t>
            </w:r>
          </w:p>
        </w:tc>
      </w:tr>
      <w:tr>
        <w:trPr>
          <w:trHeight w:val="180"/>
        </w:trPr>
        <w:tc>
          <w:tcPr>
            <w:tcW w:w="6880" w:type="dxa"/>
            <w:vAlign w:val="bottom"/>
          </w:tcPr>
          <w:p>
            <w:pPr>
              <w:spacing w:after="0"/>
              <w:rPr>
                <w:sz w:val="15"/>
                <w:szCs w:val="15"/>
                <w:color w:val="auto"/>
              </w:rPr>
            </w:pPr>
          </w:p>
        </w:tc>
        <w:tc>
          <w:tcPr>
            <w:tcW w:w="128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options</w:t>
            </w:r>
          </w:p>
        </w:tc>
        <w:tc>
          <w:tcPr>
            <w:tcW w:w="1460" w:type="dxa"/>
            <w:vAlign w:val="bottom"/>
            <w:gridSpan w:val="3"/>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award</w:t>
            </w:r>
          </w:p>
        </w:tc>
        <w:tc>
          <w:tcPr>
            <w:tcW w:w="94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award</w:t>
            </w:r>
          </w:p>
        </w:tc>
      </w:tr>
      <w:tr>
        <w:trPr>
          <w:trHeight w:val="199"/>
        </w:trPr>
        <w:tc>
          <w:tcPr>
            <w:tcW w:w="6880" w:type="dxa"/>
            <w:vAlign w:val="bottom"/>
          </w:tcPr>
          <w:p>
            <w:pPr>
              <w:spacing w:after="0"/>
              <w:rPr>
                <w:sz w:val="17"/>
                <w:szCs w:val="17"/>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(’000)</w:t>
            </w:r>
          </w:p>
        </w:tc>
        <w:tc>
          <w:tcPr>
            <w:tcW w:w="14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(US$)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(US$)</w:t>
            </w:r>
          </w:p>
        </w:tc>
      </w:tr>
      <w:tr>
        <w:trPr>
          <w:trHeight w:val="180"/>
        </w:trPr>
        <w:tc>
          <w:tcPr>
            <w:tcW w:w="6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 at January 1, 2025</w:t>
            </w: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13,866</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4.36</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18.41</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 during the period</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14.93</w:t>
            </w:r>
          </w:p>
        </w:tc>
        <w:tc>
          <w:tcPr>
            <w:tcW w:w="20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11.94</w:t>
            </w:r>
          </w:p>
        </w:tc>
      </w:tr>
      <w:tr>
        <w:trPr>
          <w:trHeight w:val="216"/>
        </w:trPr>
        <w:tc>
          <w:tcPr>
            <w:tcW w:w="6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Exercised during the period </w:t>
            </w:r>
            <w:r>
              <w:rPr>
                <w:rFonts w:ascii="Times New Roman" w:cs="Times New Roman" w:eastAsia="Times New Roman" w:hAnsi="Times New Roman"/>
                <w:sz w:val="25"/>
                <w:szCs w:val="25"/>
                <w:color w:val="auto"/>
                <w:vertAlign w:val="superscript"/>
              </w:rPr>
              <w:t>(1)</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22.14</w:t>
            </w: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during the period</w:t>
            </w: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17.68</w:t>
            </w:r>
          </w:p>
        </w:tc>
      </w:tr>
      <w:tr>
        <w:trPr>
          <w:trHeight w:val="212"/>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at June 30, 2025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14,166</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17.86</w:t>
            </w:r>
          </w:p>
        </w:tc>
      </w:tr>
      <w:tr>
        <w:trPr>
          <w:trHeight w:val="192"/>
        </w:trPr>
        <w:tc>
          <w:tcPr>
            <w:tcW w:w="6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Vested and exercisable at June 30, 2025</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7,139</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22.99</w:t>
            </w:r>
          </w:p>
        </w:tc>
      </w:tr>
      <w:tr>
        <w:trPr>
          <w:trHeight w:val="20"/>
        </w:trPr>
        <w:tc>
          <w:tcPr>
            <w:tcW w:w="6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6880" w:type="dxa"/>
            <w:vAlign w:val="bottom"/>
          </w:tcPr>
          <w:p>
            <w:pPr>
              <w:spacing w:after="0"/>
              <w:rPr>
                <w:sz w:val="24"/>
                <w:szCs w:val="24"/>
                <w:color w:val="auto"/>
              </w:rPr>
            </w:pPr>
          </w:p>
        </w:tc>
        <w:tc>
          <w:tcPr>
            <w:tcW w:w="2740" w:type="dxa"/>
            <w:vAlign w:val="bottom"/>
            <w:tcBorders>
              <w:bottom w:val="single" w:sz="8" w:color="auto"/>
            </w:tcBorders>
            <w:gridSpan w:val="6"/>
          </w:tcPr>
          <w:p>
            <w:pPr>
              <w:jc w:val="center"/>
              <w:ind w:left="782"/>
              <w:spacing w:after="0"/>
              <w:rPr>
                <w:sz w:val="20"/>
                <w:szCs w:val="20"/>
                <w:color w:val="auto"/>
              </w:rPr>
            </w:pPr>
            <w:r>
              <w:rPr>
                <w:rFonts w:ascii="Times New Roman" w:cs="Times New Roman" w:eastAsia="Times New Roman" w:hAnsi="Times New Roman"/>
                <w:sz w:val="16"/>
                <w:szCs w:val="16"/>
                <w:b w:val="1"/>
                <w:bCs w:val="1"/>
                <w:color w:val="auto"/>
                <w:w w:val="97"/>
              </w:rPr>
              <w:t>Periods ended June 30, 2024</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5"/>
        </w:trPr>
        <w:tc>
          <w:tcPr>
            <w:tcW w:w="6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center"/>
              <w:ind w:right="380"/>
              <w:spacing w:after="0" w:line="16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94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5"/>
              </w:rPr>
              <w:t>exercise</w:t>
            </w:r>
          </w:p>
        </w:tc>
        <w:tc>
          <w:tcPr>
            <w:tcW w:w="94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average</w:t>
            </w: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price</w:t>
            </w:r>
          </w:p>
        </w:tc>
        <w:tc>
          <w:tcPr>
            <w:tcW w:w="94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fair value</w:t>
            </w:r>
          </w:p>
        </w:tc>
      </w:tr>
      <w:tr>
        <w:trPr>
          <w:trHeight w:val="180"/>
        </w:trPr>
        <w:tc>
          <w:tcPr>
            <w:tcW w:w="6880" w:type="dxa"/>
            <w:vAlign w:val="bottom"/>
          </w:tcPr>
          <w:p>
            <w:pPr>
              <w:spacing w:after="0"/>
              <w:rPr>
                <w:sz w:val="15"/>
                <w:szCs w:val="15"/>
                <w:color w:val="auto"/>
              </w:rPr>
            </w:pPr>
          </w:p>
        </w:tc>
        <w:tc>
          <w:tcPr>
            <w:tcW w:w="128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1460" w:type="dxa"/>
            <w:vAlign w:val="bottom"/>
            <w:gridSpan w:val="3"/>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per share</w:t>
            </w:r>
          </w:p>
        </w:tc>
        <w:tc>
          <w:tcPr>
            <w:tcW w:w="94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per share</w:t>
            </w:r>
          </w:p>
        </w:tc>
      </w:tr>
      <w:tr>
        <w:trPr>
          <w:trHeight w:val="180"/>
        </w:trPr>
        <w:tc>
          <w:tcPr>
            <w:tcW w:w="6880" w:type="dxa"/>
            <w:vAlign w:val="bottom"/>
          </w:tcPr>
          <w:p>
            <w:pPr>
              <w:spacing w:after="0"/>
              <w:rPr>
                <w:sz w:val="15"/>
                <w:szCs w:val="15"/>
                <w:color w:val="auto"/>
              </w:rPr>
            </w:pPr>
          </w:p>
        </w:tc>
        <w:tc>
          <w:tcPr>
            <w:tcW w:w="128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options</w:t>
            </w:r>
          </w:p>
        </w:tc>
        <w:tc>
          <w:tcPr>
            <w:tcW w:w="1460" w:type="dxa"/>
            <w:vAlign w:val="bottom"/>
            <w:gridSpan w:val="3"/>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rPr>
              <w:t>award</w:t>
            </w:r>
          </w:p>
        </w:tc>
        <w:tc>
          <w:tcPr>
            <w:tcW w:w="94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award</w:t>
            </w:r>
          </w:p>
        </w:tc>
      </w:tr>
      <w:tr>
        <w:trPr>
          <w:trHeight w:val="199"/>
        </w:trPr>
        <w:tc>
          <w:tcPr>
            <w:tcW w:w="6880" w:type="dxa"/>
            <w:vAlign w:val="bottom"/>
          </w:tcPr>
          <w:p>
            <w:pPr>
              <w:spacing w:after="0"/>
              <w:rPr>
                <w:sz w:val="17"/>
                <w:szCs w:val="17"/>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(’000)</w:t>
            </w:r>
          </w:p>
        </w:tc>
        <w:tc>
          <w:tcPr>
            <w:tcW w:w="14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(US$)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(US$)</w:t>
            </w:r>
          </w:p>
        </w:tc>
      </w:tr>
      <w:tr>
        <w:trPr>
          <w:trHeight w:val="180"/>
        </w:trPr>
        <w:tc>
          <w:tcPr>
            <w:tcW w:w="6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 at January 1, 2024</w:t>
            </w: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11,744</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3.65</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23.04</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 during the period</w:t>
            </w:r>
          </w:p>
        </w:tc>
        <w:tc>
          <w:tcPr>
            <w:tcW w:w="11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1,276</w:t>
            </w: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5.78</w:t>
            </w:r>
          </w:p>
        </w:tc>
        <w:tc>
          <w:tcPr>
            <w:tcW w:w="80" w:type="dxa"/>
            <w:vAlign w:val="bottom"/>
          </w:tcPr>
          <w:p>
            <w:pPr>
              <w:spacing w:after="0"/>
              <w:rPr>
                <w:sz w:val="15"/>
                <w:szCs w:val="15"/>
                <w:color w:val="auto"/>
              </w:rPr>
            </w:pPr>
          </w:p>
        </w:tc>
      </w:tr>
      <w:tr>
        <w:trPr>
          <w:trHeight w:val="216"/>
        </w:trPr>
        <w:tc>
          <w:tcPr>
            <w:tcW w:w="6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Exercised during the period </w:t>
            </w:r>
            <w:r>
              <w:rPr>
                <w:rFonts w:ascii="Times New Roman" w:cs="Times New Roman" w:eastAsia="Times New Roman" w:hAnsi="Times New Roman"/>
                <w:sz w:val="25"/>
                <w:szCs w:val="25"/>
                <w:color w:val="auto"/>
                <w:vertAlign w:val="superscript"/>
              </w:rPr>
              <w:t>(1)</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21.83</w:t>
            </w:r>
          </w:p>
        </w:tc>
      </w:tr>
      <w:tr>
        <w:trPr>
          <w:trHeight w:val="196"/>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Forfeited during the period</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17.61</w:t>
            </w:r>
          </w:p>
        </w:tc>
      </w:tr>
      <w:tr>
        <w:trPr>
          <w:trHeight w:val="200"/>
        </w:trPr>
        <w:tc>
          <w:tcPr>
            <w:tcW w:w="68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 at June 30, 2024</w:t>
            </w:r>
          </w:p>
        </w:tc>
        <w:tc>
          <w:tcPr>
            <w:tcW w:w="10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12,757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21.37</w:t>
            </w:r>
          </w:p>
        </w:tc>
      </w:tr>
      <w:tr>
        <w:trPr>
          <w:trHeight w:val="192"/>
        </w:trPr>
        <w:tc>
          <w:tcPr>
            <w:tcW w:w="6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Vested and exercisable at June 30, 2024</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6,950</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23.63</w:t>
            </w:r>
          </w:p>
        </w:tc>
      </w:tr>
      <w:tr>
        <w:trPr>
          <w:trHeight w:val="20"/>
        </w:trPr>
        <w:tc>
          <w:tcPr>
            <w:tcW w:w="6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hanging="294"/>
        <w:spacing w:after="0" w:line="190" w:lineRule="auto"/>
        <w:tabs>
          <w:tab w:leader="none" w:pos="300" w:val="left"/>
        </w:tabs>
        <w:numPr>
          <w:ilvl w:val="0"/>
          <w:numId w:val="4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total proceeds received from the exercised shares under the 2023 plan during the periods ended June 30, 2025 and 2024 were approximately US$1.7 million and US$0.6 million, respectively.</w:t>
      </w:r>
    </w:p>
    <w:p>
      <w:pPr>
        <w:spacing w:after="0" w:line="157" w:lineRule="exact"/>
        <w:rPr>
          <w:rFonts w:ascii="Times New Roman" w:cs="Times New Roman" w:eastAsia="Times New Roman" w:hAnsi="Times New Roman"/>
          <w:sz w:val="26"/>
          <w:szCs w:val="26"/>
          <w:color w:val="auto"/>
          <w:vertAlign w:val="superscript"/>
        </w:rPr>
      </w:pPr>
    </w:p>
    <w:p>
      <w:pPr>
        <w:ind w:left="30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weighted average contractual life for the remaining options at June 30, 2025 and 2024 was 7.58 years and 7.72 years, respectively.</w:t>
      </w:r>
    </w:p>
    <w:p>
      <w:pPr>
        <w:spacing w:after="0" w:line="176" w:lineRule="exact"/>
        <w:rPr>
          <w:sz w:val="20"/>
          <w:szCs w:val="20"/>
          <w:color w:val="auto"/>
        </w:rPr>
      </w:pPr>
    </w:p>
    <w:p>
      <w:pPr>
        <w:ind w:firstLine="288"/>
        <w:spacing w:after="0" w:line="259" w:lineRule="auto"/>
        <w:rPr>
          <w:sz w:val="20"/>
          <w:szCs w:val="20"/>
          <w:color w:val="auto"/>
        </w:rPr>
      </w:pPr>
      <w:r>
        <w:rPr>
          <w:rFonts w:ascii="Times New Roman" w:cs="Times New Roman" w:eastAsia="Times New Roman" w:hAnsi="Times New Roman"/>
          <w:sz w:val="16"/>
          <w:szCs w:val="16"/>
          <w:color w:val="auto"/>
        </w:rPr>
        <w:t>The expense recognized for share awards during the six months ended June 30, 2025 and 2024 was approximately US$20.6 million and US$15.9 million. The breakdown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7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r>
      <w:tr>
        <w:trPr>
          <w:trHeight w:val="196"/>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4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r>
      <w:tr>
        <w:trPr>
          <w:trHeight w:val="180"/>
        </w:trPr>
        <w:tc>
          <w:tcPr>
            <w:tcW w:w="3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Cost of revenue</w:t>
            </w:r>
          </w:p>
        </w:tc>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1,335</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1,340</w:t>
            </w:r>
          </w:p>
        </w:tc>
        <w:tc>
          <w:tcPr>
            <w:tcW w:w="80" w:type="dxa"/>
            <w:vAlign w:val="bottom"/>
            <w:shd w:val="clear" w:color="auto" w:fill="CCEEFF"/>
          </w:tcPr>
          <w:p>
            <w:pPr>
              <w:spacing w:after="0"/>
              <w:rPr>
                <w:sz w:val="15"/>
                <w:szCs w:val="15"/>
                <w:color w:val="auto"/>
              </w:rPr>
            </w:pPr>
          </w:p>
        </w:tc>
      </w:t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Selling expenses</w:t>
            </w:r>
          </w:p>
        </w:tc>
        <w:tc>
          <w:tcPr>
            <w:tcW w:w="55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596</w:t>
            </w:r>
          </w:p>
        </w:tc>
        <w:tc>
          <w:tcPr>
            <w:tcW w:w="20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1,017</w:t>
            </w:r>
          </w:p>
        </w:tc>
      </w:tr>
      <w:tr>
        <w:trPr>
          <w:trHeight w:val="180"/>
        </w:trPr>
        <w:tc>
          <w:tcPr>
            <w:tcW w:w="3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5700" w:type="dxa"/>
            <w:vAlign w:val="bottom"/>
            <w:gridSpan w:val="4"/>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5,956</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9,172</w:t>
            </w:r>
          </w:p>
        </w:tc>
      </w:tr>
      <w:tr>
        <w:trPr>
          <w:trHeight w:val="196"/>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420" w:type="dxa"/>
            <w:vAlign w:val="bottom"/>
            <w:tcBorders>
              <w:bottom w:val="single" w:sz="8" w:color="CCEEFF"/>
            </w:tcBorders>
            <w:gridSpan w:val="2"/>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12,687</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80" w:type="dxa"/>
            <w:vAlign w:val="bottom"/>
            <w:tcBorders>
              <w:bottom w:val="single" w:sz="8" w:color="CCEEFF"/>
            </w:tcBorders>
          </w:tcPr>
          <w:p>
            <w:pPr>
              <w:spacing w:after="0"/>
              <w:rPr>
                <w:sz w:val="17"/>
                <w:szCs w:val="17"/>
                <w:color w:val="auto"/>
              </w:rPr>
            </w:pPr>
          </w:p>
        </w:tc>
      </w:tr>
      <w:tr>
        <w:trPr>
          <w:trHeight w:val="208"/>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4420" w:type="dxa"/>
            <w:vAlign w:val="bottom"/>
            <w:tcBorders>
              <w:bottom w:val="single" w:sz="8" w:color="CCEEFF"/>
            </w:tcBorders>
            <w:gridSpan w:val="2"/>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20,574</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2"/>
        </w:trPr>
        <w:tc>
          <w:tcPr>
            <w:tcW w:w="3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4"/>
          </w:tcPr>
          <w:p>
            <w:pPr>
              <w:ind w:left="1420"/>
              <w:spacing w:after="0"/>
              <w:rPr>
                <w:sz w:val="20"/>
                <w:szCs w:val="20"/>
                <w:color w:val="auto"/>
              </w:rPr>
            </w:pPr>
            <w:r>
              <w:rPr>
                <w:rFonts w:ascii="Times New Roman" w:cs="Times New Roman" w:eastAsia="Times New Roman" w:hAnsi="Times New Roman"/>
                <w:sz w:val="16"/>
                <w:szCs w:val="16"/>
                <w:color w:val="auto"/>
              </w:rPr>
              <w:t>F-31</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p>
      <w:pPr>
        <w:ind w:right="140" w:firstLine="288"/>
        <w:spacing w:after="0" w:line="259" w:lineRule="auto"/>
        <w:rPr>
          <w:sz w:val="20"/>
          <w:szCs w:val="20"/>
          <w:color w:val="auto"/>
        </w:rPr>
      </w:pPr>
      <w:r>
        <w:rPr>
          <w:rFonts w:ascii="Times New Roman" w:cs="Times New Roman" w:eastAsia="Times New Roman" w:hAnsi="Times New Roman"/>
          <w:sz w:val="16"/>
          <w:szCs w:val="16"/>
          <w:color w:val="auto"/>
        </w:rPr>
        <w:t>The fair value of the share awards is estimated at the grant date using the binomial model with the assistance of an independent valuation specialist. The following table provides the inputs range the model used for determining the value of the grant for the six months ended June 30, 2025 and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Pr>
          <w:p>
            <w:pPr>
              <w:spacing w:after="0"/>
              <w:rPr>
                <w:sz w:val="17"/>
                <w:szCs w:val="17"/>
                <w:color w:val="auto"/>
              </w:rPr>
            </w:pPr>
          </w:p>
        </w:tc>
        <w:tc>
          <w:tcPr>
            <w:tcW w:w="258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w w:val="96"/>
              </w:rPr>
              <w:t>Periods ended June 30,</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7"/>
                <w:szCs w:val="17"/>
                <w:color w:val="auto"/>
              </w:rPr>
            </w:pPr>
          </w:p>
        </w:tc>
      </w:tr>
      <w:tr>
        <w:trPr>
          <w:trHeight w:val="180"/>
        </w:trPr>
        <w:tc>
          <w:tcPr>
            <w:tcW w:w="68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Dividend yield (%)</w:t>
            </w:r>
          </w:p>
        </w:tc>
        <w:tc>
          <w:tcPr>
            <w:tcW w:w="1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r>
      <w:tr>
        <w:trPr>
          <w:trHeight w:val="312"/>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 (%)</w:t>
            </w:r>
          </w:p>
        </w:tc>
        <w:tc>
          <w:tcPr>
            <w:tcW w:w="1920" w:type="dxa"/>
            <w:vAlign w:val="bottom"/>
            <w:gridSpan w:val="2"/>
          </w:tcPr>
          <w:p>
            <w:pPr>
              <w:jc w:val="right"/>
              <w:ind w:right="100"/>
              <w:spacing w:after="0" w:line="312" w:lineRule="exact"/>
              <w:rPr>
                <w:sz w:val="20"/>
                <w:szCs w:val="20"/>
                <w:color w:val="auto"/>
              </w:rPr>
            </w:pPr>
            <w:r>
              <w:rPr>
                <w:rFonts w:ascii="Times New Roman" w:cs="Times New Roman" w:eastAsia="Times New Roman" w:hAnsi="Times New Roman"/>
                <w:sz w:val="16"/>
                <w:szCs w:val="16"/>
                <w:color w:val="auto"/>
              </w:rPr>
              <w:t>117% - 119</w:t>
            </w:r>
            <w:r>
              <w:rPr>
                <w:rFonts w:ascii="Times New Roman" w:cs="Times New Roman" w:eastAsia="Times New Roman" w:hAnsi="Times New Roman"/>
                <w:sz w:val="31"/>
                <w:szCs w:val="31"/>
                <w:color w:val="auto"/>
                <w:vertAlign w:val="subscript"/>
              </w:rPr>
              <w:t>%</w:t>
            </w:r>
          </w:p>
        </w:tc>
        <w:tc>
          <w:tcPr>
            <w:tcW w:w="6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180"/>
        </w:trPr>
        <w:tc>
          <w:tcPr>
            <w:tcW w:w="68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Risk-free interest rate (%)</w:t>
            </w:r>
          </w:p>
        </w:tc>
        <w:tc>
          <w:tcPr>
            <w:tcW w:w="192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4.17% - 4.58%</w:t>
            </w:r>
          </w:p>
        </w:tc>
        <w:tc>
          <w:tcPr>
            <w:tcW w:w="6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3.88% - 4.33%</w:t>
            </w: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Exercise multiple</w:t>
            </w:r>
          </w:p>
        </w:tc>
        <w:tc>
          <w:tcPr>
            <w:tcW w:w="2580" w:type="dxa"/>
            <w:vAlign w:val="bottom"/>
            <w:gridSpan w:val="3"/>
          </w:tcPr>
          <w:p>
            <w:pPr>
              <w:jc w:val="right"/>
              <w:ind w:right="900"/>
              <w:spacing w:after="0"/>
              <w:rPr>
                <w:sz w:val="20"/>
                <w:szCs w:val="20"/>
                <w:color w:val="auto"/>
              </w:rPr>
            </w:pPr>
            <w:r>
              <w:rPr>
                <w:rFonts w:ascii="Times New Roman" w:cs="Times New Roman" w:eastAsia="Times New Roman" w:hAnsi="Times New Roman"/>
                <w:sz w:val="16"/>
                <w:szCs w:val="16"/>
                <w:color w:val="auto"/>
              </w:rPr>
              <w:t>2.20 – 2.80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2.20 – 2.80</w:t>
            </w:r>
          </w:p>
        </w:tc>
      </w:tr>
    </w:tbl>
    <w:p>
      <w:pPr>
        <w:sectPr>
          <w:pgSz w:w="11900" w:h="16840" w:orient="portrait"/>
          <w:cols w:equalWidth="0" w:num="1">
            <w:col w:w="10580"/>
          </w:cols>
          <w:pgMar w:left="660" w:top="557" w:right="660" w:bottom="138"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6"/>
          <w:szCs w:val="16"/>
          <w:color w:val="auto"/>
        </w:rPr>
        <w:t>The above inputs for the binomial model have been determined based on the following:</w:t>
      </w:r>
    </w:p>
    <w:p>
      <w:pPr>
        <w:spacing w:after="0" w:line="176" w:lineRule="exact"/>
        <w:rPr>
          <w:sz w:val="20"/>
          <w:szCs w:val="20"/>
          <w:color w:val="auto"/>
        </w:rPr>
      </w:pPr>
    </w:p>
    <w:p>
      <w:pPr>
        <w:ind w:left="580" w:hanging="286"/>
        <w:spacing w:after="0" w:line="259" w:lineRule="auto"/>
        <w:tabs>
          <w:tab w:leader="none" w:pos="58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return is estimated by reference to the Group’s plan to distribute dividends in the near future. Currently, this is estimated to be zero as the Group plans to retain all profit for corporate expansion;</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volatility is estimated based on the daily close price volatility of a number of comparable companies to the Group;</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is based on the yield to maturity of U.S. treasury bills denominated in US$ at the option valuation date;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multiple is based on empirical research on typical share award exercise behavior.</w:t>
      </w:r>
    </w:p>
    <w:p>
      <w:pPr>
        <w:spacing w:after="0" w:line="174" w:lineRule="exact"/>
        <w:rPr>
          <w:rFonts w:ascii="Times New Roman" w:cs="Times New Roman" w:eastAsia="Times New Roman" w:hAnsi="Times New Roman"/>
          <w:sz w:val="16"/>
          <w:szCs w:val="16"/>
          <w:color w:val="auto"/>
        </w:rPr>
      </w:pPr>
    </w:p>
    <w:p>
      <w:pPr>
        <w:ind w:left="300" w:hanging="294"/>
        <w:spacing w:after="0"/>
        <w:tabs>
          <w:tab w:leader="none" w:pos="30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w:t>
      </w:r>
    </w:p>
    <w:p>
      <w:pPr>
        <w:spacing w:after="0" w:line="176"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u w:val="single" w:color="auto"/>
          <w:color w:val="auto"/>
        </w:rPr>
        <w:t>Issued share capital</w:t>
      </w:r>
    </w:p>
    <w:p>
      <w:pPr>
        <w:spacing w:after="0" w:line="178" w:lineRule="exact"/>
        <w:rPr>
          <w:rFonts w:ascii="Times New Roman" w:cs="Times New Roman" w:eastAsia="Times New Roman" w:hAnsi="Times New Roman"/>
          <w:sz w:val="16"/>
          <w:szCs w:val="16"/>
          <w:b w:val="1"/>
          <w:bCs w:val="1"/>
          <w:color w:val="auto"/>
        </w:rPr>
      </w:pPr>
    </w:p>
    <w:p>
      <w:pPr>
        <w:ind w:left="3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August 2023, the Group entered into a purchase agreement with B. Riley Principal Capital II, LLC (“B. Riley Principal Capital II”). Pursuant to the purchase</w:t>
      </w:r>
    </w:p>
    <w:p>
      <w:pPr>
        <w:spacing w:after="0" w:line="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agreement, the Group has the right to sell to B. Riley Principal Capital II, up to US$150,000,000 of its Class A ordinary shares with a par value US$ 0.0000001 per share. The purchase agreement has the maturity date of up to 36-month anniversary from the commencement date or on the date which B. Riley Principal Capital II shall have purchased Class A ordinary shares of an aggregate gross purchase price of US$150,000,000 or other termination conditions stated in the purchase agreement. During the six months ended June 30, 2025 and 2024, the Group newly issued nil and 6,922,648 Class A ordinary shares with net proceeds, after transaction costs, of approximately nil and US$51.6 million, respectively.</w:t>
      </w:r>
    </w:p>
    <w:p>
      <w:pPr>
        <w:spacing w:after="0" w:line="158" w:lineRule="exact"/>
        <w:rPr>
          <w:sz w:val="20"/>
          <w:szCs w:val="20"/>
          <w:color w:val="auto"/>
        </w:rPr>
      </w:pPr>
    </w:p>
    <w:p>
      <w:pPr>
        <w:jc w:val="both"/>
        <w:ind w:right="40" w:firstLine="288"/>
        <w:spacing w:after="0" w:line="241" w:lineRule="auto"/>
        <w:rPr>
          <w:sz w:val="20"/>
          <w:szCs w:val="20"/>
          <w:color w:val="auto"/>
        </w:rPr>
      </w:pPr>
      <w:r>
        <w:rPr>
          <w:rFonts w:ascii="Times New Roman" w:cs="Times New Roman" w:eastAsia="Times New Roman" w:hAnsi="Times New Roman"/>
          <w:sz w:val="16"/>
          <w:szCs w:val="16"/>
          <w:color w:val="auto"/>
        </w:rPr>
        <w:t>In March 2024, the Group entered into an At Market Issuance Sales Agreement (the “2024 At Market Issuance Sales Agreement”) with B. Riley Securities, Inc., Cantor Fitzgerald &amp; Co., Needham &amp; Company, LLC, Roth Capital Partners, LLC, StockBlock Securities LLC and Rosenblatt Securities Inc. (the “Sales Agents”). Pursuant to the sales agreement, the Group has the right to sell to the Sales Agents from time to time of its Class A ordinary shares with a par value US $0.0000001 per share. During the six months ended June 30, 2025 and 2024, the Group newly issued 6,076,388 and 1,031,072 Class A ordinary shares with net proceeds, after transaction costs, of approximately US$118.5 million and US$5.6 million, respectively.</w:t>
      </w:r>
    </w:p>
    <w:p>
      <w:pPr>
        <w:spacing w:after="0" w:line="157" w:lineRule="exact"/>
        <w:rPr>
          <w:sz w:val="20"/>
          <w:szCs w:val="20"/>
          <w:color w:val="auto"/>
        </w:rPr>
      </w:pPr>
    </w:p>
    <w:p>
      <w:pPr>
        <w:jc w:val="both"/>
        <w:ind w:right="20" w:firstLine="288"/>
        <w:spacing w:after="0" w:line="241" w:lineRule="auto"/>
        <w:rPr>
          <w:sz w:val="20"/>
          <w:szCs w:val="20"/>
          <w:color w:val="auto"/>
        </w:rPr>
      </w:pPr>
      <w:r>
        <w:rPr>
          <w:rFonts w:ascii="Times New Roman" w:cs="Times New Roman" w:eastAsia="Times New Roman" w:hAnsi="Times New Roman"/>
          <w:sz w:val="16"/>
          <w:szCs w:val="16"/>
          <w:color w:val="auto"/>
        </w:rPr>
        <w:t>In January 2025, the Group entered into an At Market Issuance Sales Agreement (the “2025 At Market Issuance Sales Agreement”)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(the “2025 Sales Agents”). Pursuant to the sales agreement, the Group has the right to sell to the 2025 Sales Agents from time to time of its Class A ordinary shares with a par value US$0.0000001 per share. As of June 30, 2025, the 2025 At Market Issuance Sales Agreement had not been activated.</w:t>
      </w:r>
    </w:p>
    <w:p>
      <w:pPr>
        <w:spacing w:after="0" w:line="157"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In April 2024, the Group issued 417,130 Class A ordinary shares to Renol Invest AS and Bryhni.com AS in connection with the Norway Acquisition, as described in Note 6. The fair value of the Class A ordinary shares was determined based on the number of shares transferred and the closing price on the acquisition date, amounting to US$2.4 million.</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10" w:lineRule="exact"/>
        <w:rPr>
          <w:sz w:val="20"/>
          <w:szCs w:val="20"/>
          <w:color w:val="auto"/>
        </w:rPr>
      </w:pPr>
    </w:p>
    <w:p>
      <w:pPr>
        <w:jc w:val="both"/>
        <w:ind w:right="40" w:firstLine="288"/>
        <w:spacing w:after="0" w:line="247" w:lineRule="auto"/>
        <w:rPr>
          <w:sz w:val="20"/>
          <w:szCs w:val="20"/>
          <w:color w:val="auto"/>
        </w:rPr>
      </w:pPr>
      <w:r>
        <w:rPr>
          <w:rFonts w:ascii="Times New Roman" w:cs="Times New Roman" w:eastAsia="Times New Roman" w:hAnsi="Times New Roman"/>
          <w:sz w:val="16"/>
          <w:szCs w:val="16"/>
          <w:color w:val="auto"/>
        </w:rPr>
        <w:t>In May 2024, the Group issued 18,587,360 Class A ordinary shares in connection with the private placement with Tether. The residual net transaction amount of US$87.4 million was recognized as an equity component. In May 2025, the Group issued 5,186,627 Class A ordinary shares in connection with the exercise of Tether Warrant for a total consideration of US$50.0 million. See Note 20.</w:t>
      </w:r>
    </w:p>
    <w:p>
      <w:pPr>
        <w:spacing w:after="0" w:line="104" w:lineRule="exact"/>
        <w:rPr>
          <w:sz w:val="20"/>
          <w:szCs w:val="20"/>
          <w:color w:val="auto"/>
        </w:rPr>
      </w:pPr>
    </w:p>
    <w:p>
      <w:pPr>
        <w:jc w:val="both"/>
        <w:ind w:right="40" w:firstLine="288"/>
        <w:spacing w:after="0" w:line="259" w:lineRule="auto"/>
        <w:rPr>
          <w:sz w:val="20"/>
          <w:szCs w:val="20"/>
          <w:color w:val="auto"/>
        </w:rPr>
      </w:pPr>
      <w:r>
        <w:rPr>
          <w:rFonts w:ascii="Times New Roman" w:cs="Times New Roman" w:eastAsia="Times New Roman" w:hAnsi="Times New Roman"/>
          <w:sz w:val="16"/>
          <w:szCs w:val="16"/>
          <w:color w:val="auto"/>
        </w:rPr>
        <w:t>In March 2025, 4,000,000 Class V ordinary shares were converted into an equal number of Class A ordinary shares. This transfer did not change the total number of shares issued and outstanding.</w:t>
      </w:r>
    </w:p>
    <w:p>
      <w:pPr>
        <w:spacing w:after="0" w:line="95" w:lineRule="exact"/>
        <w:rPr>
          <w:sz w:val="20"/>
          <w:szCs w:val="20"/>
          <w:color w:val="auto"/>
        </w:rPr>
      </w:pPr>
    </w:p>
    <w:p>
      <w:pPr>
        <w:jc w:val="both"/>
        <w:ind w:right="40" w:firstLine="288"/>
        <w:spacing w:after="0" w:line="259" w:lineRule="auto"/>
        <w:rPr>
          <w:sz w:val="20"/>
          <w:szCs w:val="20"/>
          <w:color w:val="auto"/>
        </w:rPr>
      </w:pPr>
      <w:r>
        <w:rPr>
          <w:rFonts w:ascii="Times New Roman" w:cs="Times New Roman" w:eastAsia="Times New Roman" w:hAnsi="Times New Roman"/>
          <w:sz w:val="16"/>
          <w:szCs w:val="16"/>
          <w:color w:val="auto"/>
        </w:rPr>
        <w:t>During the six months ended June 30, 2025, the Group issued 10,062,187 Class A ordinary shares in connection with the conversion and extinguishment of certain principal amount associated with the August 2024 convertible senior notes. Also see Note 19.</w:t>
      </w:r>
    </w:p>
    <w:p>
      <w:pPr>
        <w:spacing w:after="0" w:line="95"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As of June 30, 2025 and December 31, 2024, the Group issued 9,588,584 and 8,088,970 shares, respectively, which were reserved for future issuance upon the exercise of awards granted under the share incentive plans. As of June 30, 2025 and December 31, 2024, 7,094,457 and 6,130,708 of these shares, respectively, were considered not outstanding.</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u w:val="single" w:color="auto"/>
          <w:color w:val="auto"/>
        </w:rPr>
        <w:t>Treasury equity</w:t>
      </w:r>
    </w:p>
    <w:p>
      <w:pPr>
        <w:spacing w:after="0" w:line="130" w:lineRule="exact"/>
        <w:rPr>
          <w:sz w:val="20"/>
          <w:szCs w:val="20"/>
          <w:color w:val="auto"/>
        </w:rPr>
      </w:pPr>
    </w:p>
    <w:p>
      <w:pPr>
        <w:jc w:val="both"/>
        <w:ind w:firstLine="288"/>
        <w:spacing w:after="0" w:line="289" w:lineRule="auto"/>
        <w:rPr>
          <w:sz w:val="20"/>
          <w:szCs w:val="20"/>
          <w:color w:val="auto"/>
        </w:rPr>
      </w:pPr>
      <w:r>
        <w:rPr>
          <w:rFonts w:ascii="Times New Roman" w:cs="Times New Roman" w:eastAsia="Times New Roman" w:hAnsi="Times New Roman"/>
          <w:sz w:val="14"/>
          <w:szCs w:val="14"/>
          <w:color w:val="auto"/>
        </w:rPr>
        <w:t>In June and October 2023, the board of directors of the Group approved the adoption of two share repurchase programs which authorized to repurchase Class A ordinary shares of the Group up to US$1.0 million worth during the period from June 16, 2023 to December 15, 2023 (as amended) and up to US$2.0 million worth during the period from October 18, 2023 to April 17, 2024, respectively. The Group purchased 606,756 Class A ordinary shares for approximately US$2.6 million under the share repurchase programs. During the six months ended June 30, 2024, the Group cancelled 606,756 treasury shares purchased under share repurchase program.</w:t>
      </w:r>
    </w:p>
    <w:p>
      <w:pPr>
        <w:spacing w:after="0" w:line="77" w:lineRule="exact"/>
        <w:rPr>
          <w:sz w:val="20"/>
          <w:szCs w:val="20"/>
          <w:color w:val="auto"/>
        </w:rPr>
      </w:pPr>
    </w:p>
    <w:p>
      <w:pPr>
        <w:jc w:val="both"/>
        <w:ind w:firstLine="288"/>
        <w:spacing w:after="0" w:line="241" w:lineRule="auto"/>
        <w:rPr>
          <w:sz w:val="20"/>
          <w:szCs w:val="20"/>
          <w:color w:val="auto"/>
        </w:rPr>
      </w:pPr>
      <w:r>
        <w:rPr>
          <w:rFonts w:ascii="Times New Roman" w:cs="Times New Roman" w:eastAsia="Times New Roman" w:hAnsi="Times New Roman"/>
          <w:sz w:val="16"/>
          <w:szCs w:val="16"/>
          <w:color w:val="auto"/>
        </w:rPr>
        <w:t>In September 2024, the board of directors of the Group approved the adoption of a share repurchase program (the “2024 Share Repurchase Program”) which authorized to repurchase Class A ordinary share of the Group up to US$10.0 million worth during the period from September 9, 2024 to September 8, 2025. During the six months ended June 30, 2025 and 2024, the Group purchased 790,000 and nil Class A ordinary shares for consideration of approximately US$9.1 million and nil, respectively, under 2024 Share Repurchase Program. During the six months ended June 30, 2025, the Group cancelled 935,762 treasury shares purchased under share repurchase program.</w:t>
      </w:r>
    </w:p>
    <w:p>
      <w:pPr>
        <w:spacing w:after="0" w:line="109" w:lineRule="exact"/>
        <w:rPr>
          <w:sz w:val="20"/>
          <w:szCs w:val="20"/>
          <w:color w:val="auto"/>
        </w:rPr>
      </w:pPr>
    </w:p>
    <w:p>
      <w:pPr>
        <w:jc w:val="both"/>
        <w:ind w:right="20" w:firstLine="288"/>
        <w:spacing w:after="0" w:line="289" w:lineRule="auto"/>
        <w:rPr>
          <w:sz w:val="20"/>
          <w:szCs w:val="20"/>
          <w:color w:val="auto"/>
        </w:rPr>
      </w:pPr>
      <w:r>
        <w:rPr>
          <w:rFonts w:ascii="Times New Roman" w:cs="Times New Roman" w:eastAsia="Times New Roman" w:hAnsi="Times New Roman"/>
          <w:sz w:val="14"/>
          <w:szCs w:val="14"/>
          <w:color w:val="auto"/>
        </w:rPr>
        <w:t>In February and May 2025, the board of directors of the Group approved the adoption of two share purchase programs (the “2025 Share Repurchase Program”) which authorized to repurchase Class A ordinary share of the Group up to US$20.0 million worth during the period from February 28, 2025 to February 28, 2026 and up to US$40.0 million worth during the period from May 30, 2025 to May 29, 2026. During the six months ended June 30, 2025, the Group repurchase 1,672,200 Class A ordinary shares for consideration of approximately US$21.0 million and cancelled 1,600,000 treasury shares purchased under 2025 Share Repurchase Program.</w:t>
      </w:r>
    </w:p>
    <w:p>
      <w:pPr>
        <w:spacing w:after="0" w:line="77" w:lineRule="exact"/>
        <w:rPr>
          <w:sz w:val="20"/>
          <w:szCs w:val="20"/>
          <w:color w:val="auto"/>
        </w:rPr>
      </w:pPr>
    </w:p>
    <w:p>
      <w:pPr>
        <w:jc w:val="both"/>
        <w:ind w:firstLine="288"/>
        <w:spacing w:after="0" w:line="238" w:lineRule="auto"/>
        <w:rPr>
          <w:sz w:val="20"/>
          <w:szCs w:val="20"/>
          <w:color w:val="auto"/>
        </w:rPr>
      </w:pPr>
      <w:r>
        <w:rPr>
          <w:rFonts w:ascii="Times New Roman" w:cs="Times New Roman" w:eastAsia="Times New Roman" w:hAnsi="Times New Roman"/>
          <w:sz w:val="16"/>
          <w:szCs w:val="16"/>
          <w:color w:val="auto"/>
        </w:rPr>
        <w:t>In connection with the issuance of the June 2025 convertible senior notes, the Group entered into a zero-strike call option transaction (“Zero-Strike Call Option”) with Barclays Bank PLC (“Barclays”) to purchase an option to call for 10,205,300 Class A ordinary shares of the Group for approximately US $129.6 million in June 2025. The Zero-Strike Call Option expires on the 41st non-disrupted day following July 1, 2031, or earlier if Barclays requests early settlement. The settlement method of the Zero -Strike Call Option is physical settlement. The Group will receive the fixed number of Class A ordinary shares determined at the commencement date of the transaction upon expiration or for the portion thereof being settled early, provided that the Zero-Strike Call Option is exercised. The economic substance of the Zero-Strike Call Option is the same as a traditional forward repurchase contract. Because the Zero-Strike Call Option permits physical settlement, it is classified as a reduction from equity and included in treasury equity without any subsequent remeasurement. If Zero-Strike Call Option is not exercised, the initial premium paid, which is recorded as a reduction from equity, will remain in equity.</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movements of shares and share capital for the six months ended June 30, 2025 and 2024 are as follows:</w:t>
      </w:r>
    </w:p>
    <w:p>
      <w:pPr>
        <w:sectPr>
          <w:pgSz w:w="11900" w:h="16840" w:orient="portrait"/>
          <w:cols w:equalWidth="0" w:num="1">
            <w:col w:w="10580"/>
          </w:cols>
          <w:pgMar w:left="660" w:top="737" w:right="660" w:bottom="74"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Class A</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Class V</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5620" w:type="dxa"/>
            <w:vAlign w:val="bottom"/>
          </w:tcPr>
          <w:p>
            <w:pPr>
              <w:spacing w:after="0"/>
              <w:rPr>
                <w:sz w:val="15"/>
                <w:szCs w:val="15"/>
                <w:color w:val="auto"/>
              </w:rPr>
            </w:pP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Ordinary</w:t>
            </w:r>
          </w:p>
        </w:tc>
        <w:tc>
          <w:tcPr>
            <w:tcW w:w="10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rPr>
              <w:t>Amount in</w:t>
            </w:r>
          </w:p>
        </w:tc>
        <w:tc>
          <w:tcPr>
            <w:tcW w:w="200" w:type="dxa"/>
            <w:vAlign w:val="bottom"/>
          </w:tcPr>
          <w:p>
            <w:pPr>
              <w:spacing w:after="0"/>
              <w:rPr>
                <w:sz w:val="15"/>
                <w:szCs w:val="15"/>
                <w:color w:val="auto"/>
              </w:rPr>
            </w:pPr>
          </w:p>
        </w:tc>
        <w:tc>
          <w:tcPr>
            <w:tcW w:w="122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Ordinary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56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0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USD</w:t>
            </w:r>
          </w:p>
        </w:tc>
        <w:tc>
          <w:tcPr>
            <w:tcW w:w="2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 in USD</w:t>
            </w:r>
          </w:p>
        </w:tc>
      </w:tr>
      <w:tr>
        <w:trPr>
          <w:trHeight w:val="180"/>
        </w:trPr>
        <w:tc>
          <w:tcPr>
            <w:tcW w:w="5620" w:type="dxa"/>
            <w:vAlign w:val="bottom"/>
            <w:tcBorders>
              <w:top w:val="single" w:sz="8" w:color="CCEEFF"/>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At January 1, 2025, shares issued and outstanding</w:t>
            </w: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143,917,734</w:t>
            </w: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48,399,922</w:t>
            </w:r>
          </w:p>
        </w:tc>
        <w:tc>
          <w:tcPr>
            <w:tcW w:w="1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5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Issuance of shares for exercise of share awards</w:t>
            </w:r>
          </w:p>
        </w:tc>
        <w:tc>
          <w:tcPr>
            <w:tcW w:w="12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535,865</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6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Issuance of shares for cash</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6,076,388</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2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Issuance of shares for exercise of warrant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5,186,627</w:t>
            </w:r>
          </w:p>
        </w:tc>
        <w:tc>
          <w:tcPr>
            <w:tcW w:w="2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2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6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Acquisition of treasury shares</w:t>
            </w:r>
          </w:p>
        </w:tc>
        <w:tc>
          <w:tcPr>
            <w:tcW w:w="128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(2,462,200)</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Issuance of shares in connection with conversion of convertible notes</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10,062,187</w:t>
            </w:r>
          </w:p>
        </w:tc>
        <w:tc>
          <w:tcPr>
            <w:tcW w:w="2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2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1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Conversion of Class V to Class A ordinary shares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r>
      <w:tr>
        <w:trPr>
          <w:trHeight w:val="192"/>
        </w:trPr>
        <w:tc>
          <w:tcPr>
            <w:tcW w:w="5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At June 30, 2025, shares issued and outstanding</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167,316,601</w:t>
            </w:r>
          </w:p>
        </w:tc>
        <w:tc>
          <w:tcPr>
            <w:tcW w:w="220" w:type="dxa"/>
            <w:vAlign w:val="bottom"/>
            <w:tcBorders>
              <w:top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200" w:type="dxa"/>
            <w:vAlign w:val="bottom"/>
            <w:tcBorders>
              <w:top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44,399,922</w:t>
            </w:r>
          </w:p>
        </w:tc>
        <w:tc>
          <w:tcPr>
            <w:tcW w:w="18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0" w:type="dxa"/>
            <w:vAlign w:val="bottom"/>
            <w:tcBorders>
              <w:top w:val="single" w:sz="8" w:color="CCEEFF"/>
            </w:tcBorders>
          </w:tcPr>
          <w:p>
            <w:pPr>
              <w:spacing w:after="0"/>
              <w:rPr>
                <w:sz w:val="16"/>
                <w:szCs w:val="16"/>
                <w:color w:val="auto"/>
              </w:rPr>
            </w:pPr>
          </w:p>
        </w:tc>
      </w:tr>
      <w:tr>
        <w:trPr>
          <w:trHeight w:val="20"/>
        </w:trPr>
        <w:tc>
          <w:tcPr>
            <w:tcW w:w="5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1900" w:h="16840" w:orient="portrait"/>
          <w:cols w:equalWidth="0" w:num="1">
            <w:col w:w="10580"/>
          </w:cols>
          <w:pgMar w:left="660" w:top="683" w:right="660" w:bottom="53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January 1, 2024, shares issued and outstanding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shares for exercise of share awards</w:t>
      </w:r>
    </w:p>
    <w:p>
      <w:pPr>
        <w:spacing w:after="0" w:line="234" w:lineRule="auto"/>
        <w:rPr>
          <w:sz w:val="20"/>
          <w:szCs w:val="20"/>
          <w:color w:val="auto"/>
        </w:rPr>
      </w:pPr>
      <w:r>
        <w:rPr>
          <w:rFonts w:ascii="Times New Roman" w:cs="Times New Roman" w:eastAsia="Times New Roman" w:hAnsi="Times New Roman"/>
          <w:sz w:val="16"/>
          <w:szCs w:val="16"/>
          <w:color w:val="auto"/>
        </w:rPr>
        <w:t>Issuance of shares for cash</w:t>
      </w:r>
    </w:p>
    <w:p>
      <w:pPr>
        <w:spacing w:after="0" w:line="1" w:lineRule="exact"/>
        <w:rPr>
          <w:sz w:val="20"/>
          <w:szCs w:val="20"/>
          <w:color w:val="auto"/>
        </w:rPr>
      </w:pPr>
    </w:p>
    <w:p>
      <w:pPr>
        <w:ind w:right="940"/>
        <w:spacing w:after="0" w:line="340" w:lineRule="auto"/>
        <w:rPr>
          <w:sz w:val="20"/>
          <w:szCs w:val="20"/>
          <w:color w:val="auto"/>
        </w:rPr>
      </w:pPr>
      <w:r>
        <w:rPr>
          <w:rFonts w:ascii="Times New Roman" w:cs="Times New Roman" w:eastAsia="Times New Roman" w:hAnsi="Times New Roman"/>
          <w:sz w:val="14"/>
          <w:szCs w:val="14"/>
          <w:color w:val="auto"/>
        </w:rPr>
        <w:t xml:space="preserve">Issuance of shares as consideration for the Norway Acquisition </w:t>
      </w:r>
      <w:r>
        <w:rPr>
          <w:rFonts w:ascii="Times New Roman" w:cs="Times New Roman" w:eastAsia="Times New Roman" w:hAnsi="Times New Roman"/>
          <w:sz w:val="14"/>
          <w:szCs w:val="14"/>
          <w:b w:val="1"/>
          <w:bCs w:val="1"/>
          <w:color w:val="auto"/>
        </w:rPr>
        <w:t>At June 30, 2024, shares issued and outstanding</w:t>
      </w:r>
    </w:p>
    <w:p>
      <w:pPr>
        <w:spacing w:after="0" w:line="138" w:lineRule="exact"/>
        <w:rPr>
          <w:sz w:val="20"/>
          <w:szCs w:val="20"/>
          <w:color w:val="auto"/>
        </w:rPr>
      </w:pPr>
    </w:p>
    <w:p>
      <w:pPr>
        <w:ind w:left="300" w:hanging="294"/>
        <w:spacing w:after="0"/>
        <w:tabs>
          <w:tab w:leader="none" w:pos="3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less than US$1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Class V</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24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Ordinary</w:t>
            </w:r>
          </w:p>
        </w:tc>
        <w:tc>
          <w:tcPr>
            <w:tcW w:w="11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b w:val="1"/>
                <w:bCs w:val="1"/>
                <w:color w:val="auto"/>
              </w:rPr>
              <w:t>Amount in</w:t>
            </w:r>
          </w:p>
        </w:tc>
        <w:tc>
          <w:tcPr>
            <w:tcW w:w="200" w:type="dxa"/>
            <w:vAlign w:val="bottom"/>
          </w:tcPr>
          <w:p>
            <w:pPr>
              <w:spacing w:after="0"/>
              <w:rPr>
                <w:sz w:val="15"/>
                <w:szCs w:val="15"/>
                <w:color w:val="auto"/>
              </w:rPr>
            </w:pPr>
          </w:p>
        </w:tc>
        <w:tc>
          <w:tcPr>
            <w:tcW w:w="122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Ordinary</w:t>
            </w:r>
          </w:p>
        </w:tc>
        <w:tc>
          <w:tcPr>
            <w:tcW w:w="1140" w:type="dxa"/>
            <w:vAlign w:val="bottom"/>
            <w:gridSpan w:val="2"/>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Amount in</w:t>
            </w:r>
          </w:p>
        </w:tc>
      </w:tr>
      <w:tr>
        <w:trPr>
          <w:trHeight w:val="199"/>
        </w:trPr>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1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USD</w:t>
            </w:r>
          </w:p>
        </w:tc>
        <w:tc>
          <w:tcPr>
            <w:tcW w:w="2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USD</w:t>
            </w:r>
          </w:p>
        </w:tc>
      </w:tr>
      <w:tr>
        <w:trPr>
          <w:trHeight w:val="165"/>
        </w:trPr>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63,566,376</w:t>
            </w:r>
          </w:p>
        </w:tc>
        <w:tc>
          <w:tcPr>
            <w:tcW w:w="200" w:type="dxa"/>
            <w:vAlign w:val="bottom"/>
          </w:tcPr>
          <w:p>
            <w:pPr>
              <w:spacing w:after="0"/>
              <w:rPr>
                <w:sz w:val="14"/>
                <w:szCs w:val="14"/>
                <w:color w:val="auto"/>
              </w:rPr>
            </w:pPr>
          </w:p>
        </w:tc>
        <w:tc>
          <w:tcPr>
            <w:tcW w:w="11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48,399,922</w:t>
            </w:r>
          </w:p>
        </w:tc>
        <w:tc>
          <w:tcPr>
            <w:tcW w:w="180" w:type="dxa"/>
            <w:vAlign w:val="bottom"/>
          </w:tcPr>
          <w:p>
            <w:pPr>
              <w:spacing w:after="0"/>
              <w:rPr>
                <w:sz w:val="14"/>
                <w:szCs w:val="14"/>
                <w:color w:val="auto"/>
              </w:rPr>
            </w:pPr>
          </w:p>
        </w:tc>
        <w:tc>
          <w:tcPr>
            <w:tcW w:w="11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4"/>
                <w:szCs w:val="14"/>
                <w:color w:val="auto"/>
              </w:rPr>
            </w:pPr>
          </w:p>
        </w:tc>
      </w:tr>
      <w:tr>
        <w:trPr>
          <w:trHeight w:val="182"/>
        </w:trPr>
        <w:tc>
          <w:tcPr>
            <w:tcW w:w="124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color w:val="auto"/>
              </w:rPr>
              <w:t>167,535</w:t>
            </w: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3"/>
          </w:tcPr>
          <w:p>
            <w:pPr>
              <w:jc w:val="right"/>
              <w:ind w:right="1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90"/>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26,541,080</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417,130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90,692,121</w:t>
            </w: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48,399,922</w:t>
            </w:r>
          </w:p>
        </w:tc>
        <w:tc>
          <w:tcPr>
            <w:tcW w:w="1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0" w:type="dxa"/>
            <w:vAlign w:val="bottom"/>
          </w:tcPr>
          <w:p>
            <w:pPr>
              <w:spacing w:after="0"/>
              <w:rPr>
                <w:sz w:val="18"/>
                <w:szCs w:val="18"/>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-654685</wp:posOffset>
            </wp:positionV>
            <wp:extent cx="6707505" cy="121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-418465</wp:posOffset>
            </wp:positionV>
            <wp:extent cx="6707505" cy="114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-174625</wp:posOffset>
            </wp:positionV>
            <wp:extent cx="6707505" cy="152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503" w:lineRule="exact"/>
        <w:rPr>
          <w:sz w:val="20"/>
          <w:szCs w:val="20"/>
          <w:color w:val="auto"/>
        </w:rPr>
      </w:pPr>
    </w:p>
    <w:p>
      <w:pPr>
        <w:sectPr>
          <w:pgSz w:w="11900" w:h="16840" w:orient="portrait"/>
          <w:cols w:equalWidth="0" w:num="2">
            <w:col w:w="4880" w:space="720"/>
            <w:col w:w="4980"/>
          </w:cols>
          <w:pgMar w:left="660" w:top="683" w:right="660" w:bottom="530" w:gutter="0" w:footer="0" w:header="0"/>
          <w:type w:val="continuous"/>
        </w:sectPr>
      </w:pP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u w:val="single" w:color="auto"/>
          <w:color w:val="auto"/>
        </w:rPr>
        <w:t>Reserves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Group’s reserves mainly include the following:</w:t>
      </w:r>
    </w:p>
    <w:p>
      <w:pPr>
        <w:spacing w:after="0" w:line="176" w:lineRule="exact"/>
        <w:rPr>
          <w:sz w:val="20"/>
          <w:szCs w:val="20"/>
          <w:color w:val="auto"/>
        </w:rPr>
      </w:pPr>
    </w:p>
    <w:p>
      <w:pPr>
        <w:jc w:val="both"/>
        <w:ind w:left="700" w:hanging="406"/>
        <w:spacing w:after="0" w:line="247" w:lineRule="auto"/>
        <w:tabs>
          <w:tab w:leader="none" w:pos="7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premium, which effectively represents the share subscription amount paid over the par value of the shares. The application of the share premium account is governed by Section 34 of the Companies Law, Cap. 22 (Law 3 of 1961, as consolidated and revised) of the Cayman Islands as amended, supplemented or otherwise modified from time to time.</w:t>
      </w:r>
    </w:p>
    <w:p>
      <w:pPr>
        <w:spacing w:after="0" w:line="152" w:lineRule="exact"/>
        <w:rPr>
          <w:rFonts w:ascii="Times New Roman" w:cs="Times New Roman" w:eastAsia="Times New Roman" w:hAnsi="Times New Roman"/>
          <w:sz w:val="16"/>
          <w:szCs w:val="16"/>
          <w:color w:val="auto"/>
        </w:rPr>
      </w:pPr>
    </w:p>
    <w:p>
      <w:pPr>
        <w:ind w:left="700" w:hanging="406"/>
        <w:spacing w:after="0"/>
        <w:tabs>
          <w:tab w:leader="none" w:pos="7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foreign exchange differences arising from the translation of the financial statements of foreign operations.</w:t>
      </w:r>
    </w:p>
    <w:p>
      <w:pPr>
        <w:spacing w:after="0" w:line="176" w:lineRule="exact"/>
        <w:rPr>
          <w:rFonts w:ascii="Times New Roman" w:cs="Times New Roman" w:eastAsia="Times New Roman" w:hAnsi="Times New Roman"/>
          <w:sz w:val="16"/>
          <w:szCs w:val="16"/>
          <w:color w:val="auto"/>
        </w:rPr>
      </w:pPr>
    </w:p>
    <w:p>
      <w:pPr>
        <w:ind w:left="700" w:hanging="406"/>
        <w:spacing w:after="0"/>
        <w:tabs>
          <w:tab w:leader="none" w:pos="7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conversion option of the equity component embedded in the convertible notes.</w:t>
      </w:r>
    </w:p>
    <w:p>
      <w:pPr>
        <w:spacing w:after="0" w:line="176" w:lineRule="exact"/>
        <w:rPr>
          <w:rFonts w:ascii="Times New Roman" w:cs="Times New Roman" w:eastAsia="Times New Roman" w:hAnsi="Times New Roman"/>
          <w:sz w:val="16"/>
          <w:szCs w:val="16"/>
          <w:color w:val="auto"/>
        </w:rPr>
      </w:pPr>
    </w:p>
    <w:p>
      <w:pPr>
        <w:ind w:left="700" w:hanging="406"/>
        <w:spacing w:after="0"/>
        <w:tabs>
          <w:tab w:leader="none" w:pos="7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accumulated share-based payment expenses.</w:t>
      </w:r>
    </w:p>
    <w:p>
      <w:pPr>
        <w:spacing w:after="0" w:line="176" w:lineRule="exact"/>
        <w:rPr>
          <w:rFonts w:ascii="Times New Roman" w:cs="Times New Roman" w:eastAsia="Times New Roman" w:hAnsi="Times New Roman"/>
          <w:sz w:val="16"/>
          <w:szCs w:val="16"/>
          <w:color w:val="auto"/>
        </w:rPr>
      </w:pPr>
    </w:p>
    <w:p>
      <w:pPr>
        <w:ind w:left="700" w:hanging="406"/>
        <w:spacing w:after="0"/>
        <w:tabs>
          <w:tab w:leader="none" w:pos="7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derivative liabilities reclassified due to de-recognition of the associated instruments.</w:t>
      </w:r>
    </w:p>
    <w:p>
      <w:pPr>
        <w:spacing w:after="0" w:line="176" w:lineRule="exact"/>
        <w:rPr>
          <w:rFonts w:ascii="Times New Roman" w:cs="Times New Roman" w:eastAsia="Times New Roman" w:hAnsi="Times New Roman"/>
          <w:sz w:val="16"/>
          <w:szCs w:val="16"/>
          <w:color w:val="auto"/>
        </w:rPr>
      </w:pPr>
    </w:p>
    <w:p>
      <w:pPr>
        <w:ind w:left="700" w:hanging="406"/>
        <w:spacing w:after="0"/>
        <w:tabs>
          <w:tab w:leader="none" w:pos="7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treasury shares cancelled.</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u w:val="single" w:color="auto"/>
          <w:color w:val="auto"/>
        </w:rPr>
        <w:t>Capital management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Group’s primary objective in terms of managing capital is to</w:t>
      </w:r>
    </w:p>
    <w:p>
      <w:pPr>
        <w:spacing w:after="0" w:line="176" w:lineRule="exact"/>
        <w:rPr>
          <w:sz w:val="20"/>
          <w:szCs w:val="20"/>
          <w:color w:val="auto"/>
        </w:rPr>
      </w:pPr>
    </w:p>
    <w:p>
      <w:pPr>
        <w:ind w:left="580" w:right="20" w:hanging="286"/>
        <w:spacing w:after="0" w:line="259" w:lineRule="auto"/>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Safeguard the Group’s ability to continue as a going concern, so that it can continue to provide returns for shareholders and benefits for other stakeholders, mainly by pricing products and services commensurate with the level of risk</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support the Group’s stability and growth</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capital for the purpose of strengthening the Group’s risk management capability</w:t>
      </w:r>
    </w:p>
    <w:p>
      <w:pPr>
        <w:spacing w:after="0" w:line="176" w:lineRule="exact"/>
        <w:rPr>
          <w:sz w:val="20"/>
          <w:szCs w:val="20"/>
          <w:color w:val="auto"/>
        </w:rPr>
      </w:pPr>
    </w:p>
    <w:p>
      <w:pPr>
        <w:jc w:val="both"/>
        <w:ind w:right="20" w:firstLine="288"/>
        <w:spacing w:after="0" w:line="241" w:lineRule="auto"/>
        <w:rPr>
          <w:sz w:val="20"/>
          <w:szCs w:val="20"/>
          <w:color w:val="auto"/>
        </w:rPr>
      </w:pPr>
      <w:r>
        <w:rPr>
          <w:rFonts w:ascii="Times New Roman" w:cs="Times New Roman" w:eastAsia="Times New Roman" w:hAnsi="Times New Roman"/>
          <w:sz w:val="16"/>
          <w:szCs w:val="16"/>
          <w:color w:val="auto"/>
        </w:rPr>
        <w:t>The Group’s business and financial condition are highly correlated with the market price of cryptocurrencies. For the six months ended June 30, 2025 and 2024, the Group’s revenue is substantially generated from cryptocurrency-related operations. The Group has adopted various measures to minimize the risk associated with the fluctuation in the market price of cryptocurrencies. In response to the market dynamics, the Group applied a flexible internal strategy for either converting of cryptocurrencies it obtains through its principal business into fiat currency to support its operations as needs, or holding the cryptocurrencies to capture potential higher appreciation in value in the future.</w:t>
      </w:r>
    </w:p>
    <w:p>
      <w:pPr>
        <w:spacing w:after="0" w:line="157" w:lineRule="exact"/>
        <w:rPr>
          <w:sz w:val="20"/>
          <w:szCs w:val="20"/>
          <w:color w:val="auto"/>
        </w:rPr>
      </w:pPr>
    </w:p>
    <w:p>
      <w:pPr>
        <w:jc w:val="both"/>
        <w:ind w:firstLine="288"/>
        <w:spacing w:after="0" w:line="243" w:lineRule="auto"/>
        <w:rPr>
          <w:sz w:val="20"/>
          <w:szCs w:val="20"/>
          <w:color w:val="auto"/>
        </w:rPr>
      </w:pPr>
      <w:r>
        <w:rPr>
          <w:rFonts w:ascii="Times New Roman" w:cs="Times New Roman" w:eastAsia="Times New Roman" w:hAnsi="Times New Roman"/>
          <w:sz w:val="16"/>
          <w:szCs w:val="16"/>
          <w:color w:val="auto"/>
        </w:rPr>
        <w:t>The Group actively and regularly reviews and manages its capital structure to ensure optimal balance between capital structure and shareholder returns, taking into account the future capital requirements of the Group and capital efficiency, prevailing and projected profitability, projected cash flows, projected capital expenditures and projected strategic investment opportunities. In order to maintain or adjust the capital structure, the Group may issue new shares, raise new debts, repurchase shares or convert debt into equity.</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Group is subject to certain externally imposed capital requirements under its loan agreement, with which it has complied as at June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 TAXATION</w:t>
      </w:r>
    </w:p>
    <w:p>
      <w:pPr>
        <w:spacing w:after="0" w:line="178"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The subsidiaries of the Group incorporated in Cayman Islands and British Virgin Islands (“BVI”) are not subject to tax on income or capital gain. In addition, payments of dividends by the Group to its shareholders are not subject to withholding tax in Cayman Islands.</w:t>
      </w:r>
    </w:p>
    <w:p>
      <w:pPr>
        <w:spacing w:after="0" w:line="143"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The subsidiaries of the Group incorporated in other countries are subject to income tax pursuant to the rules and regulations of their respective countries of incorporation.</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provisions for income taxes for the six months ended June 30, 2025 and 2024 are summarized as follows:</w:t>
      </w:r>
    </w:p>
    <w:p>
      <w:pPr>
        <w:sectPr>
          <w:pgSz w:w="11900" w:h="16840" w:orient="portrait"/>
          <w:cols w:equalWidth="0" w:num="1">
            <w:col w:w="10580"/>
          </w:cols>
          <w:pgMar w:left="660" w:top="683" w:right="660" w:bottom="53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9"/>
        </w:trPr>
        <w:tc>
          <w:tcPr>
            <w:tcW w:w="8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r>
      <w:tr>
        <w:trPr>
          <w:trHeight w:val="19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80"/>
        </w:trPr>
        <w:tc>
          <w:tcPr>
            <w:tcW w:w="80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Current income tax expenses</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1,421</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center"/>
              <w:ind w:left="622"/>
              <w:spacing w:after="0" w:line="180" w:lineRule="exact"/>
              <w:rPr>
                <w:sz w:val="20"/>
                <w:szCs w:val="20"/>
                <w:color w:val="auto"/>
              </w:rPr>
            </w:pPr>
            <w:r>
              <w:rPr>
                <w:rFonts w:ascii="Times New Roman" w:cs="Times New Roman" w:eastAsia="Times New Roman" w:hAnsi="Times New Roman"/>
                <w:sz w:val="16"/>
                <w:szCs w:val="16"/>
                <w:color w:val="auto"/>
                <w:w w:val="99"/>
              </w:rPr>
              <w:t>5,068</w:t>
            </w:r>
          </w:p>
        </w:tc>
        <w:tc>
          <w:tcPr>
            <w:tcW w:w="80" w:type="dxa"/>
            <w:vAlign w:val="bottom"/>
            <w:tcBorders>
              <w:top w:val="single" w:sz="8" w:color="CCEEFF"/>
            </w:tcBorders>
            <w:shd w:val="clear" w:color="auto" w:fill="CCEEFF"/>
          </w:tcPr>
          <w:p>
            <w:pPr>
              <w:spacing w:after="0"/>
              <w:rPr>
                <w:sz w:val="15"/>
                <w:szCs w:val="15"/>
                <w:color w:val="auto"/>
              </w:rPr>
            </w:pPr>
          </w:p>
        </w:tc>
      </w:tr>
      <w:tr>
        <w:trPr>
          <w:trHeight w:val="19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(4,194)</w:t>
            </w:r>
          </w:p>
        </w:tc>
        <w:tc>
          <w:tcPr>
            <w:tcW w:w="1140" w:type="dxa"/>
            <w:vAlign w:val="bottom"/>
            <w:gridSpan w:val="2"/>
          </w:tcPr>
          <w:p>
            <w:pPr>
              <w:jc w:val="center"/>
              <w:ind w:left="522"/>
              <w:spacing w:after="0"/>
              <w:rPr>
                <w:sz w:val="20"/>
                <w:szCs w:val="20"/>
                <w:color w:val="auto"/>
              </w:rPr>
            </w:pPr>
            <w:r>
              <w:rPr>
                <w:rFonts w:ascii="Times New Roman" w:cs="Times New Roman" w:eastAsia="Times New Roman" w:hAnsi="Times New Roman"/>
                <w:sz w:val="16"/>
                <w:szCs w:val="16"/>
                <w:color w:val="auto"/>
                <w:w w:val="98"/>
              </w:rPr>
              <w:t>(3,027)</w:t>
            </w:r>
          </w:p>
        </w:tc>
      </w:tr>
      <w:tr>
        <w:trPr>
          <w:trHeight w:val="208"/>
        </w:trPr>
        <w:tc>
          <w:tcPr>
            <w:tcW w:w="8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2,041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88"/>
        <w:spacing w:after="0" w:line="259" w:lineRule="auto"/>
        <w:rPr>
          <w:sz w:val="20"/>
          <w:szCs w:val="20"/>
          <w:color w:val="auto"/>
        </w:rPr>
      </w:pPr>
      <w:r>
        <w:rPr>
          <w:rFonts w:ascii="Times New Roman" w:cs="Times New Roman" w:eastAsia="Times New Roman" w:hAnsi="Times New Roman"/>
          <w:sz w:val="16"/>
          <w:szCs w:val="16"/>
          <w:color w:val="auto"/>
        </w:rPr>
        <w:t>Taxes on profits or losses for the interim period are accrued using the tax rates that would be applicable to expected total annual assessable profit or loss. The effective tax rate for the six months ended June 30, 2025 and 2024 was (1.1%) and (13.5%), respectively.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7"/>
              </w:rPr>
              <w:t>Deferred tax assets / (liabilities) as of June 30, 2025 and December 31, 2024 comprise of the following:</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6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At</w:t>
            </w:r>
          </w:p>
        </w:tc>
        <w:tc>
          <w:tcPr>
            <w:tcW w:w="0" w:type="dxa"/>
            <w:vAlign w:val="bottom"/>
          </w:tcPr>
          <w:p>
            <w:pPr>
              <w:spacing w:after="0"/>
              <w:rPr>
                <w:sz w:val="1"/>
                <w:szCs w:val="1"/>
                <w:color w:val="auto"/>
              </w:rPr>
            </w:pPr>
          </w:p>
        </w:tc>
      </w:tr>
      <w:tr>
        <w:trPr>
          <w:trHeight w:val="180"/>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41"/>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199"/>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780" w:type="dxa"/>
            <w:vAlign w:val="bottom"/>
            <w:tcBorders>
              <w:top w:val="single" w:sz="8" w:color="auto"/>
            </w:tcBorders>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Deferred tax assets</w:t>
            </w: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Net operating losses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Share-based payments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color w:val="auto"/>
              </w:rPr>
              <w:t>4,210</w:t>
            </w:r>
          </w:p>
        </w:tc>
        <w:tc>
          <w:tcPr>
            <w:tcW w:w="180" w:type="dxa"/>
            <w:vAlign w:val="bottom"/>
          </w:tcPr>
          <w:p>
            <w:pPr>
              <w:spacing w:after="0"/>
              <w:rPr>
                <w:sz w:val="15"/>
                <w:szCs w:val="15"/>
                <w:color w:val="auto"/>
              </w:rPr>
            </w:pP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3,925</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4,184</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4,184</w:t>
            </w:r>
          </w:p>
        </w:tc>
        <w:tc>
          <w:tcPr>
            <w:tcW w:w="0" w:type="dxa"/>
            <w:vAlign w:val="bottom"/>
          </w:tcPr>
          <w:p>
            <w:pPr>
              <w:spacing w:after="0"/>
              <w:rPr>
                <w:sz w:val="1"/>
                <w:szCs w:val="1"/>
                <w:color w:val="auto"/>
              </w:rPr>
            </w:pPr>
          </w:p>
        </w:tc>
      </w:tr>
      <w:tr>
        <w:trPr>
          <w:trHeight w:val="180"/>
        </w:trPr>
        <w:tc>
          <w:tcPr>
            <w:tcW w:w="67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Property, plant and equipment, intangible assets and right-of-use assets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color w:val="auto"/>
              </w:rPr>
              <w:t>3,549</w:t>
            </w:r>
          </w:p>
        </w:tc>
        <w:tc>
          <w:tcPr>
            <w:tcW w:w="180" w:type="dxa"/>
            <w:vAlign w:val="bottom"/>
          </w:tcPr>
          <w:p>
            <w:pPr>
              <w:spacing w:after="0"/>
              <w:rPr>
                <w:sz w:val="15"/>
                <w:szCs w:val="15"/>
                <w:color w:val="auto"/>
              </w:rPr>
            </w:pP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2,520</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Impairment charges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780" w:type="dxa"/>
            <w:vAlign w:val="bottom"/>
            <w:tcBorders>
              <w:top w:val="single" w:sz="8" w:color="CCEEFF"/>
            </w:tcBorders>
          </w:tcPr>
          <w:p>
            <w:pPr>
              <w:ind w:left="160"/>
              <w:spacing w:after="0" w:line="165" w:lineRule="exact"/>
              <w:rPr>
                <w:sz w:val="20"/>
                <w:szCs w:val="20"/>
                <w:color w:val="auto"/>
              </w:rPr>
            </w:pPr>
            <w:r>
              <w:rPr>
                <w:rFonts w:ascii="Times New Roman" w:cs="Times New Roman" w:eastAsia="Times New Roman" w:hAnsi="Times New Roman"/>
                <w:sz w:val="16"/>
                <w:szCs w:val="16"/>
                <w:color w:val="auto"/>
              </w:rPr>
              <w:t>Total deferred tax assets</w:t>
            </w:r>
          </w:p>
        </w:tc>
        <w:tc>
          <w:tcPr>
            <w:tcW w:w="100" w:type="dxa"/>
            <w:vAlign w:val="bottom"/>
            <w:tcBorders>
              <w:top w:val="single" w:sz="8" w:color="CCEEFF"/>
            </w:tcBorders>
          </w:tcPr>
          <w:p>
            <w:pPr>
              <w:spacing w:after="0"/>
              <w:rPr>
                <w:sz w:val="14"/>
                <w:szCs w:val="14"/>
                <w:color w:val="auto"/>
              </w:rPr>
            </w:pPr>
          </w:p>
        </w:tc>
        <w:tc>
          <w:tcPr>
            <w:tcW w:w="10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12,342</w:t>
            </w: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10,699</w:t>
            </w: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Set-off of deferred tax positions relate to income taxes levied by the same tax authority</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(3,732)</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(4,479)</w:t>
            </w:r>
          </w:p>
        </w:tc>
        <w:tc>
          <w:tcPr>
            <w:tcW w:w="0" w:type="dxa"/>
            <w:vAlign w:val="bottom"/>
          </w:tcPr>
          <w:p>
            <w:pPr>
              <w:spacing w:after="0"/>
              <w:rPr>
                <w:sz w:val="1"/>
                <w:szCs w:val="1"/>
                <w:color w:val="auto"/>
              </w:rPr>
            </w:pPr>
          </w:p>
        </w:tc>
      </w:tr>
      <w:tr>
        <w:trPr>
          <w:trHeight w:val="232"/>
        </w:trPr>
        <w:tc>
          <w:tcPr>
            <w:tcW w:w="6780" w:type="dxa"/>
            <w:vAlign w:val="bottom"/>
            <w:tcBorders>
              <w:top w:val="single" w:sz="8" w:color="CCEEFF"/>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00" w:type="dxa"/>
            <w:vAlign w:val="bottom"/>
            <w:tcBorders>
              <w:top w:val="single" w:sz="8" w:color="CCEEFF"/>
              <w:bottom w:val="single" w:sz="8" w:color="CCEEFF"/>
            </w:tcBorders>
          </w:tcPr>
          <w:p>
            <w:pPr>
              <w:spacing w:after="0"/>
              <w:rPr>
                <w:sz w:val="20"/>
                <w:szCs w:val="20"/>
                <w:color w:val="auto"/>
              </w:rPr>
            </w:pPr>
          </w:p>
        </w:tc>
        <w:tc>
          <w:tcPr>
            <w:tcW w:w="1080" w:type="dxa"/>
            <w:vAlign w:val="bottom"/>
            <w:tcBorders>
              <w:top w:val="single" w:sz="8" w:color="CCEEFF"/>
              <w:bottom w:val="single" w:sz="8" w:color="CCEEFF"/>
            </w:tcBorders>
          </w:tcPr>
          <w:p>
            <w:pPr>
              <w:spacing w:after="0"/>
              <w:rPr>
                <w:sz w:val="20"/>
                <w:szCs w:val="20"/>
                <w:color w:val="auto"/>
              </w:rPr>
            </w:pPr>
          </w:p>
        </w:tc>
        <w:tc>
          <w:tcPr>
            <w:tcW w:w="20" w:type="dxa"/>
            <w:vAlign w:val="bottom"/>
            <w:tcBorders>
              <w:top w:val="single" w:sz="8" w:color="CCEEFF"/>
              <w:bottom w:val="single" w:sz="8" w:color="CCEEFF"/>
            </w:tcBorders>
          </w:tcPr>
          <w:p>
            <w:pPr>
              <w:spacing w:after="0"/>
              <w:rPr>
                <w:sz w:val="20"/>
                <w:szCs w:val="20"/>
                <w:color w:val="auto"/>
              </w:rPr>
            </w:pPr>
          </w:p>
        </w:tc>
        <w:tc>
          <w:tcPr>
            <w:tcW w:w="60" w:type="dxa"/>
            <w:vAlign w:val="bottom"/>
            <w:tcBorders>
              <w:top w:val="single" w:sz="8" w:color="CCEEFF"/>
              <w:bottom w:val="single" w:sz="8" w:color="CCEEFF"/>
            </w:tcBorders>
          </w:tcPr>
          <w:p>
            <w:pPr>
              <w:spacing w:after="0"/>
              <w:rPr>
                <w:sz w:val="20"/>
                <w:szCs w:val="20"/>
                <w:color w:val="auto"/>
              </w:rPr>
            </w:pPr>
          </w:p>
        </w:tc>
        <w:tc>
          <w:tcPr>
            <w:tcW w:w="100" w:type="dxa"/>
            <w:vAlign w:val="bottom"/>
            <w:tcBorders>
              <w:top w:val="single" w:sz="8" w:color="CCEEFF"/>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8,610</w:t>
            </w:r>
          </w:p>
        </w:tc>
        <w:tc>
          <w:tcPr>
            <w:tcW w:w="20" w:type="dxa"/>
            <w:vAlign w:val="bottom"/>
            <w:tcBorders>
              <w:top w:val="single" w:sz="8" w:color="CCEEFF"/>
              <w:bottom w:val="single" w:sz="8" w:color="CCEEFF"/>
            </w:tcBorders>
          </w:tcPr>
          <w:p>
            <w:pPr>
              <w:spacing w:after="0"/>
              <w:rPr>
                <w:sz w:val="20"/>
                <w:szCs w:val="20"/>
                <w:color w:val="auto"/>
              </w:rPr>
            </w:pPr>
          </w:p>
        </w:tc>
        <w:tc>
          <w:tcPr>
            <w:tcW w:w="180" w:type="dxa"/>
            <w:vAlign w:val="bottom"/>
            <w:tcBorders>
              <w:top w:val="single" w:sz="8" w:color="CCEEFF"/>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80" w:type="dxa"/>
            <w:vAlign w:val="bottom"/>
            <w:tcBorders>
              <w:top w:val="single" w:sz="8" w:color="CCEEFF"/>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Property, plant and equipment and intangible assets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gridSpan w:val="5"/>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(18,542)</w:t>
            </w:r>
          </w:p>
        </w:tc>
        <w:tc>
          <w:tcPr>
            <w:tcW w:w="11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(21,093)</w:t>
            </w:r>
          </w:p>
        </w:tc>
        <w:tc>
          <w:tcPr>
            <w:tcW w:w="0" w:type="dxa"/>
            <w:vAlign w:val="bottom"/>
          </w:tcPr>
          <w:p>
            <w:pPr>
              <w:spacing w:after="0"/>
              <w:rPr>
                <w:sz w:val="1"/>
                <w:szCs w:val="1"/>
                <w:color w:val="auto"/>
              </w:rPr>
            </w:pPr>
          </w:p>
        </w:tc>
      </w:tr>
      <w:tr>
        <w:trPr>
          <w:trHeight w:val="196"/>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Set-off of deferred tax positions relate to income taxes levied by the same tax authority</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180" w:type="dxa"/>
            <w:vAlign w:val="bottom"/>
          </w:tcPr>
          <w:p>
            <w:pPr>
              <w:spacing w:after="0"/>
              <w:rPr>
                <w:sz w:val="17"/>
                <w:szCs w:val="17"/>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4,479</w:t>
            </w:r>
          </w:p>
        </w:tc>
        <w:tc>
          <w:tcPr>
            <w:tcW w:w="0" w:type="dxa"/>
            <w:vAlign w:val="bottom"/>
          </w:tcPr>
          <w:p>
            <w:pPr>
              <w:spacing w:after="0"/>
              <w:rPr>
                <w:sz w:val="1"/>
                <w:szCs w:val="1"/>
                <w:color w:val="auto"/>
              </w:rPr>
            </w:pPr>
          </w:p>
        </w:tc>
      </w:tr>
      <w:tr>
        <w:trPr>
          <w:trHeight w:val="184"/>
        </w:trPr>
        <w:tc>
          <w:tcPr>
            <w:tcW w:w="6780" w:type="dxa"/>
            <w:vAlign w:val="bottom"/>
            <w:tcBorders>
              <w:top w:val="single" w:sz="8" w:color="CCEEFF"/>
              <w:bottom w:val="single" w:sz="8" w:color="CCEEFF"/>
            </w:tcBorders>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(14,810</w:t>
            </w:r>
          </w:p>
        </w:tc>
        <w:tc>
          <w:tcPr>
            <w:tcW w:w="2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(16,614</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0"/>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deferred tax liabilities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(6,200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1"/>
              <w:spacing w:after="0" w:line="144" w:lineRule="exact"/>
              <w:rPr>
                <w:sz w:val="20"/>
                <w:szCs w:val="20"/>
                <w:color w:val="auto"/>
              </w:rPr>
            </w:pPr>
            <w:r>
              <w:rPr>
                <w:rFonts w:ascii="Times New Roman" w:cs="Times New Roman" w:eastAsia="Times New Roman" w:hAnsi="Times New Roman"/>
                <w:sz w:val="16"/>
                <w:szCs w:val="16"/>
                <w:color w:val="auto"/>
              </w:rPr>
              <w:t>(10,394</w:t>
            </w:r>
          </w:p>
        </w:tc>
        <w:tc>
          <w:tcPr>
            <w:tcW w:w="0" w:type="dxa"/>
            <w:vAlign w:val="bottom"/>
          </w:tcPr>
          <w:p>
            <w:pPr>
              <w:spacing w:after="0"/>
              <w:rPr>
                <w:sz w:val="1"/>
                <w:szCs w:val="1"/>
                <w:color w:val="auto"/>
              </w:rPr>
            </w:pPr>
          </w:p>
        </w:tc>
      </w:tr>
      <w:tr>
        <w:trPr>
          <w:trHeight w:val="208"/>
        </w:trPr>
        <w:tc>
          <w:tcPr>
            <w:tcW w:w="6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5"/>
            <w:vMerge w:val="restart"/>
          </w:tcPr>
          <w:p>
            <w:pPr>
              <w:ind w:left="300"/>
              <w:spacing w:after="0"/>
              <w:rPr>
                <w:sz w:val="20"/>
                <w:szCs w:val="20"/>
                <w:color w:val="auto"/>
              </w:rPr>
            </w:pPr>
            <w:r>
              <w:rPr>
                <w:rFonts w:ascii="Times New Roman" w:cs="Times New Roman" w:eastAsia="Times New Roman" w:hAnsi="Times New Roman"/>
                <w:sz w:val="16"/>
                <w:szCs w:val="16"/>
                <w:color w:val="auto"/>
              </w:rPr>
              <w:t>The movements in the net deferred tax liabilities during the six months ended June 30, 2025 and 2024 are as follows:</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0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6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Recognized in</w:t>
            </w:r>
          </w:p>
        </w:tc>
        <w:tc>
          <w:tcPr>
            <w:tcW w:w="114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0" w:type="dxa"/>
            <w:vAlign w:val="bottom"/>
          </w:tcPr>
          <w:p>
            <w:pPr>
              <w:spacing w:after="0"/>
              <w:rPr>
                <w:sz w:val="1"/>
                <w:szCs w:val="1"/>
                <w:color w:val="auto"/>
              </w:rPr>
            </w:pPr>
          </w:p>
        </w:tc>
      </w:tr>
      <w:tr>
        <w:trPr>
          <w:trHeight w:val="199"/>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profit or loss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7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Tax losses carried forward</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108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Share-based payments</w:t>
            </w:r>
          </w:p>
        </w:tc>
        <w:tc>
          <w:tcPr>
            <w:tcW w:w="1260" w:type="dxa"/>
            <w:vAlign w:val="bottom"/>
            <w:gridSpan w:val="4"/>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3,925</w:t>
            </w:r>
          </w:p>
        </w:tc>
        <w:tc>
          <w:tcPr>
            <w:tcW w:w="120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color w:val="auto"/>
              </w:rPr>
              <w:t>285</w:t>
            </w:r>
          </w:p>
        </w:tc>
        <w:tc>
          <w:tcPr>
            <w:tcW w:w="180" w:type="dxa"/>
            <w:vAlign w:val="bottom"/>
          </w:tcPr>
          <w:p>
            <w:pPr>
              <w:spacing w:after="0"/>
              <w:rPr>
                <w:sz w:val="15"/>
                <w:szCs w:val="15"/>
                <w:color w:val="auto"/>
              </w:rPr>
            </w:pPr>
          </w:p>
        </w:tc>
        <w:tc>
          <w:tcPr>
            <w:tcW w:w="11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4,210</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1260" w:type="dxa"/>
            <w:vAlign w:val="bottom"/>
            <w:gridSpan w:val="4"/>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4,184</w:t>
            </w:r>
          </w:p>
        </w:tc>
        <w:tc>
          <w:tcPr>
            <w:tcW w:w="1380" w:type="dxa"/>
            <w:vAlign w:val="bottom"/>
            <w:gridSpan w:val="5"/>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4,184</w:t>
            </w:r>
          </w:p>
        </w:tc>
        <w:tc>
          <w:tcPr>
            <w:tcW w:w="0" w:type="dxa"/>
            <w:vAlign w:val="bottom"/>
          </w:tcPr>
          <w:p>
            <w:pPr>
              <w:spacing w:after="0"/>
              <w:rPr>
                <w:sz w:val="1"/>
                <w:szCs w:val="1"/>
                <w:color w:val="auto"/>
              </w:rPr>
            </w:pPr>
          </w:p>
        </w:tc>
      </w:tr>
      <w:tr>
        <w:trPr>
          <w:trHeight w:val="180"/>
        </w:trPr>
        <w:tc>
          <w:tcPr>
            <w:tcW w:w="6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Property, plant and equipment, intangible assets and right-of-use assets</w:t>
            </w:r>
          </w:p>
        </w:tc>
        <w:tc>
          <w:tcPr>
            <w:tcW w:w="1260" w:type="dxa"/>
            <w:vAlign w:val="bottom"/>
            <w:gridSpan w:val="4"/>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(18,573)</w:t>
            </w:r>
          </w:p>
        </w:tc>
        <w:tc>
          <w:tcPr>
            <w:tcW w:w="1380" w:type="dxa"/>
            <w:vAlign w:val="bottom"/>
            <w:gridSpan w:val="5"/>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3,580</w:t>
            </w:r>
          </w:p>
        </w:tc>
        <w:tc>
          <w:tcPr>
            <w:tcW w:w="11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(14,993)</w:t>
            </w:r>
          </w:p>
        </w:tc>
        <w:tc>
          <w:tcPr>
            <w:tcW w:w="0" w:type="dxa"/>
            <w:vAlign w:val="bottom"/>
          </w:tcPr>
          <w:p>
            <w:pPr>
              <w:spacing w:after="0"/>
              <w:rPr>
                <w:sz w:val="1"/>
                <w:szCs w:val="1"/>
                <w:color w:val="auto"/>
              </w:rPr>
            </w:pPr>
          </w:p>
        </w:tc>
      </w:tr>
      <w:tr>
        <w:trPr>
          <w:trHeight w:val="212"/>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charges</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deferred tax liabilities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(10,394</w:t>
            </w:r>
          </w:p>
        </w:tc>
        <w:tc>
          <w:tcPr>
            <w:tcW w:w="8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138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rPr>
              <w:t>4,194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40" w:orient="portrait"/>
          <w:cols w:equalWidth="0" w:num="1">
            <w:col w:w="10560"/>
          </w:cols>
          <w:pgMar w:left="660" w:top="735" w:right="6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 losses carried forward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Share-based payments</w:t>
      </w:r>
    </w:p>
    <w:p>
      <w:pPr>
        <w:spacing w:after="0" w:line="234" w:lineRule="auto"/>
        <w:rPr>
          <w:sz w:val="20"/>
          <w:szCs w:val="20"/>
          <w:color w:val="auto"/>
        </w:rPr>
      </w:pPr>
      <w:r>
        <w:rPr>
          <w:rFonts w:ascii="Times New Roman" w:cs="Times New Roman" w:eastAsia="Times New Roman" w:hAnsi="Times New Roman"/>
          <w:sz w:val="16"/>
          <w:szCs w:val="16"/>
          <w:color w:val="auto"/>
        </w:rPr>
        <w:t>Deferred revenue</w:t>
      </w:r>
    </w:p>
    <w:p>
      <w:pPr>
        <w:spacing w:after="0" w:line="1"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6"/>
          <w:szCs w:val="16"/>
          <w:color w:val="auto"/>
        </w:rPr>
        <w:t xml:space="preserve">Property, plant and equipment, intangible assets and right-of-use assets </w:t>
      </w:r>
      <w:r>
        <w:rPr>
          <w:rFonts w:ascii="Times New Roman" w:cs="Times New Roman" w:eastAsia="Times New Roman" w:hAnsi="Times New Roman"/>
          <w:sz w:val="16"/>
          <w:szCs w:val="16"/>
          <w:b w:val="1"/>
          <w:bCs w:val="1"/>
          <w:color w:val="auto"/>
        </w:rPr>
        <w:t>Net deferred tax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7"/>
              </w:rPr>
              <w:t>Acquisition</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81"/>
              <w:spacing w:after="0" w:line="180" w:lineRule="exact"/>
              <w:rPr>
                <w:sz w:val="20"/>
                <w:szCs w:val="20"/>
                <w:color w:val="auto"/>
              </w:rPr>
            </w:pPr>
            <w:r>
              <w:rPr>
                <w:rFonts w:ascii="Times New Roman" w:cs="Times New Roman" w:eastAsia="Times New Roman" w:hAnsi="Times New Roman"/>
                <w:sz w:val="16"/>
                <w:szCs w:val="16"/>
                <w:b w:val="1"/>
                <w:bCs w:val="1"/>
                <w:color w:val="auto"/>
                <w:w w:val="97"/>
              </w:rPr>
              <w:t>through</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61"/>
              <w:spacing w:after="0" w:line="180" w:lineRule="exact"/>
              <w:rPr>
                <w:sz w:val="20"/>
                <w:szCs w:val="20"/>
                <w:color w:val="auto"/>
              </w:rPr>
            </w:pPr>
            <w:r>
              <w:rPr>
                <w:rFonts w:ascii="Times New Roman" w:cs="Times New Roman" w:eastAsia="Times New Roman" w:hAnsi="Times New Roman"/>
                <w:sz w:val="16"/>
                <w:szCs w:val="16"/>
                <w:b w:val="1"/>
                <w:bCs w:val="1"/>
                <w:color w:val="auto"/>
                <w:w w:val="97"/>
              </w:rPr>
              <w:t>the business</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gridSpan w:val="3"/>
          </w:tcPr>
          <w:p>
            <w:pPr>
              <w:jc w:val="right"/>
              <w:ind w:right="400"/>
              <w:spacing w:after="0" w:line="180" w:lineRule="exact"/>
              <w:rPr>
                <w:sz w:val="20"/>
                <w:szCs w:val="20"/>
                <w:color w:val="auto"/>
              </w:rPr>
            </w:pPr>
            <w:r>
              <w:rPr>
                <w:rFonts w:ascii="Times New Roman" w:cs="Times New Roman" w:eastAsia="Times New Roman" w:hAnsi="Times New Roman"/>
                <w:sz w:val="16"/>
                <w:szCs w:val="16"/>
                <w:b w:val="1"/>
                <w:bCs w:val="1"/>
                <w:color w:val="auto"/>
              </w:rPr>
              <w:t>January 1,</w:t>
            </w:r>
          </w:p>
        </w:tc>
        <w:tc>
          <w:tcPr>
            <w:tcW w:w="128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240" w:type="dxa"/>
            <w:vAlign w:val="bottom"/>
            <w:gridSpan w:val="2"/>
          </w:tcPr>
          <w:p>
            <w:pPr>
              <w:jc w:val="center"/>
              <w:ind w:right="141"/>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combination</w:t>
            </w:r>
          </w:p>
        </w:tc>
        <w:tc>
          <w:tcPr>
            <w:tcW w:w="1100" w:type="dxa"/>
            <w:vAlign w:val="bottom"/>
            <w:gridSpan w:val="2"/>
          </w:tcPr>
          <w:p>
            <w:pPr>
              <w:jc w:val="right"/>
              <w:ind w:right="261"/>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199"/>
        </w:trPr>
        <w:tc>
          <w:tcPr>
            <w:tcW w:w="10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profit or loss</w:t>
            </w:r>
          </w:p>
        </w:tc>
        <w:tc>
          <w:tcPr>
            <w:tcW w:w="12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8"/>
              </w:rPr>
              <w:t>(Note 6)</w:t>
            </w: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136</w:t>
            </w:r>
          </w:p>
        </w:tc>
        <w:tc>
          <w:tcPr>
            <w:tcW w:w="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(136)</w:t>
            </w:r>
          </w:p>
        </w:tc>
        <w:tc>
          <w:tcPr>
            <w:tcW w:w="220" w:type="dxa"/>
            <w:vAlign w:val="bottom"/>
          </w:tcPr>
          <w:p>
            <w:pPr>
              <w:spacing w:after="0"/>
              <w:rPr>
                <w:sz w:val="14"/>
                <w:szCs w:val="14"/>
                <w:color w:val="auto"/>
              </w:rPr>
            </w:pPr>
          </w:p>
        </w:tc>
        <w:tc>
          <w:tcPr>
            <w:tcW w:w="10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80" w:type="dxa"/>
            <w:vAlign w:val="bottom"/>
            <w:gridSpan w:val="3"/>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3,573</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356</w:t>
            </w:r>
          </w:p>
        </w:tc>
        <w:tc>
          <w:tcPr>
            <w:tcW w:w="220" w:type="dxa"/>
            <w:vAlign w:val="bottom"/>
          </w:tcPr>
          <w:p>
            <w:pPr>
              <w:spacing w:after="0"/>
              <w:rPr>
                <w:sz w:val="15"/>
                <w:szCs w:val="15"/>
                <w:color w:val="auto"/>
              </w:rPr>
            </w:pPr>
          </w:p>
        </w:tc>
        <w:tc>
          <w:tcPr>
            <w:tcW w:w="124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3,929</w:t>
            </w:r>
          </w:p>
        </w:tc>
        <w:tc>
          <w:tcPr>
            <w:tcW w:w="0" w:type="dxa"/>
            <w:vAlign w:val="bottom"/>
          </w:tcPr>
          <w:p>
            <w:pPr>
              <w:spacing w:after="0"/>
              <w:rPr>
                <w:sz w:val="1"/>
                <w:szCs w:val="1"/>
                <w:color w:val="auto"/>
              </w:rPr>
            </w:pPr>
          </w:p>
        </w:tc>
      </w:tr>
      <w:tr>
        <w:trPr>
          <w:trHeight w:val="180"/>
        </w:trPr>
        <w:tc>
          <w:tcPr>
            <w:tcW w:w="1280" w:type="dxa"/>
            <w:vAlign w:val="bottom"/>
            <w:gridSpan w:val="3"/>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4,184</w:t>
            </w:r>
          </w:p>
        </w:tc>
        <w:tc>
          <w:tcPr>
            <w:tcW w:w="12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4,184</w:t>
            </w:r>
          </w:p>
        </w:tc>
        <w:tc>
          <w:tcPr>
            <w:tcW w:w="0" w:type="dxa"/>
            <w:vAlign w:val="bottom"/>
          </w:tcPr>
          <w:p>
            <w:pPr>
              <w:spacing w:after="0"/>
              <w:rPr>
                <w:sz w:val="1"/>
                <w:szCs w:val="1"/>
                <w:color w:val="auto"/>
              </w:rPr>
            </w:pPr>
          </w:p>
        </w:tc>
      </w:tr>
      <w:tr>
        <w:trPr>
          <w:trHeight w:val="205"/>
        </w:trPr>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(8,522)</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2,807</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(5,061)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0" w:type="dxa"/>
            <w:vAlign w:val="bottom"/>
          </w:tcPr>
          <w:p>
            <w:pPr>
              <w:spacing w:after="0"/>
              <w:rPr>
                <w:sz w:val="1"/>
                <w:szCs w:val="1"/>
                <w:color w:val="auto"/>
              </w:rPr>
            </w:pPr>
          </w:p>
        </w:tc>
      </w:tr>
      <w:tr>
        <w:trPr>
          <w:trHeight w:val="24"/>
        </w:trPr>
        <w:tc>
          <w:tcPr>
            <w:tcW w:w="1060" w:type="dxa"/>
            <w:vAlign w:val="bottom"/>
            <w:shd w:val="clear" w:color="auto" w:fill="000000"/>
          </w:tcPr>
          <w:p>
            <w:pPr>
              <w:spacing w:after="0"/>
              <w:rPr>
                <w:sz w:val="2"/>
                <w:szCs w:val="2"/>
                <w:color w:val="auto"/>
              </w:rPr>
            </w:pPr>
          </w:p>
        </w:tc>
        <w:tc>
          <w:tcPr>
            <w:tcW w:w="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vMerge w:val="restart"/>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08"/>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20" w:type="dxa"/>
            <w:vAlign w:val="bottom"/>
            <w:gridSpan w:val="2"/>
            <w:vMerge w:val="continue"/>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3,027</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w:t>
            </w:r>
          </w:p>
        </w:tc>
        <w:tc>
          <w:tcPr>
            <w:tcW w:w="180" w:type="dxa"/>
            <w:vAlign w:val="bottom"/>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-418465</wp:posOffset>
            </wp:positionV>
            <wp:extent cx="6707505" cy="11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-174625</wp:posOffset>
            </wp:positionV>
            <wp:extent cx="6707505" cy="152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6707505" cy="15240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-662305</wp:posOffset>
            </wp:positionV>
            <wp:extent cx="6707505" cy="1295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67" w:lineRule="exact"/>
        <w:rPr>
          <w:sz w:val="20"/>
          <w:szCs w:val="20"/>
          <w:color w:val="auto"/>
        </w:rPr>
      </w:pPr>
    </w:p>
    <w:p>
      <w:pPr>
        <w:sectPr>
          <w:pgSz w:w="11900" w:h="16840" w:orient="portrait"/>
          <w:cols w:equalWidth="0" w:num="2">
            <w:col w:w="4900" w:space="720"/>
            <w:col w:w="4940"/>
          </w:cols>
          <w:pgMar w:left="660" w:top="735" w:right="680" w:bottom="401" w:gutter="0" w:footer="0" w:header="0"/>
          <w:type w:val="continuous"/>
        </w:sectPr>
      </w:pPr>
    </w:p>
    <w:p>
      <w:pPr>
        <w:ind w:firstLine="288"/>
        <w:spacing w:after="0" w:line="259" w:lineRule="auto"/>
        <w:rPr>
          <w:sz w:val="20"/>
          <w:szCs w:val="20"/>
          <w:color w:val="auto"/>
        </w:rPr>
      </w:pPr>
      <w:r>
        <w:rPr>
          <w:rFonts w:ascii="Times New Roman" w:cs="Times New Roman" w:eastAsia="Times New Roman" w:hAnsi="Times New Roman"/>
          <w:sz w:val="16"/>
          <w:szCs w:val="16"/>
          <w:color w:val="auto"/>
        </w:rPr>
        <w:t>The Group has not recognized deductible temporary differences and a portion of the tax loss carry forward because the criteria for recognition (i.e. the probability of future taxable profits) were not met. The amount of such unused tax losses will expire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Earliest year</w:t>
            </w:r>
          </w:p>
        </w:tc>
      </w:tr>
      <w:tr>
        <w:trPr>
          <w:trHeight w:val="180"/>
        </w:trPr>
        <w:tc>
          <w:tcPr>
            <w:tcW w:w="3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in thousands</w:t>
            </w: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of expiration</w:t>
            </w:r>
          </w:p>
        </w:tc>
      </w:tr>
      <w:tr>
        <w:trPr>
          <w:trHeight w:val="199"/>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Tax Jurisdiction</w:t>
            </w:r>
          </w:p>
        </w:tc>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of USD</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if not utilized</w:t>
            </w:r>
          </w:p>
        </w:tc>
      </w:tr>
      <w:tr>
        <w:trPr>
          <w:trHeight w:val="180"/>
        </w:trPr>
        <w:tc>
          <w:tcPr>
            <w:tcW w:w="312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Singapore</w:t>
            </w:r>
          </w:p>
        </w:tc>
        <w:tc>
          <w:tcPr>
            <w:tcW w:w="4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76,699</w:t>
            </w: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Indefinitely</w:t>
            </w:r>
          </w:p>
        </w:tc>
      </w:tr>
      <w:tr>
        <w:trPr>
          <w:trHeight w:val="180"/>
        </w:trPr>
        <w:tc>
          <w:tcPr>
            <w:tcW w:w="3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61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72,152</w:t>
            </w:r>
          </w:p>
        </w:tc>
        <w:tc>
          <w:tcPr>
            <w:tcW w:w="200" w:type="dxa"/>
            <w:vAlign w:val="bottom"/>
          </w:tcPr>
          <w:p>
            <w:pPr>
              <w:spacing w:after="0"/>
              <w:rPr>
                <w:sz w:val="15"/>
                <w:szCs w:val="15"/>
                <w:color w:val="auto"/>
              </w:rPr>
            </w:pP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Indefinitely</w:t>
            </w:r>
          </w:p>
        </w:tc>
      </w:tr>
      <w:tr>
        <w:trPr>
          <w:trHeight w:val="180"/>
        </w:trPr>
        <w:tc>
          <w:tcPr>
            <w:tcW w:w="3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Hong Kong</w:t>
            </w:r>
          </w:p>
        </w:tc>
        <w:tc>
          <w:tcPr>
            <w:tcW w:w="6300" w:type="dxa"/>
            <w:vAlign w:val="bottom"/>
            <w:gridSpan w:val="4"/>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4,531</w:t>
            </w:r>
          </w:p>
        </w:tc>
        <w:tc>
          <w:tcPr>
            <w:tcW w:w="11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Indefinitely</w:t>
            </w:r>
          </w:p>
        </w:tc>
      </w:tr>
      <w:tr>
        <w:trPr>
          <w:trHeight w:val="180"/>
        </w:trPr>
        <w:tc>
          <w:tcPr>
            <w:tcW w:w="3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Norway</w:t>
            </w:r>
          </w:p>
        </w:tc>
        <w:tc>
          <w:tcPr>
            <w:tcW w:w="6300" w:type="dxa"/>
            <w:vAlign w:val="bottom"/>
            <w:gridSpan w:val="4"/>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1,309</w:t>
            </w: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Indefinitely</w:t>
            </w:r>
          </w:p>
        </w:tc>
      </w:tr>
      <w:tr>
        <w:trPr>
          <w:trHeight w:val="180"/>
        </w:trPr>
        <w:tc>
          <w:tcPr>
            <w:tcW w:w="3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Netherlands</w:t>
            </w:r>
          </w:p>
        </w:tc>
        <w:tc>
          <w:tcPr>
            <w:tcW w:w="610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Indefinitely</w:t>
            </w:r>
          </w:p>
        </w:tc>
      </w:tr>
      <w:tr>
        <w:trPr>
          <w:trHeight w:val="196"/>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Thailand</w:t>
            </w:r>
          </w:p>
        </w:tc>
        <w:tc>
          <w:tcPr>
            <w:tcW w:w="5020" w:type="dxa"/>
            <w:vAlign w:val="bottom"/>
            <w:tcBorders>
              <w:bottom w:val="single" w:sz="8" w:color="CCEEFF"/>
            </w:tcBorders>
            <w:gridSpan w:val="2"/>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3"/>
              </w:rPr>
              <w:t>2028</w:t>
            </w:r>
          </w:p>
        </w:tc>
      </w:tr>
      <w:tr>
        <w:trPr>
          <w:trHeight w:val="208"/>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020" w:type="dxa"/>
            <w:vAlign w:val="bottom"/>
            <w:tcBorders>
              <w:bottom w:val="single" w:sz="8" w:color="CCEEFF"/>
            </w:tcBorders>
            <w:gridSpan w:val="2"/>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154,702</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52"/>
        </w:trPr>
        <w:tc>
          <w:tcPr>
            <w:tcW w:w="31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4"/>
          </w:tcPr>
          <w:p>
            <w:pPr>
              <w:ind w:left="2020"/>
              <w:spacing w:after="0"/>
              <w:rPr>
                <w:sz w:val="20"/>
                <w:szCs w:val="20"/>
                <w:color w:val="auto"/>
              </w:rPr>
            </w:pPr>
            <w:r>
              <w:rPr>
                <w:rFonts w:ascii="Times New Roman" w:cs="Times New Roman" w:eastAsia="Times New Roman" w:hAnsi="Times New Roman"/>
                <w:sz w:val="16"/>
                <w:szCs w:val="16"/>
                <w:color w:val="auto"/>
              </w:rPr>
              <w:t>F-35</w:t>
            </w:r>
          </w:p>
        </w:tc>
        <w:tc>
          <w:tcPr>
            <w:tcW w:w="1140" w:type="dxa"/>
            <w:vAlign w:val="bottom"/>
            <w:tcBorders>
              <w:bottom w:val="single" w:sz="8" w:color="auto"/>
            </w:tcBorders>
          </w:tcPr>
          <w:p>
            <w:pPr>
              <w:spacing w:after="0"/>
              <w:rPr>
                <w:sz w:val="24"/>
                <w:szCs w:val="24"/>
                <w:color w:val="auto"/>
              </w:rPr>
            </w:pPr>
          </w:p>
        </w:tc>
      </w:tr>
    </w:tbl>
    <w:p>
      <w:pPr>
        <w:sectPr>
          <w:pgSz w:w="11900" w:h="16840" w:orient="portrait"/>
          <w:cols w:equalWidth="0" w:num="1">
            <w:col w:w="10560"/>
          </w:cols>
          <w:pgMar w:left="660" w:top="735" w:right="680" w:bottom="401"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26. RELATED PARTY TRANSACTIONS</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0"/>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Compensation for key management and Board of Directors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6"/>
        </w:trPr>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r>
      <w:tr>
        <w:trPr>
          <w:trHeight w:val="19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212"/>
        </w:trPr>
        <w:tc>
          <w:tcPr>
            <w:tcW w:w="80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Salaries and other emoluments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2"/>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4,881</w:t>
            </w:r>
          </w:p>
        </w:tc>
        <w:tc>
          <w:tcPr>
            <w:tcW w:w="1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4,383</w:t>
            </w: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Related party balances and transactions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followings set forth the significant related party and its relationships with the Group:</w:t>
      </w:r>
    </w:p>
    <w:p>
      <w:pPr>
        <w:sectPr>
          <w:pgSz w:w="11900" w:h="16840" w:orient="portrait"/>
          <w:cols w:equalWidth="0" w:num="1">
            <w:col w:w="10560"/>
          </w:cols>
          <w:pgMar w:left="660" w:top="735" w:right="680" w:bottom="6"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329247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3292475" cy="15240"/>
                    </a:xfrm>
                    <a:prstGeom prst="rect">
                      <a:avLst/>
                    </a:prstGeom>
                    <a:noFill/>
                  </pic:spPr>
                </pic:pic>
              </a:graphicData>
            </a:graphic>
          </wp:anchor>
        </w:drawing>
      </w:r>
    </w:p>
    <w:p>
      <w:pPr>
        <w:spacing w:after="0" w:line="2" w:lineRule="exact"/>
        <w:rPr>
          <w:sz w:val="20"/>
          <w:szCs w:val="20"/>
          <w:color w:val="auto"/>
        </w:rPr>
      </w:pPr>
    </w:p>
    <w:p>
      <w:pPr>
        <w:ind w:left="160" w:right="160" w:hanging="143"/>
        <w:spacing w:after="0" w:line="259" w:lineRule="auto"/>
        <w:rPr>
          <w:sz w:val="20"/>
          <w:szCs w:val="20"/>
          <w:color w:val="auto"/>
        </w:rPr>
      </w:pPr>
      <w:r>
        <w:rPr>
          <w:rFonts w:ascii="Times New Roman" w:cs="Times New Roman" w:eastAsia="Times New Roman" w:hAnsi="Times New Roman"/>
          <w:sz w:val="16"/>
          <w:szCs w:val="16"/>
          <w:color w:val="auto"/>
        </w:rPr>
        <w:t>Matrix Finance and Technologies Holding Group and its subsidiaries (“Matrixport Group”)</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Details of assets, liabilities and transactions with the related party are as follows: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328485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3284855" cy="15240"/>
                    </a:xfrm>
                    <a:prstGeom prst="rect">
                      <a:avLst/>
                    </a:prstGeom>
                    <a:noFill/>
                  </pic:spPr>
                </pic:pic>
              </a:graphicData>
            </a:graphic>
          </wp:anchor>
        </w:drawing>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Group’s controlling person is the co -founder and chairman of the board of directors of Matrixport Group and has significant influence over Matrixport Group.</w:t>
      </w:r>
    </w:p>
    <w:p>
      <w:pPr>
        <w:spacing w:after="0" w:line="506" w:lineRule="exact"/>
        <w:rPr>
          <w:sz w:val="20"/>
          <w:szCs w:val="20"/>
          <w:color w:val="auto"/>
        </w:rPr>
      </w:pPr>
    </w:p>
    <w:p>
      <w:pPr>
        <w:sectPr>
          <w:pgSz w:w="11900" w:h="16840" w:orient="portrait"/>
          <w:cols w:equalWidth="0" w:num="2">
            <w:col w:w="5340" w:space="60"/>
            <w:col w:w="5160"/>
          </w:cols>
          <w:pgMar w:left="660" w:top="735" w:right="680" w:bottom="6"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199"/>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40" w:type="dxa"/>
            <w:vAlign w:val="bottom"/>
            <w:tcBorders>
              <w:top w:val="single" w:sz="8" w:color="auto"/>
            </w:tcBorders>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Due from a related party</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 Trade receivables </w:t>
            </w:r>
            <w:r>
              <w:rPr>
                <w:rFonts w:ascii="Times New Roman" w:cs="Times New Roman" w:eastAsia="Times New Roman" w:hAnsi="Times New Roman"/>
                <w:sz w:val="25"/>
                <w:szCs w:val="25"/>
                <w:color w:val="auto"/>
                <w:vertAlign w:val="superscript"/>
              </w:rPr>
              <w:t>(1)</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6,227</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6,171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tcBorders>
              <w:bottom w:val="single" w:sz="8" w:color="CCEEFF"/>
            </w:tcBorders>
          </w:tcPr>
          <w:p>
            <w:pPr>
              <w:spacing w:after="0" w:line="228" w:lineRule="exact"/>
              <w:rPr>
                <w:sz w:val="20"/>
                <w:szCs w:val="20"/>
                <w:color w:val="auto"/>
              </w:rPr>
            </w:pPr>
            <w:r>
              <w:rPr>
                <w:rFonts w:ascii="Times New Roman" w:cs="Times New Roman" w:eastAsia="Times New Roman" w:hAnsi="Times New Roman"/>
                <w:sz w:val="16"/>
                <w:szCs w:val="16"/>
                <w:color w:val="auto"/>
              </w:rPr>
              <w:t xml:space="preserve">- Other receivables </w:t>
            </w:r>
            <w:r>
              <w:rPr>
                <w:rFonts w:ascii="Times New Roman" w:cs="Times New Roman" w:eastAsia="Times New Roman" w:hAnsi="Times New Roman"/>
                <w:sz w:val="26"/>
                <w:szCs w:val="26"/>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9,341</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due from a related party</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Due to a related party</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tcBorders>
              <w:bottom w:val="single" w:sz="8" w:color="CCEEFF"/>
            </w:tcBorders>
          </w:tcPr>
          <w:p>
            <w:pPr>
              <w:spacing w:after="0" w:line="228" w:lineRule="exact"/>
              <w:rPr>
                <w:sz w:val="20"/>
                <w:szCs w:val="20"/>
                <w:color w:val="auto"/>
              </w:rPr>
            </w:pPr>
            <w:r>
              <w:rPr>
                <w:rFonts w:ascii="Times New Roman" w:cs="Times New Roman" w:eastAsia="Times New Roman" w:hAnsi="Times New Roman"/>
                <w:sz w:val="16"/>
                <w:szCs w:val="16"/>
                <w:color w:val="auto"/>
              </w:rPr>
              <w:t xml:space="preserve">- Other payables </w:t>
            </w:r>
            <w:r>
              <w:rPr>
                <w:rFonts w:ascii="Times New Roman" w:cs="Times New Roman" w:eastAsia="Times New Roman" w:hAnsi="Times New Roman"/>
                <w:sz w:val="26"/>
                <w:szCs w:val="26"/>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11,337</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due to a related party</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Borrowings from a related party</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tcBorders>
              <w:bottom w:val="single" w:sz="8" w:color="CCEEFF"/>
            </w:tcBorders>
          </w:tcPr>
          <w:p>
            <w:pPr>
              <w:spacing w:after="0" w:line="228" w:lineRule="exact"/>
              <w:rPr>
                <w:sz w:val="20"/>
                <w:szCs w:val="20"/>
                <w:color w:val="auto"/>
              </w:rPr>
            </w:pPr>
            <w:r>
              <w:rPr>
                <w:rFonts w:ascii="Times New Roman" w:cs="Times New Roman" w:eastAsia="Times New Roman" w:hAnsi="Times New Roman"/>
                <w:sz w:val="16"/>
                <w:szCs w:val="16"/>
                <w:color w:val="auto"/>
              </w:rPr>
              <w:t xml:space="preserve">- Borrowings </w:t>
            </w:r>
            <w:r>
              <w:rPr>
                <w:rFonts w:ascii="Times New Roman" w:cs="Times New Roman" w:eastAsia="Times New Roman" w:hAnsi="Times New Roman"/>
                <w:sz w:val="26"/>
                <w:szCs w:val="26"/>
                <w:color w:val="auto"/>
                <w:vertAlign w:val="superscript"/>
              </w:rPr>
              <w:t>(3)</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172,917</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borrowings from a related party</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172,917</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r>
      <w:tr>
        <w:trPr>
          <w:trHeight w:val="19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216"/>
        </w:trPr>
        <w:tc>
          <w:tcPr>
            <w:tcW w:w="804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 Provide service to a related party </w:t>
            </w:r>
            <w:r>
              <w:rPr>
                <w:rFonts w:ascii="Times New Roman" w:cs="Times New Roman" w:eastAsia="Times New Roman" w:hAnsi="Times New Roman"/>
                <w:sz w:val="25"/>
                <w:szCs w:val="25"/>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17,956</w:t>
            </w:r>
          </w:p>
        </w:tc>
        <w:tc>
          <w:tcPr>
            <w:tcW w:w="80" w:type="dxa"/>
            <w:vAlign w:val="bottom"/>
            <w:tcBorders>
              <w:top w:val="single" w:sz="8" w:color="CCEEFF"/>
            </w:tcBorders>
            <w:shd w:val="clear" w:color="auto" w:fill="CCEEFF"/>
          </w:tcPr>
          <w:p>
            <w:pPr>
              <w:spacing w:after="0"/>
              <w:rPr>
                <w:sz w:val="18"/>
                <w:szCs w:val="18"/>
                <w:color w:val="auto"/>
              </w:rPr>
            </w:pPr>
          </w:p>
        </w:tc>
      </w:tr>
      <w:tr>
        <w:trPr>
          <w:trHeight w:val="180"/>
        </w:trPr>
        <w:tc>
          <w:tcPr>
            <w:tcW w:w="8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Receive service from a related party</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2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5"/>
                <w:szCs w:val="15"/>
                <w:color w:val="auto"/>
              </w:rPr>
            </w:pPr>
          </w:p>
        </w:tc>
      </w:tr>
      <w:tr>
        <w:trPr>
          <w:trHeight w:val="180"/>
        </w:trPr>
        <w:tc>
          <w:tcPr>
            <w:tcW w:w="8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Gain / (loss) on changes in fair value of financial assets at fair value through profit or loss</w:t>
            </w:r>
          </w:p>
        </w:tc>
        <w:tc>
          <w:tcPr>
            <w:tcW w:w="128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(2,503)</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1,546</w:t>
            </w:r>
          </w:p>
        </w:tc>
      </w:tr>
      <w:tr>
        <w:trPr>
          <w:trHeight w:val="180"/>
        </w:trPr>
        <w:tc>
          <w:tcPr>
            <w:tcW w:w="8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Sale of mining rigs peripherals to a related party</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5"/>
                <w:szCs w:val="15"/>
                <w:color w:val="auto"/>
              </w:rPr>
            </w:pPr>
          </w:p>
        </w:tc>
      </w:tr>
      <w:tr>
        <w:trPr>
          <w:trHeight w:val="216"/>
        </w:trPr>
        <w:tc>
          <w:tcPr>
            <w:tcW w:w="8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 Interest expense on borrowings from a related party </w:t>
            </w:r>
            <w:r>
              <w:rPr>
                <w:rFonts w:ascii="Times New Roman" w:cs="Times New Roman" w:eastAsia="Times New Roman" w:hAnsi="Times New Roman"/>
                <w:sz w:val="25"/>
                <w:szCs w:val="25"/>
                <w:color w:val="auto"/>
                <w:vertAlign w:val="superscript"/>
              </w:rPr>
              <w:t>(4)</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3,016</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bl>
    <w:p>
      <w:pPr>
        <w:spacing w:after="0" w:line="167" w:lineRule="exact"/>
        <w:rPr>
          <w:sz w:val="20"/>
          <w:szCs w:val="20"/>
          <w:color w:val="auto"/>
        </w:rPr>
      </w:pPr>
    </w:p>
    <w:p>
      <w:pPr>
        <w:ind w:left="300" w:hanging="294"/>
        <w:spacing w:after="0"/>
        <w:tabs>
          <w:tab w:leader="none" w:pos="3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Mainly related to the hosting service provided by the Group. The related receivable was subsequently settled after the reporting date.</w:t>
      </w:r>
    </w:p>
    <w:p>
      <w:pPr>
        <w:spacing w:after="0" w:line="176" w:lineRule="exact"/>
        <w:rPr>
          <w:rFonts w:ascii="Times New Roman" w:cs="Times New Roman" w:eastAsia="Times New Roman" w:hAnsi="Times New Roman"/>
          <w:sz w:val="16"/>
          <w:szCs w:val="16"/>
          <w:color w:val="auto"/>
        </w:rPr>
      </w:pPr>
    </w:p>
    <w:p>
      <w:pPr>
        <w:ind w:left="300" w:hanging="294"/>
        <w:spacing w:after="0" w:line="259" w:lineRule="auto"/>
        <w:tabs>
          <w:tab w:leader="none" w:pos="3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payables represent the deposit received related to the hosting service provided, interest payable on borrowings, the accrued service expense related to the custody and other services provided by the related party. The deposit related to the hosting service was released after the reporting date.</w:t>
      </w:r>
    </w:p>
    <w:p>
      <w:pPr>
        <w:spacing w:after="0" w:line="143" w:lineRule="exact"/>
        <w:rPr>
          <w:rFonts w:ascii="Times New Roman" w:cs="Times New Roman" w:eastAsia="Times New Roman" w:hAnsi="Times New Roman"/>
          <w:sz w:val="16"/>
          <w:szCs w:val="16"/>
          <w:color w:val="auto"/>
        </w:rPr>
      </w:pPr>
    </w:p>
    <w:p>
      <w:pPr>
        <w:jc w:val="both"/>
        <w:ind w:left="300" w:hanging="294"/>
        <w:spacing w:after="0" w:line="243" w:lineRule="auto"/>
        <w:tabs>
          <w:tab w:leader="none" w:pos="3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15, 2025, the Group entered into a loan agreement (“Loan 2025”) with Matrixport Group for a financing facility of up to US$200.0 million. Loans drawn under the facility bear a variable interest rate equal to 9.0% plus a market-based reference rate. Each drawdown is repayable in fixed monthly installments over a 24-month term and is secured by a floating charge over SEALMINERs, maintained based on a loan-to-value ratio. The assets subject to the floating charge are recorded within the Group’s asset categories.</w:t>
      </w:r>
    </w:p>
    <w:p>
      <w:pPr>
        <w:spacing w:after="0" w:line="155" w:lineRule="exact"/>
        <w:rPr>
          <w:rFonts w:ascii="Times New Roman" w:cs="Times New Roman" w:eastAsia="Times New Roman" w:hAnsi="Times New Roman"/>
          <w:sz w:val="16"/>
          <w:szCs w:val="16"/>
          <w:color w:val="auto"/>
        </w:rPr>
      </w:pPr>
    </w:p>
    <w:p>
      <w:pPr>
        <w:ind w:left="300" w:hanging="294"/>
        <w:spacing w:after="0"/>
        <w:tabs>
          <w:tab w:leader="none" w:pos="3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borrowings from a related party includes capitalized borrowing costs.</w:t>
      </w:r>
    </w:p>
    <w:p>
      <w:pPr>
        <w:spacing w:after="0" w:line="176" w:lineRule="exact"/>
        <w:rPr>
          <w:sz w:val="20"/>
          <w:szCs w:val="20"/>
          <w:color w:val="auto"/>
        </w:rPr>
      </w:pPr>
    </w:p>
    <w:p>
      <w:pPr>
        <w:ind w:right="20" w:firstLine="288"/>
        <w:spacing w:after="0" w:line="259" w:lineRule="auto"/>
        <w:rPr>
          <w:sz w:val="20"/>
          <w:szCs w:val="20"/>
          <w:color w:val="auto"/>
        </w:rPr>
      </w:pPr>
      <w:r>
        <w:rPr>
          <w:rFonts w:ascii="Times New Roman" w:cs="Times New Roman" w:eastAsia="Times New Roman" w:hAnsi="Times New Roman"/>
          <w:sz w:val="16"/>
          <w:szCs w:val="16"/>
          <w:color w:val="auto"/>
        </w:rPr>
        <w:t>During the six months ended June 30, 2025 and 2024, substantially all of the Group’s cryptocurrencies were held in custody by Matrixport Group, and the Group’s disposal of cryptocurrencies, at spot price on the date of disposal, was primarily to Matrixport Group.</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 EARNINGS / (LOSS) PER SHARE</w:t>
      </w:r>
    </w:p>
    <w:p>
      <w:pPr>
        <w:spacing w:after="0" w:line="178" w:lineRule="exact"/>
        <w:rPr>
          <w:sz w:val="20"/>
          <w:szCs w:val="20"/>
          <w:color w:val="auto"/>
        </w:rPr>
      </w:pPr>
    </w:p>
    <w:p>
      <w:pPr>
        <w:ind w:firstLine="288"/>
        <w:spacing w:after="0" w:line="259" w:lineRule="auto"/>
        <w:rPr>
          <w:sz w:val="20"/>
          <w:szCs w:val="20"/>
          <w:color w:val="auto"/>
        </w:rPr>
      </w:pPr>
      <w:r>
        <w:rPr>
          <w:rFonts w:ascii="Times New Roman" w:cs="Times New Roman" w:eastAsia="Times New Roman" w:hAnsi="Times New Roman"/>
          <w:sz w:val="16"/>
          <w:szCs w:val="16"/>
          <w:color w:val="auto"/>
        </w:rPr>
        <w:t>The calculation of basic earnings / (loss) per share is based on the profit or loss attributable to ordinary equity shareholders of the Group and the weighted average number of ordinary shares outstanding for the six months ended June 30, 2025 and 2024.</w:t>
      </w:r>
    </w:p>
    <w:p>
      <w:pPr>
        <w:spacing w:after="0" w:line="143" w:lineRule="exact"/>
        <w:rPr>
          <w:sz w:val="20"/>
          <w:szCs w:val="20"/>
          <w:color w:val="auto"/>
        </w:rPr>
      </w:pPr>
    </w:p>
    <w:p>
      <w:pPr>
        <w:ind w:firstLine="288"/>
        <w:spacing w:after="0" w:line="259" w:lineRule="auto"/>
        <w:rPr>
          <w:sz w:val="20"/>
          <w:szCs w:val="20"/>
          <w:color w:val="auto"/>
        </w:rPr>
      </w:pPr>
      <w:r>
        <w:rPr>
          <w:rFonts w:ascii="Times New Roman" w:cs="Times New Roman" w:eastAsia="Times New Roman" w:hAnsi="Times New Roman"/>
          <w:sz w:val="16"/>
          <w:szCs w:val="16"/>
          <w:color w:val="auto"/>
        </w:rPr>
        <w:t>Diluted earnings / (loss) per share is computed using the weighted average number of ordinary shares and dilutive potential ordinary shares outstanding during the respective periods.</w:t>
      </w:r>
    </w:p>
    <w:p>
      <w:pPr>
        <w:spacing w:after="0" w:line="143" w:lineRule="exact"/>
        <w:rPr>
          <w:sz w:val="20"/>
          <w:szCs w:val="20"/>
          <w:color w:val="auto"/>
        </w:rPr>
      </w:pPr>
    </w:p>
    <w:p>
      <w:pPr>
        <w:ind w:firstLine="288"/>
        <w:spacing w:after="0" w:line="331" w:lineRule="auto"/>
        <w:rPr>
          <w:sz w:val="20"/>
          <w:szCs w:val="20"/>
          <w:color w:val="auto"/>
        </w:rPr>
      </w:pPr>
      <w:r>
        <w:rPr>
          <w:rFonts w:ascii="Times New Roman" w:cs="Times New Roman" w:eastAsia="Times New Roman" w:hAnsi="Times New Roman"/>
          <w:sz w:val="14"/>
          <w:szCs w:val="14"/>
          <w:color w:val="auto"/>
        </w:rPr>
        <w:t>For the six months ended June 30, 2025, the potential ordinary shares related to the outstanding share awards, the promissory note, June 2025 convertible senior notes, and options issued in the Norway Acquisition were excluded from the calculation of diluted loss per share as their effect would have been anti-dilutive. For the six</w:t>
      </w:r>
    </w:p>
    <w:p>
      <w:pPr>
        <w:sectPr>
          <w:pgSz w:w="11900" w:h="16840" w:orient="portrait"/>
          <w:cols w:equalWidth="0" w:num="1">
            <w:col w:w="10560"/>
          </w:cols>
          <w:pgMar w:left="660" w:top="735" w:right="680" w:bottom="6" w:gutter="0" w:footer="0" w:header="0"/>
          <w:type w:val="continuous"/>
        </w:sectPr>
      </w:pPr>
    </w:p>
    <w:bookmarkStart w:id="27" w:name="page28"/>
    <w:bookmarkEnd w:id="27"/>
    <w:p>
      <w:pPr>
        <w:spacing w:after="0" w:line="331" w:lineRule="auto"/>
        <w:rPr>
          <w:sz w:val="20"/>
          <w:szCs w:val="20"/>
          <w:color w:val="auto"/>
        </w:rPr>
      </w:pPr>
      <w:r>
        <w:rPr>
          <w:rFonts w:ascii="Times New Roman" w:cs="Times New Roman" w:eastAsia="Times New Roman" w:hAnsi="Times New Roman"/>
          <w:sz w:val="14"/>
          <w:szCs w:val="14"/>
          <w:color w:val="auto"/>
        </w:rPr>
        <w:t>months ended June 30, 2024, the potential ordinary shares related to the outstanding share awards, the promissory note, warrants recorded in the derivative liabilities, and options issued in the Norway Acquisition were similarly excluded from the diluted loss per share calculation, as their inclusion would have been anti-dilutive.</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reflects the profit / (loss) and share data used in the basic and diluted earnings / (loss) per ordinary share computations: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c>
          <w:tcPr>
            <w:tcW w:w="0" w:type="dxa"/>
            <w:vAlign w:val="bottom"/>
          </w:tcPr>
          <w:p>
            <w:pPr>
              <w:spacing w:after="0"/>
              <w:rPr>
                <w:sz w:val="1"/>
                <w:szCs w:val="1"/>
                <w:color w:val="auto"/>
              </w:rPr>
            </w:pPr>
          </w:p>
        </w:tc>
      </w:tr>
      <w:tr>
        <w:trPr>
          <w:trHeight w:val="196"/>
        </w:trPr>
        <w:tc>
          <w:tcPr>
            <w:tcW w:w="8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 of USD, except for the per share data</w:t>
            </w:r>
          </w:p>
        </w:tc>
        <w:tc>
          <w:tcPr>
            <w:tcW w:w="108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Profit / (loss) attributable to ordinary equity shareholders of the Group</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261,740</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(17,137)</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 (thousand shares)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192,095</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120,686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earnings / (loss) per share (In USD)</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Profit / (loss) attributable to ordinary equity shareholders of the Group</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261,740</w:t>
            </w:r>
          </w:p>
        </w:tc>
        <w:tc>
          <w:tcPr>
            <w:tcW w:w="11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(17,137)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Adjustments for potential dilutive instruments:</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Impact of derivative liabilities related to the warrants</w:t>
            </w:r>
          </w:p>
        </w:tc>
        <w:tc>
          <w:tcPr>
            <w:tcW w:w="128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(42,622)</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Impact of derivative liabilities and interest expense related to the August 2024 and November 2024 convertible senior notes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(352,302)</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attributable to ordinary equity shareholders of the Group for diluted EPS</w:t>
            </w: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(133,184)</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(17,137)</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 average number of ordinary shares outstanding (thousand shares)</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192,095</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120,686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Effect of potential dilutive ordinary shares:</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Assumed exercise of warrants (thousand shares)</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1,170</w:t>
            </w:r>
          </w:p>
        </w:tc>
        <w:tc>
          <w:tcPr>
            <w:tcW w:w="11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Assumed conversion of the August 2024 and November 2024 convertible senior notes (thousand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35,681</w:t>
            </w:r>
          </w:p>
        </w:tc>
        <w:tc>
          <w:tcPr>
            <w:tcW w:w="20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 average number of shares outstanding for diluted EPS (thousand shares)</w:t>
            </w: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228,946</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120,686</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loss per share (In USD)</w:t>
            </w:r>
          </w:p>
        </w:tc>
        <w:tc>
          <w:tcPr>
            <w:tcW w:w="128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3"/>
                <w:szCs w:val="13"/>
                <w:color w:val="auto"/>
              </w:rPr>
              <w:t>(0.58</w:t>
            </w:r>
            <w:r>
              <w:rPr>
                <w:rFonts w:ascii="Times New Roman" w:cs="Times New Roman" w:eastAsia="Times New Roman" w:hAnsi="Times New Roman"/>
                <w:sz w:val="25"/>
                <w:szCs w:val="25"/>
                <w:color w:val="auto"/>
                <w:vertAlign w:val="superscript"/>
              </w:rPr>
              <w:t>)</w:t>
            </w:r>
          </w:p>
        </w:tc>
        <w:tc>
          <w:tcPr>
            <w:tcW w:w="1140" w:type="dxa"/>
            <w:vAlign w:val="bottom"/>
            <w:gridSpan w:val="2"/>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13"/>
                <w:szCs w:val="13"/>
                <w:color w:val="auto"/>
              </w:rPr>
              <w:t>(0.14</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hanging="294"/>
        <w:spacing w:after="0" w:line="247" w:lineRule="auto"/>
        <w:tabs>
          <w:tab w:leader="none" w:pos="3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Class A ordinary share carries 1 vote and each Class V ordinary share carries 10 votes. All classes of shares are entitled to dividend and rank pari passu except for voting rights. They are included in the ordinary shares and the shareholders of the shares are referred to as the ordinary equity shareholders in the context of notes and presentations of earnings per share.</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BITDEER TECHNOLOGIES GROUP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28. SUPPLEMENTAL CASH FLOW INFORMATION</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0"/>
        </w:trPr>
        <w:tc>
          <w:tcPr>
            <w:tcW w:w="20" w:type="dxa"/>
            <w:vAlign w:val="bottom"/>
          </w:tcPr>
          <w:p>
            <w:pPr>
              <w:spacing w:after="0"/>
              <w:rPr>
                <w:sz w:val="24"/>
                <w:szCs w:val="24"/>
                <w:color w:val="auto"/>
              </w:rPr>
            </w:pPr>
          </w:p>
        </w:tc>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The non-cash investing and financing activities are as follows: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Periods ended June 30,</w:t>
            </w:r>
          </w:p>
        </w:tc>
      </w:tr>
      <w:tr>
        <w:trPr>
          <w:trHeight w:val="196"/>
        </w:trPr>
        <w:tc>
          <w:tcPr>
            <w:tcW w:w="8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 of USD</w:t>
            </w:r>
          </w:p>
        </w:tc>
        <w:tc>
          <w:tcPr>
            <w:tcW w:w="10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 and leasehold land obtained in exchange for liabilities assumed</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17,701</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17,035</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Payment for purchase of property, plant and equipment in form of cryptocurrencies</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3,443</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Borrowing costs capitalized as additional to property, plant and equipment</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5,788</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Liabilities assumed in connection with payment for mining rigs</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3,420</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Liabilities assumed in connection with acquisition of property, plant and equipment and intangible assets</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12,333</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10,664</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Prepayments realized as additions to property, plant and equipment and intangible assets</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5,846</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9,046</w:t>
            </w: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Transfer of inventory to mining rigs</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146,788</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Settlement of pre-existing debtor relationship in the Norway Acquisition (Note 6)</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10,061</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8"/>
              </w:rPr>
              <w:t>Issuance of senior secured notes, Class A ordinary shares and share options in connection with the Norway Acquisition (Note 6)</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17,952</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Cancellation of repurchased treasury shares</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29,967</w:t>
            </w:r>
          </w:p>
        </w:tc>
        <w:tc>
          <w:tcPr>
            <w:tcW w:w="20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2,604</w:t>
            </w:r>
          </w:p>
        </w:tc>
      </w:tr>
      <w:tr>
        <w:trPr>
          <w:trHeight w:val="180"/>
        </w:trPr>
        <w:tc>
          <w:tcPr>
            <w:tcW w:w="20" w:type="dxa"/>
            <w:vAlign w:val="bottom"/>
          </w:tcPr>
          <w:p>
            <w:pPr>
              <w:spacing w:after="0"/>
              <w:rPr>
                <w:sz w:val="15"/>
                <w:szCs w:val="15"/>
                <w:color w:val="auto"/>
              </w:rPr>
            </w:pPr>
          </w:p>
        </w:tc>
        <w:tc>
          <w:tcPr>
            <w:tcW w:w="8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Transaction cost-related liabilities assumed in connection with the issuance of the convertible senior notes</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714</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Class A ordinary shares in connection with conversion of convertible senior notes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112,951</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29. SUBSEQUENT EVENTS</w:t>
      </w:r>
    </w:p>
    <w:p>
      <w:pPr>
        <w:spacing w:after="0" w:line="178"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In February 2025, the Group entered into a purchase and sale agreement with Alberta Limited to purchase 100% ownership of a series of assets related to a 101MW natural gas-fired power development project for a total consideration of approximately US$21.7 million. The transaction was closed on July 9, 2025.</w:t>
      </w:r>
    </w:p>
    <w:p>
      <w:pPr>
        <w:spacing w:after="0" w:line="143"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In July 2025, the Group entered into an amendment to the Loan 2025 with Matrixport Group, pursuant to which the total maximum financing facility was increased from US$200.0 million to US$400.0 million, while all other terms and conditions of the agreement remained unchanged. As of September 29, 2025, the Group had fully drawn down the facility.</w:t>
      </w:r>
    </w:p>
    <w:p>
      <w:pPr>
        <w:spacing w:after="0" w:line="152"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In July 2025, the holder of promissory note converted US$15.0 million of the promissory note’s principal into 2,036,383 shares at a conversion price of US$7.3660 per share.</w:t>
      </w:r>
    </w:p>
    <w:p>
      <w:pPr>
        <w:spacing w:after="0" w:line="143"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In July 2025, the Group granted a total of approximately 0.5 million share awards to the designated recipients under the 2023 Plan. Each share award grants an option for the recipient to purchase one share of the Group’s ordinary shares at an exercise price of US$11.30 per share. The share awards vest up to seven years, and the recipient shall continue to provide services to the Group by each vesting date. The share awards expire on the tenth anniversary from the date of grant.</w:t>
      </w:r>
    </w:p>
    <w:p>
      <w:pPr>
        <w:spacing w:after="0" w:line="152" w:lineRule="exact"/>
        <w:rPr>
          <w:sz w:val="20"/>
          <w:szCs w:val="20"/>
          <w:color w:val="auto"/>
        </w:rPr>
      </w:pPr>
    </w:p>
    <w:p>
      <w:pPr>
        <w:jc w:val="both"/>
        <w:ind w:firstLine="288"/>
        <w:spacing w:after="0" w:line="289" w:lineRule="auto"/>
        <w:rPr>
          <w:sz w:val="20"/>
          <w:szCs w:val="20"/>
          <w:color w:val="auto"/>
        </w:rPr>
      </w:pPr>
      <w:r>
        <w:rPr>
          <w:rFonts w:ascii="Times New Roman" w:cs="Times New Roman" w:eastAsia="Times New Roman" w:hAnsi="Times New Roman"/>
          <w:sz w:val="14"/>
          <w:szCs w:val="14"/>
          <w:color w:val="auto"/>
        </w:rPr>
        <w:t>In August 2025, the Group entered into a structured product master agreement with Matrixport Group to facilitate a digital assets-backed financing arrangement. Under the agreement, the Group may pledge Bitcoin or other digital assets as collateral in exchange for financing in USDT, subject to loan -to-value ratios and option-based payoff terms as specified in each transaction confirmations. The arrangement includes settlement mechanisms based on reference prices of Bitcoin within a predetermined strike range and provides for renewal options at maturity. As of September 29, 2025, no transactions had been executed under this agreement.</w:t>
      </w:r>
    </w:p>
    <w:p>
      <w:pPr>
        <w:spacing w:after="0" w:line="125"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In September 2025, the Group entered into a loan agreement with Matrixport Group for a financing facility of up to US$400.0 million. Loans drawn under the facility bear interest rate of 8.35% per annum, payable monthly in arrears. Each drawdown has a tenor of 24 months from its drawdown date and is secured by Bitcoin, maintained based on a loan-to-value ratio. As of September 29, 2025, the Group had drawn down US$85.0 million under the facility.</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 September 2025, the Group redeemed the remaining outstanding US$7.7 million aggregate principal amount of its August 2024 convertible senior notes at a</w:t>
      </w:r>
    </w:p>
    <w:p>
      <w:pPr>
        <w:sectPr>
          <w:pgSz w:w="11900" w:h="16840" w:orient="portrait"/>
          <w:cols w:equalWidth="0" w:num="1">
            <w:col w:w="10580"/>
          </w:cols>
          <w:pgMar w:left="660" w:top="557" w:right="660" w:bottom="158"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conversion rate of 127.9743 Class A ordinary shares per US$1,000 principal amount, adjusted pursuant to the agreement for a total of 985,400 Class A ordinary shares.</w:t>
      </w:r>
    </w:p>
    <w:p>
      <w:pPr>
        <w:spacing w:after="0" w:line="199" w:lineRule="exact"/>
        <w:rPr>
          <w:sz w:val="20"/>
          <w:szCs w:val="20"/>
          <w:color w:val="auto"/>
        </w:rPr>
      </w:pPr>
    </w:p>
    <w:p>
      <w:pPr>
        <w:ind w:firstLine="288"/>
        <w:spacing w:after="0" w:line="259" w:lineRule="auto"/>
        <w:rPr>
          <w:sz w:val="20"/>
          <w:szCs w:val="20"/>
          <w:color w:val="auto"/>
        </w:rPr>
      </w:pPr>
      <w:r>
        <w:rPr>
          <w:rFonts w:ascii="Times New Roman" w:cs="Times New Roman" w:eastAsia="Times New Roman" w:hAnsi="Times New Roman"/>
          <w:sz w:val="16"/>
          <w:szCs w:val="16"/>
          <w:color w:val="auto"/>
        </w:rPr>
        <w:t>In September 2025, the Group increased its existing financing facility with a commercial bank from US$17.0 million to US$26.0 million and withdrew the full amount. The facility is unsecured, bears interest at a rate of 10.31% per annum, and is due on February 6, 2026.</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For the period from July 1, 2025 to September 29, 2025, the Group newly issued 6,248,565 Class A ordinary shares with net proceeds of US$91.6 million.</w:t>
      </w:r>
    </w:p>
    <w:p>
      <w:pPr>
        <w:spacing w:after="0" w:line="176" w:lineRule="exact"/>
        <w:rPr>
          <w:sz w:val="20"/>
          <w:szCs w:val="20"/>
          <w:color w:val="auto"/>
        </w:rPr>
      </w:pPr>
    </w:p>
    <w:p>
      <w:pPr>
        <w:ind w:firstLine="288"/>
        <w:spacing w:after="0" w:line="259" w:lineRule="auto"/>
        <w:rPr>
          <w:sz w:val="20"/>
          <w:szCs w:val="20"/>
          <w:color w:val="auto"/>
        </w:rPr>
      </w:pPr>
      <w:r>
        <w:rPr>
          <w:rFonts w:ascii="Times New Roman" w:cs="Times New Roman" w:eastAsia="Times New Roman" w:hAnsi="Times New Roman"/>
          <w:sz w:val="16"/>
          <w:szCs w:val="16"/>
          <w:color w:val="auto"/>
        </w:rPr>
        <w:t>There were no other material subsequent events during the period from June 30, 2025 to the approval date of this Interim Financial Information on September 29, 2025.</w:t>
      </w: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 w:name="page30"/>
    <w:bookmarkEnd w:id="29"/>
    <w:p>
      <w:pPr>
        <w:ind w:left="976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RECENT DEVELOPMENT</w:t>
      </w:r>
    </w:p>
    <w:p>
      <w:pPr>
        <w:spacing w:after="0" w:line="176" w:lineRule="exact"/>
        <w:rPr>
          <w:sz w:val="20"/>
          <w:szCs w:val="20"/>
          <w:color w:val="auto"/>
        </w:rPr>
      </w:pPr>
    </w:p>
    <w:p>
      <w:pPr>
        <w:jc w:val="both"/>
        <w:ind w:right="20" w:firstLine="288"/>
        <w:spacing w:after="0" w:line="248" w:lineRule="auto"/>
        <w:rPr>
          <w:sz w:val="20"/>
          <w:szCs w:val="20"/>
          <w:color w:val="auto"/>
        </w:rPr>
      </w:pPr>
      <w:r>
        <w:rPr>
          <w:rFonts w:ascii="Times New Roman" w:cs="Times New Roman" w:eastAsia="Times New Roman" w:hAnsi="Times New Roman"/>
          <w:sz w:val="16"/>
          <w:szCs w:val="16"/>
          <w:i w:val="1"/>
          <w:iCs w:val="1"/>
          <w:color w:val="auto"/>
        </w:rPr>
        <w:t>Unless otherwise stated or unless the context otherwise requires, the terms “we,” “us,” “our,” “our Company,” “Bitdeer” refer to Bitdeer Technologies Group. Capitalized terms not otherwise defined shall have the meanings ascribed to them in our annual report on Form 20-F for the year ended December 31, 2024, filed with the Securities and Exchange Commission on April 21,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Cleanup Redemption of 8.50% Convertible Notes</w:t>
      </w:r>
    </w:p>
    <w:p>
      <w:pPr>
        <w:spacing w:after="0" w:line="180" w:lineRule="exact"/>
        <w:rPr>
          <w:sz w:val="20"/>
          <w:szCs w:val="20"/>
          <w:color w:val="auto"/>
        </w:rPr>
      </w:pPr>
    </w:p>
    <w:p>
      <w:pPr>
        <w:jc w:val="both"/>
        <w:ind w:firstLine="288"/>
        <w:spacing w:after="0" w:line="238" w:lineRule="auto"/>
        <w:rPr>
          <w:sz w:val="20"/>
          <w:szCs w:val="20"/>
          <w:color w:val="auto"/>
        </w:rPr>
      </w:pPr>
      <w:r>
        <w:rPr>
          <w:rFonts w:ascii="Times New Roman" w:cs="Times New Roman" w:eastAsia="Times New Roman" w:hAnsi="Times New Roman"/>
          <w:sz w:val="16"/>
          <w:szCs w:val="16"/>
          <w:color w:val="auto"/>
        </w:rPr>
        <w:t>On September 8, 2025, we issued a notice of cleanup redemption for all US$7,700,000 aggregate principal amount outstanding of our 8.50% Convertible Notes, pursuant to which we will redeem all 8.50% Convertible Notes on September 23, 2025 (the “Cleanup Redemption Date”) that have not been converted prior to the Cleanup Redemption Date at a redemption price in cash equal to 100% of the principal amount of the 8.50% Convertible Notes, plus accrued and unpaid interest, from August 15, 2025 to, but excluding, the Cleanup Redemption Date (the “Redemption Price”). On the Cleanup Redemption Date, the Redemption Price will become due and payable upon each 8.50% Convertible Note to be redeemed and interest thereon will cease to accrue on and after the Cleanup Redemption Date. As of September 19, 2025, being the conversion deadline, we had converted the remaining outstanding aggregate principal amount of US$7.7 million of our 8.50% Convertible Notes at a conversion rate of 127.9743 Class A ordinary shares per US$1,000 principal amount, as adjusted pursuant to the agreement, resulting in the issuance of a total of 985,400 Class A ordinary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Digital Asset Collateralized Financing</w:t>
      </w:r>
    </w:p>
    <w:p>
      <w:pPr>
        <w:spacing w:after="0" w:line="180" w:lineRule="exact"/>
        <w:rPr>
          <w:sz w:val="20"/>
          <w:szCs w:val="20"/>
          <w:color w:val="auto"/>
        </w:rPr>
      </w:pPr>
    </w:p>
    <w:p>
      <w:pPr>
        <w:jc w:val="both"/>
        <w:ind w:right="20" w:firstLine="288"/>
        <w:spacing w:after="0" w:line="241" w:lineRule="auto"/>
        <w:rPr>
          <w:sz w:val="20"/>
          <w:szCs w:val="20"/>
          <w:color w:val="auto"/>
        </w:rPr>
      </w:pPr>
      <w:r>
        <w:rPr>
          <w:rFonts w:ascii="Times New Roman" w:cs="Times New Roman" w:eastAsia="Times New Roman" w:hAnsi="Times New Roman"/>
          <w:sz w:val="16"/>
          <w:szCs w:val="16"/>
          <w:color w:val="auto"/>
        </w:rPr>
        <w:t>In August 2025, we entered into a structured product master agreement with a subsidiary of Matrix Finance and Technology Holding Company (“Matrixport”), a related party of our Company, to facilitate a digital assets-backed financing arrangement. Under the agreement, we may pledge Bitcoin (BTC) or other digital assets as collateral in exchange for financing in USDT, subject to loan -to-value ratios and option-based payoff terms as specified in each transaction confirmation. The arrangement includes settlement mechanisms based on reference prices of BTC within a predetermined strike range and provides renewal options upon maturity. As of September 29, 2025, no transactions had been executed under this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Conversion of Promissory Note</w:t>
      </w:r>
    </w:p>
    <w:p>
      <w:pPr>
        <w:spacing w:after="0" w:line="180"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In July 2025, the holder of the Bitdeer Convertible Note converted its remaining principal amount of US$15.0 million into 2,036,383 Class A ordinary shares at a conversion price of US$7.3660 per share.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 Offering</w:t>
      </w:r>
    </w:p>
    <w:p>
      <w:pPr>
        <w:spacing w:after="0" w:line="180"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On June 23, 2025, we issued US$375,000,000 aggregate principal amount of 4.875% convertible senior notes due 2031 (the “June 2025 Convertible Notes”) in a private placement to certain initial purchasers therein, including US$45,000,000 principal amount of June 2025 Convertible Notes pursuant to the exercise in full by the initial purchasers in that private placement of their over-allotment option to purchase additional June 2025 Convertible Notes.</w:t>
      </w:r>
    </w:p>
    <w:p>
      <w:pPr>
        <w:spacing w:after="0" w:line="152" w:lineRule="exact"/>
        <w:rPr>
          <w:sz w:val="20"/>
          <w:szCs w:val="20"/>
          <w:color w:val="auto"/>
        </w:rPr>
      </w:pPr>
    </w:p>
    <w:p>
      <w:pPr>
        <w:jc w:val="both"/>
        <w:ind w:firstLine="288"/>
        <w:spacing w:after="0" w:line="289" w:lineRule="auto"/>
        <w:rPr>
          <w:sz w:val="20"/>
          <w:szCs w:val="20"/>
          <w:color w:val="auto"/>
        </w:rPr>
      </w:pPr>
      <w:r>
        <w:rPr>
          <w:rFonts w:ascii="Times New Roman" w:cs="Times New Roman" w:eastAsia="Times New Roman" w:hAnsi="Times New Roman"/>
          <w:sz w:val="14"/>
          <w:szCs w:val="14"/>
          <w:color w:val="auto"/>
        </w:rPr>
        <w:t>In connection with the pricing of the June 2025 Convertible Notes, we entered into a privately negotiated zero-strike call option transaction with one of the initial purchasers or its affiliate (the “option counterparty”). Pursuant to this transaction, we paid a premium of approximately US$129.6 million for the right to receive, without further payment, approximately 10.2 million Class A ordinary shares, subject to customary adjustments. These shares will be delivered by the option counterparty upon expiry of the option, subject to early settlement of the zero-strike call option transaction in whole or in part at the option counterparty’s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670750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80" w:lineRule="exact"/>
        <w:rPr>
          <w:sz w:val="20"/>
          <w:szCs w:val="20"/>
          <w:color w:val="auto"/>
        </w:rPr>
      </w:pPr>
    </w:p>
    <w:p>
      <w:pPr>
        <w:jc w:val="both"/>
        <w:ind w:right="40" w:firstLine="288"/>
        <w:spacing w:after="0" w:line="247" w:lineRule="auto"/>
        <w:rPr>
          <w:sz w:val="20"/>
          <w:szCs w:val="20"/>
          <w:color w:val="auto"/>
        </w:rPr>
      </w:pPr>
      <w:r>
        <w:rPr>
          <w:rFonts w:ascii="Times New Roman" w:cs="Times New Roman" w:eastAsia="Times New Roman" w:hAnsi="Times New Roman"/>
          <w:sz w:val="16"/>
          <w:szCs w:val="16"/>
          <w:color w:val="auto"/>
        </w:rPr>
        <w:t>On May 30, 2025, our board of directors approved a new share repurchase program to repurchase up to additional US$40.0 million worth of its Class A ordinary shares, effective from May 30, 2025 and ending on May 29, 2026. As of September 29, 2025, we have repurchased 72,200 Class A ordinary shares for approximately US$1.0 million under the foregoing share repurchase program.</w:t>
      </w:r>
    </w:p>
    <w:p>
      <w:pPr>
        <w:spacing w:after="0" w:line="152" w:lineRule="exact"/>
        <w:rPr>
          <w:sz w:val="20"/>
          <w:szCs w:val="20"/>
          <w:color w:val="auto"/>
        </w:rPr>
      </w:pPr>
    </w:p>
    <w:p>
      <w:pPr>
        <w:ind w:firstLine="288"/>
        <w:spacing w:after="0" w:line="259" w:lineRule="auto"/>
        <w:rPr>
          <w:sz w:val="20"/>
          <w:szCs w:val="20"/>
          <w:color w:val="auto"/>
        </w:rPr>
      </w:pPr>
      <w:r>
        <w:rPr>
          <w:rFonts w:ascii="Times New Roman" w:cs="Times New Roman" w:eastAsia="Times New Roman" w:hAnsi="Times New Roman"/>
          <w:sz w:val="16"/>
          <w:szCs w:val="16"/>
          <w:color w:val="auto"/>
        </w:rPr>
        <w:t>Our US$20,000,000 share repurchase program approved on February 28, 2025 had been fully utilized in May 2025 and our US$10,000,000 share repurchase program approved on September 6, 2024, had been fully utilized in February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Exercise of Warrant in Private Placement</w:t>
      </w:r>
    </w:p>
    <w:p>
      <w:pPr>
        <w:spacing w:after="0" w:line="180" w:lineRule="exact"/>
        <w:rPr>
          <w:sz w:val="20"/>
          <w:szCs w:val="20"/>
          <w:color w:val="auto"/>
        </w:rPr>
      </w:pPr>
    </w:p>
    <w:p>
      <w:pPr>
        <w:jc w:val="both"/>
        <w:ind w:right="60" w:firstLine="288"/>
        <w:spacing w:after="0" w:line="241" w:lineRule="auto"/>
        <w:rPr>
          <w:sz w:val="20"/>
          <w:szCs w:val="20"/>
          <w:color w:val="auto"/>
        </w:rPr>
      </w:pPr>
      <w:r>
        <w:rPr>
          <w:rFonts w:ascii="Times New Roman" w:cs="Times New Roman" w:eastAsia="Times New Roman" w:hAnsi="Times New Roman"/>
          <w:sz w:val="16"/>
          <w:szCs w:val="16"/>
          <w:color w:val="auto"/>
        </w:rPr>
        <w:t>On May 30, 2024, we entered into a subscription agreement for a private placement with Tether, pursuant to which we issued to Tether (i) 18,587,360 Class A ordinary shares, and (ii) a warrant to purchase up to 5,000,000 Class A ordinary shares (the “Tether warrant” or “Warrant”) at an exercise price equivalent to US$10.00 per Class A ordinary share. The Warrant contains a weighted- average anti-dilution provision that adjusts the number of shares issuable upon exercise if we issue shares at a price below the Warrant’s then- effective exercise price. Due to certain dilutive issuances, the number of Class A ordinary shares issuable upon exercise of the Warrant increased from 5,000,000 to 5,186,627. On May 23, 2025, Tether exercised the Warrant in full.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 Agreements with Matrixport</w:t>
      </w:r>
    </w:p>
    <w:p>
      <w:pPr>
        <w:spacing w:after="0" w:line="180" w:lineRule="exact"/>
        <w:rPr>
          <w:sz w:val="20"/>
          <w:szCs w:val="20"/>
          <w:color w:val="auto"/>
        </w:rPr>
      </w:pPr>
    </w:p>
    <w:p>
      <w:pPr>
        <w:jc w:val="both"/>
        <w:ind w:firstLine="288"/>
        <w:spacing w:after="0" w:line="241" w:lineRule="auto"/>
        <w:rPr>
          <w:sz w:val="20"/>
          <w:szCs w:val="20"/>
          <w:color w:val="auto"/>
        </w:rPr>
      </w:pPr>
      <w:r>
        <w:rPr>
          <w:rFonts w:ascii="Times New Roman" w:cs="Times New Roman" w:eastAsia="Times New Roman" w:hAnsi="Times New Roman"/>
          <w:sz w:val="16"/>
          <w:szCs w:val="16"/>
          <w:color w:val="auto"/>
        </w:rPr>
        <w:t>In April 2025, we entered into a loan agreement with Matrixport for a financing facility of up to US$200 million (the “April 2025 Matrixport Loan”). Loans drawn under this facility bear a variable interest rate equal to 9.0% plus a market-based reference rate. Each drawdown is repayable in fixed monthly installments over a 24-month term and is secured by a pledge of SEALMINERs, which is maintained based on a loan -to-value ratio. In July 2025, we entered into an amendment agreement with Matrixport in relation to the April 2025 Matrixport Loan, pursuant to which Matrixport agreed to extend one or more loans to our Company of up to a total maximum amount of US$400 million. As of September 29, 2025, we had fully drawn down the facility.</w:t>
      </w:r>
    </w:p>
    <w:p>
      <w:pPr>
        <w:spacing w:after="0" w:line="157"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In September 2025, we entered into another loan agreement with Matrixport, for a financing facility of up to US$400.0 million. Loans drawn under the facility bear interest rate of 8.35% per annum, payable monthly in arrears. Each drawdown has a tenor of 24 months from its drawdown date and is secured by Bitcoin, maintained based on a loan-to-value ratio. As of September 29, 2025, we had drawn down US$85.0 million under this facility.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Expansion into Ethiopia</w:t>
      </w:r>
    </w:p>
    <w:p>
      <w:pPr>
        <w:spacing w:after="0" w:line="180" w:lineRule="exact"/>
        <w:rPr>
          <w:sz w:val="20"/>
          <w:szCs w:val="20"/>
          <w:color w:val="auto"/>
        </w:rPr>
      </w:pPr>
    </w:p>
    <w:p>
      <w:pPr>
        <w:jc w:val="both"/>
        <w:ind w:right="20" w:firstLine="288"/>
        <w:spacing w:after="0" w:line="243" w:lineRule="auto"/>
        <w:rPr>
          <w:sz w:val="20"/>
          <w:szCs w:val="20"/>
          <w:color w:val="auto"/>
        </w:rPr>
      </w:pPr>
      <w:r>
        <w:rPr>
          <w:rFonts w:ascii="Times New Roman" w:cs="Times New Roman" w:eastAsia="Times New Roman" w:hAnsi="Times New Roman"/>
          <w:sz w:val="16"/>
          <w:szCs w:val="16"/>
          <w:color w:val="auto"/>
        </w:rPr>
        <w:t>In April 2025, we signed a sale and purchase agreement and a turnkey agreement for the acquisition and construction of a 50 MW mining datacenter in the Oromia region of Ethiopia for US$7.5 million, including a local company with a mining permit, a 33kV substation connection, and a 4-year power purchase agreement with Ethiopian Electric Power Company. We are collaborating with an EPC contractor with specialized experience in Bitcoin mining and targeting energization by the fourth quarter of 2025.</w:t>
      </w:r>
    </w:p>
    <w:p>
      <w:pPr>
        <w:sectPr>
          <w:pgSz w:w="11900" w:h="16840" w:orient="portrait"/>
          <w:cols w:equalWidth="0" w:num="1">
            <w:col w:w="10580"/>
          </w:cols>
          <w:pgMar w:left="660" w:top="555" w:right="660" w:bottom="65"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Strategic Acquisition of the 101 MW Site and Gas-fired Power Project in Alberta</w:t>
      </w:r>
    </w:p>
    <w:p>
      <w:pPr>
        <w:sectPr>
          <w:pgSz w:w="11900" w:h="16840" w:orient="portrait"/>
          <w:cols w:equalWidth="0" w:num="1">
            <w:col w:w="10580"/>
          </w:cols>
          <w:pgMar w:left="660" w:top="555" w:right="660" w:bottom="65" w:gutter="0" w:footer="0" w:header="0"/>
          <w:type w:val="continuous"/>
        </w:sectPr>
      </w:pPr>
    </w:p>
    <w:bookmarkStart w:id="30" w:name="page31"/>
    <w:bookmarkEnd w:id="30"/>
    <w:p>
      <w:pPr>
        <w:jc w:val="both"/>
        <w:ind w:right="40" w:firstLine="288"/>
        <w:spacing w:after="0" w:line="284" w:lineRule="auto"/>
        <w:rPr>
          <w:sz w:val="20"/>
          <w:szCs w:val="20"/>
          <w:color w:val="auto"/>
        </w:rPr>
      </w:pPr>
      <w:r>
        <w:rPr>
          <w:rFonts w:ascii="Times New Roman" w:cs="Times New Roman" w:eastAsia="Times New Roman" w:hAnsi="Times New Roman"/>
          <w:sz w:val="14"/>
          <w:szCs w:val="14"/>
          <w:color w:val="auto"/>
        </w:rPr>
        <w:t>In February 2025, we signed the agreement for the acquisition of a fully licensed and permitted 101 MW site and gas-fired power project situated on 19 acres of land near Fox Creek, Alberta in an all-cash transaction for approximately US$21.7 million. The site has potential to scale to 1 GW of power, reflecting Alberta’s abundant energy resources, supportive regulatory posture and pro-business environment. The 101 MW gas -fired power project includes all permits and licenses required to construct an on-site natural gas power plant, as well as approval for a 99 MW grid interconnection with Alberta Electric System Operator. The transaction was closed on July 9, 2025. We will develop and construct the power plant in partnership with a leading engineering, procurement and construction company.</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 Market Issuance</w:t>
      </w:r>
    </w:p>
    <w:p>
      <w:pPr>
        <w:spacing w:after="0" w:line="180" w:lineRule="exact"/>
        <w:rPr>
          <w:sz w:val="20"/>
          <w:szCs w:val="20"/>
          <w:color w:val="auto"/>
        </w:rPr>
      </w:pPr>
    </w:p>
    <w:p>
      <w:pPr>
        <w:ind w:firstLine="288"/>
        <w:spacing w:after="0" w:line="239" w:lineRule="auto"/>
        <w:rPr>
          <w:sz w:val="20"/>
          <w:szCs w:val="20"/>
          <w:color w:val="auto"/>
        </w:rPr>
      </w:pPr>
      <w:r>
        <w:rPr>
          <w:rFonts w:ascii="Times New Roman" w:cs="Times New Roman" w:eastAsia="Times New Roman" w:hAnsi="Times New Roman"/>
          <w:sz w:val="16"/>
          <w:szCs w:val="16"/>
          <w:color w:val="auto"/>
        </w:rPr>
        <w:t>On January 3, 2025, we entered into the 2025 At Market Issuance Sales Agreement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as sales agents (collectively, the “Sales Agents”), pursuant to which we may offer and sell our Class A ordinary shares from time to time through or to the Sales Agents, as agent or principal (the “2025 ATM Program”). It is not possible to predict the actual number of Class A ordinary shares, if any, we will sell under such agreement, or the actual gross proceeds resulting from those sales. As of September 29,2025, the 2025 ATM Program has not been activated.</w:t>
      </w:r>
    </w:p>
    <w:p>
      <w:pPr>
        <w:spacing w:after="0" w:line="161" w:lineRule="exact"/>
        <w:rPr>
          <w:sz w:val="20"/>
          <w:szCs w:val="20"/>
          <w:color w:val="auto"/>
        </w:rPr>
      </w:pPr>
    </w:p>
    <w:p>
      <w:pPr>
        <w:jc w:val="both"/>
        <w:ind w:right="60" w:firstLine="288"/>
        <w:spacing w:after="0" w:line="247" w:lineRule="auto"/>
        <w:rPr>
          <w:sz w:val="20"/>
          <w:szCs w:val="20"/>
          <w:color w:val="auto"/>
        </w:rPr>
      </w:pPr>
      <w:r>
        <w:rPr>
          <w:rFonts w:ascii="Times New Roman" w:cs="Times New Roman" w:eastAsia="Times New Roman" w:hAnsi="Times New Roman"/>
          <w:sz w:val="16"/>
          <w:szCs w:val="16"/>
          <w:color w:val="auto"/>
        </w:rPr>
        <w:t>As of August 31, 2025, we had offered and sold an aggregate of 30,899,686 Class A ordinary shares under the 2024 At Market Issuance Sales Agreement for total net proceeds of approximately US$474.5 million. Of this amount, for the eight months ended August 31, 2025, we offered and sold 7,586,339 Class A ordinary shares for total net proceeds of approximately US$138.2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 for the Six Months Ended June 30, 2025 and 2024</w:t>
      </w:r>
    </w:p>
    <w:p>
      <w:pPr>
        <w:spacing w:after="0" w:line="178"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The following tables summarize our results of operations, revenue breakdown, and expenses by nature for the six months ended June 30, 2025 and 2024. This information should be read together with our unaudited interim condensed consolidated financial statements for the six months ended June 30, 2025 and 2024 and related notes. The results of operations in any particular period are not necessarily indicative of our future trends.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periods indicated.</w:t>
            </w: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5"/>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gridSpan w:val="5"/>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6"/>
              </w:rPr>
              <w:t>Ended June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top w:val="single" w:sz="8" w:color="auto"/>
            </w:tcBorders>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02"/>
              <w:spacing w:after="0" w:line="165"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20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22"/>
              <w:spacing w:after="0" w:line="180" w:lineRule="exact"/>
              <w:rPr>
                <w:sz w:val="20"/>
                <w:szCs w:val="20"/>
                <w:color w:val="auto"/>
              </w:rPr>
            </w:pPr>
            <w:r>
              <w:rPr>
                <w:rFonts w:ascii="Times New Roman" w:cs="Times New Roman" w:eastAsia="Times New Roman" w:hAnsi="Times New Roman"/>
                <w:sz w:val="16"/>
                <w:szCs w:val="16"/>
                <w:b w:val="1"/>
                <w:bCs w:val="1"/>
                <w:color w:val="auto"/>
              </w:rPr>
              <w:t>US$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1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225,710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b w:val="1"/>
                <w:bCs w:val="1"/>
                <w:color w:val="auto"/>
              </w:rPr>
              <w:t>218,735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(216,115)</w:t>
            </w:r>
          </w:p>
        </w:tc>
        <w:tc>
          <w:tcPr>
            <w:tcW w:w="100" w:type="dxa"/>
            <w:vAlign w:val="bottom"/>
          </w:tcPr>
          <w:p>
            <w:pPr>
              <w:spacing w:after="0"/>
              <w:rPr>
                <w:sz w:val="17"/>
                <w:szCs w:val="17"/>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(160,199)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1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9,595</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58,536</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Selling expenses</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(3,019)</w:t>
            </w:r>
          </w:p>
        </w:tc>
        <w:tc>
          <w:tcPr>
            <w:tcW w:w="100" w:type="dxa"/>
            <w:vAlign w:val="bottom"/>
          </w:tcPr>
          <w:p>
            <w:pPr>
              <w:spacing w:after="0"/>
              <w:rPr>
                <w:sz w:val="15"/>
                <w:szCs w:val="15"/>
                <w:color w:val="auto"/>
              </w:rPr>
            </w:pPr>
          </w:p>
        </w:tc>
        <w:tc>
          <w:tcPr>
            <w:tcW w:w="10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(3,863)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1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(35,527)</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(30,821)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 expenses</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(79,591)</w:t>
            </w:r>
          </w:p>
        </w:tc>
        <w:tc>
          <w:tcPr>
            <w:tcW w:w="100" w:type="dxa"/>
            <w:vAlign w:val="bottom"/>
          </w:tcPr>
          <w:p>
            <w:pPr>
              <w:spacing w:after="0"/>
              <w:rPr>
                <w:sz w:val="15"/>
                <w:szCs w:val="15"/>
                <w:color w:val="auto"/>
              </w:rPr>
            </w:pPr>
          </w:p>
        </w:tc>
        <w:tc>
          <w:tcPr>
            <w:tcW w:w="10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(29,212)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operating incomes / (expenses)</w:t>
            </w:r>
          </w:p>
        </w:tc>
        <w:tc>
          <w:tcPr>
            <w:tcW w:w="1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(4,054)</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3,177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Other net gains / (losses)</w:t>
            </w: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394,599</w:t>
            </w:r>
          </w:p>
        </w:tc>
        <w:tc>
          <w:tcPr>
            <w:tcW w:w="100" w:type="dxa"/>
            <w:vAlign w:val="bottom"/>
          </w:tcPr>
          <w:p>
            <w:pPr>
              <w:spacing w:after="0"/>
              <w:rPr>
                <w:sz w:val="17"/>
                <w:szCs w:val="17"/>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(13,020)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Profit / (loss) from operations</w:t>
            </w:r>
          </w:p>
        </w:tc>
        <w:tc>
          <w:tcPr>
            <w:tcW w:w="1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282,003</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(15,203)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Finance income / (expenses)</w:t>
            </w: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(23,036)</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Profit / (loss) before taxation</w:t>
            </w:r>
          </w:p>
        </w:tc>
        <w:tc>
          <w:tcPr>
            <w:tcW w:w="1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258,967</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(15,096)</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benefits /(expenses)</w:t>
            </w: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 (loss) for the period</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261,740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(17,137</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222"/>
              <w:spacing w:after="0"/>
              <w:rPr>
                <w:sz w:val="20"/>
                <w:szCs w:val="20"/>
                <w:color w:val="auto"/>
              </w:rPr>
            </w:pPr>
            <w:r>
              <w:rPr>
                <w:rFonts w:ascii="Times New Roman" w:cs="Times New Roman" w:eastAsia="Times New Roman" w:hAnsi="Times New Roman"/>
                <w:sz w:val="16"/>
                <w:szCs w:val="16"/>
                <w:color w:val="auto"/>
              </w:rPr>
              <w:t>3</w:t>
            </w: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6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56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w w:val="97"/>
              </w:rPr>
              <w:t>The following table sets forth a breakdown of our revenue, for the periods indicated.</w:t>
            </w:r>
          </w:p>
        </w:tc>
        <w:tc>
          <w:tcPr>
            <w:tcW w:w="1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For the Six Months Ended June 30</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40" w:type="dxa"/>
            <w:vAlign w:val="bottom"/>
            <w:gridSpan w:val="2"/>
          </w:tcPr>
          <w:p>
            <w:pPr>
              <w:jc w:val="right"/>
              <w:ind w:right="942"/>
              <w:spacing w:after="0" w:line="16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4"/>
                <w:szCs w:val="14"/>
                <w:color w:val="auto"/>
              </w:rPr>
            </w:pPr>
          </w:p>
        </w:tc>
        <w:tc>
          <w:tcPr>
            <w:tcW w:w="1380" w:type="dxa"/>
            <w:vAlign w:val="bottom"/>
            <w:gridSpan w:val="4"/>
          </w:tcPr>
          <w:p>
            <w:pPr>
              <w:jc w:val="center"/>
              <w:ind w:left="922"/>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2024</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520" w:type="dxa"/>
            <w:vAlign w:val="bottom"/>
            <w:gridSpan w:val="3"/>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40" w:type="dxa"/>
            <w:vAlign w:val="bottom"/>
          </w:tcPr>
          <w:p>
            <w:pPr>
              <w:spacing w:after="0"/>
              <w:rPr>
                <w:sz w:val="17"/>
                <w:szCs w:val="17"/>
                <w:color w:val="auto"/>
              </w:rPr>
            </w:pPr>
          </w:p>
        </w:tc>
        <w:tc>
          <w:tcPr>
            <w:tcW w:w="2380" w:type="dxa"/>
            <w:vAlign w:val="bottom"/>
            <w:gridSpan w:val="5"/>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US$</w:t>
            </w:r>
          </w:p>
        </w:tc>
        <w:tc>
          <w:tcPr>
            <w:tcW w:w="122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US$</w:t>
            </w:r>
          </w:p>
        </w:tc>
        <w:tc>
          <w:tcPr>
            <w:tcW w:w="96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(in thousands, except for percentages)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Self-mining</w:t>
            </w: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96,538</w:t>
            </w:r>
          </w:p>
        </w:tc>
        <w:tc>
          <w:tcPr>
            <w:tcW w:w="12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42.8</w:t>
            </w:r>
          </w:p>
        </w:tc>
        <w:tc>
          <w:tcPr>
            <w:tcW w:w="1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90,084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Cloud hash rate</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28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30,342</w:t>
            </w:r>
          </w:p>
        </w:tc>
        <w:tc>
          <w:tcPr>
            <w:tcW w:w="1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ind w:left="260"/>
              <w:spacing w:after="0" w:line="180" w:lineRule="exact"/>
              <w:rPr>
                <w:sz w:val="20"/>
                <w:szCs w:val="20"/>
                <w:color w:val="auto"/>
              </w:rPr>
            </w:pPr>
            <w:r>
              <w:rPr>
                <w:rFonts w:ascii="Times New Roman" w:cs="Times New Roman" w:eastAsia="Times New Roman" w:hAnsi="Times New Roman"/>
                <w:sz w:val="16"/>
                <w:szCs w:val="16"/>
                <w:color w:val="auto"/>
              </w:rPr>
              <w:t>Hash rate subscription</w:t>
            </w: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2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18,400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Electricity subscription</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28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11,713</w:t>
            </w:r>
          </w:p>
        </w:tc>
        <w:tc>
          <w:tcPr>
            <w:tcW w:w="100" w:type="dxa"/>
            <w:vAlign w:val="bottom"/>
          </w:tcPr>
          <w:p>
            <w:pPr>
              <w:spacing w:after="0"/>
              <w:rPr>
                <w:sz w:val="15"/>
                <w:szCs w:val="15"/>
                <w:color w:val="auto"/>
              </w:rPr>
            </w:pPr>
          </w:p>
        </w:tc>
        <w:tc>
          <w:tcPr>
            <w:tcW w:w="10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0" w:type="dxa"/>
            <w:vAlign w:val="bottom"/>
            <w:shd w:val="clear" w:color="auto" w:fill="CCEEFF"/>
          </w:tcPr>
          <w:p>
            <w:pPr>
              <w:ind w:left="260"/>
              <w:spacing w:after="0" w:line="167" w:lineRule="exact"/>
              <w:rPr>
                <w:sz w:val="20"/>
                <w:szCs w:val="20"/>
                <w:color w:val="auto"/>
              </w:rPr>
            </w:pPr>
            <w:r>
              <w:rPr>
                <w:rFonts w:ascii="Times New Roman" w:cs="Times New Roman" w:eastAsia="Times New Roman" w:hAnsi="Times New Roman"/>
                <w:sz w:val="16"/>
                <w:szCs w:val="16"/>
                <w:color w:val="auto"/>
              </w:rPr>
              <w:t>Additional consideration from Cloud Hash Rate arrangements under accelerator</w:t>
            </w:r>
          </w:p>
        </w:tc>
        <w:tc>
          <w:tcPr>
            <w:tcW w:w="1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mode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Sale of mining rigs and accessories</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73,554</w:t>
            </w: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32.6</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6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Cloud Hosting arrangements</w:t>
            </w: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2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1,001</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General Hosting</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18,960</w:t>
            </w:r>
          </w:p>
        </w:tc>
        <w:tc>
          <w:tcPr>
            <w:tcW w:w="14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128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49,525</w:t>
            </w:r>
          </w:p>
        </w:tc>
        <w:tc>
          <w:tcPr>
            <w:tcW w:w="1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Membership Hosting</w:t>
            </w: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30,868</w:t>
            </w:r>
          </w:p>
        </w:tc>
        <w:tc>
          <w:tcPr>
            <w:tcW w:w="12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41,669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00"/>
              <w:spacing w:after="0" w:line="216" w:lineRule="exact"/>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5"/>
                <w:szCs w:val="25"/>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6,114</w:t>
            </w:r>
          </w:p>
        </w:tc>
        <w:tc>
          <w:tcPr>
            <w:tcW w:w="10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revenue</w:t>
            </w: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225,710</w:t>
            </w:r>
          </w:p>
        </w:tc>
        <w:tc>
          <w:tcPr>
            <w:tcW w:w="14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28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218,735</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Less than 0.1% but not nil.</w:t>
      </w:r>
    </w:p>
    <w:p>
      <w:pPr>
        <w:sectPr>
          <w:pgSz w:w="11900" w:h="16840" w:orient="portrait"/>
          <w:cols w:equalWidth="0" w:num="1">
            <w:col w:w="10600"/>
          </w:cols>
          <w:pgMar w:left="660" w:top="737" w:right="640" w:bottom="134" w:gutter="0" w:footer="0" w:header="0"/>
        </w:sectPr>
      </w:pPr>
    </w:p>
    <w:bookmarkStart w:id="31" w:name="page32"/>
    <w:bookmarkEnd w:id="31"/>
    <w:p>
      <w:pPr>
        <w:ind w:left="300" w:right="20" w:hanging="294"/>
        <w:spacing w:after="0" w:line="259" w:lineRule="auto"/>
        <w:tabs>
          <w:tab w:leader="none" w:pos="3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include revenue generated primarily from providing technical and human resources service, repairment services of hosted mining rigs, lease of investment properties, the sale of mining rigs peripherals, the sale of containerized solution products and providing HPC and AI cloud services.</w:t>
      </w:r>
    </w:p>
    <w:p>
      <w:pPr>
        <w:spacing w:after="0" w:line="143" w:lineRule="exact"/>
        <w:rPr>
          <w:sz w:val="20"/>
          <w:szCs w:val="20"/>
          <w:color w:val="auto"/>
        </w:rPr>
      </w:pPr>
    </w:p>
    <w:p>
      <w:pPr>
        <w:ind w:firstLine="288"/>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breakdown by nature of our cost of revenue, selling, general and administrative, and research and development expenses for the periods indicated.</w:t>
      </w:r>
    </w:p>
    <w:p>
      <w:pPr>
        <w:spacing w:after="0" w:line="15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p>
      <w:pPr>
        <w:sectPr>
          <w:pgSz w:w="11900" w:h="16840" w:orient="portrait"/>
          <w:cols w:equalWidth="0" w:num="1">
            <w:col w:w="10580"/>
          </w:cols>
          <w:pgMar w:left="660" w:top="737" w:right="66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Staff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14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ind w:right="2740" w:firstLine="6"/>
        <w:spacing w:after="0" w:line="234" w:lineRule="auto"/>
        <w:tabs>
          <w:tab w:leader="none" w:pos="91"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Salaries, wages and other benefits Share-based payment Amortization</w:t>
      </w:r>
    </w:p>
    <w:p>
      <w:pPr>
        <w:spacing w:after="0" w:line="1" w:lineRule="exact"/>
        <w:rPr>
          <w:rFonts w:ascii="Times New Roman" w:cs="Times New Roman" w:eastAsia="Times New Roman" w:hAnsi="Times New Roman"/>
          <w:sz w:val="16"/>
          <w:szCs w:val="16"/>
          <w:color w:val="auto"/>
        </w:rPr>
      </w:pPr>
    </w:p>
    <w:p>
      <w:pPr>
        <w:ind w:left="100" w:hanging="94"/>
        <w:spacing w:after="0" w:line="234" w:lineRule="auto"/>
        <w:tabs>
          <w:tab w:leader="none" w:pos="1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-230505</wp:posOffset>
            </wp:positionV>
            <wp:extent cx="6707505"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6"/>
          <w:szCs w:val="16"/>
          <w:color w:val="auto"/>
        </w:rPr>
        <w:t>Depreciation</w:t>
      </w:r>
    </w:p>
    <w:p>
      <w:pPr>
        <w:ind w:left="100" w:hanging="94"/>
        <w:spacing w:after="0" w:line="235" w:lineRule="auto"/>
        <w:tabs>
          <w:tab w:leader="none" w:pos="1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mining rigs</w:t>
      </w:r>
    </w:p>
    <w:p>
      <w:pPr>
        <w:ind w:left="100" w:hanging="94"/>
        <w:spacing w:after="0" w:line="234" w:lineRule="auto"/>
        <w:tabs>
          <w:tab w:leader="none" w:pos="1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plant and equipment</w:t>
      </w:r>
    </w:p>
    <w:p>
      <w:pPr>
        <w:ind w:left="100" w:hanging="94"/>
        <w:spacing w:after="0" w:line="234" w:lineRule="auto"/>
        <w:tabs>
          <w:tab w:leader="none" w:pos="1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properties</w:t>
      </w:r>
    </w:p>
    <w:p>
      <w:pPr>
        <w:ind w:left="100" w:hanging="94"/>
        <w:spacing w:after="0" w:line="234" w:lineRule="auto"/>
        <w:tabs>
          <w:tab w:leader="none" w:pos="1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-344805</wp:posOffset>
            </wp:positionV>
            <wp:extent cx="6707505" cy="114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-116205</wp:posOffset>
            </wp:positionV>
            <wp:extent cx="6707505"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6"/>
          <w:szCs w:val="16"/>
          <w:color w:val="auto"/>
        </w:rPr>
        <w:t>Electricity cost in operating mining rigs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143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6"/>
          <w:szCs w:val="16"/>
          <w:color w:val="auto"/>
        </w:rPr>
        <w:t>Cost of mining rigs and accessories sold</w:t>
      </w:r>
    </w:p>
    <w:p>
      <w:pPr>
        <w:spacing w:after="0" w:line="235" w:lineRule="auto"/>
        <w:rPr>
          <w:sz w:val="20"/>
          <w:szCs w:val="20"/>
          <w:color w:val="auto"/>
        </w:rPr>
      </w:pPr>
      <w:r>
        <w:rPr>
          <w:rFonts w:ascii="Times New Roman" w:cs="Times New Roman" w:eastAsia="Times New Roman" w:hAnsi="Times New Roman"/>
          <w:sz w:val="16"/>
          <w:szCs w:val="16"/>
          <w:color w:val="auto"/>
        </w:rPr>
        <w:t>One-off incremental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14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6"/>
          <w:szCs w:val="16"/>
          <w:color w:val="auto"/>
        </w:rPr>
        <w:t>Consulting service fee</w:t>
      </w:r>
    </w:p>
    <w:p>
      <w:pPr>
        <w:spacing w:after="0" w:line="235" w:lineRule="auto"/>
        <w:rPr>
          <w:sz w:val="20"/>
          <w:szCs w:val="20"/>
          <w:color w:val="auto"/>
        </w:rPr>
      </w:pPr>
      <w:r>
        <w:rPr>
          <w:rFonts w:ascii="Times New Roman" w:cs="Times New Roman" w:eastAsia="Times New Roman" w:hAnsi="Times New Roman"/>
          <w:sz w:val="16"/>
          <w:szCs w:val="16"/>
          <w:color w:val="auto"/>
        </w:rPr>
        <w:t>Research and development technical service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14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6"/>
          <w:szCs w:val="16"/>
          <w:color w:val="auto"/>
        </w:rPr>
        <w:t>Office expenses</w:t>
      </w:r>
    </w:p>
    <w:p>
      <w:pPr>
        <w:spacing w:after="0" w:line="234" w:lineRule="auto"/>
        <w:rPr>
          <w:sz w:val="20"/>
          <w:szCs w:val="20"/>
          <w:color w:val="auto"/>
        </w:rPr>
      </w:pPr>
      <w:r>
        <w:rPr>
          <w:rFonts w:ascii="Times New Roman" w:cs="Times New Roman" w:eastAsia="Times New Roman" w:hAnsi="Times New Roman"/>
          <w:sz w:val="16"/>
          <w:szCs w:val="16"/>
          <w:color w:val="auto"/>
        </w:rPr>
        <w:t>Travel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14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6"/>
          <w:szCs w:val="16"/>
          <w:color w:val="auto"/>
        </w:rPr>
        <w:t>Expenses of low-value consumables</w:t>
      </w:r>
    </w:p>
    <w:p>
      <w:pPr>
        <w:spacing w:after="0" w:line="235" w:lineRule="auto"/>
        <w:rPr>
          <w:sz w:val="20"/>
          <w:szCs w:val="20"/>
          <w:color w:val="auto"/>
        </w:rPr>
      </w:pPr>
      <w:r>
        <w:rPr>
          <w:rFonts w:ascii="Times New Roman" w:cs="Times New Roman" w:eastAsia="Times New Roman" w:hAnsi="Times New Roman"/>
          <w:sz w:val="16"/>
          <w:szCs w:val="16"/>
          <w:color w:val="auto"/>
        </w:rPr>
        <w:t>Insurance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14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6"/>
          <w:szCs w:val="16"/>
          <w:color w:val="auto"/>
        </w:rPr>
        <w:t>Advertising expenses</w:t>
      </w:r>
    </w:p>
    <w:p>
      <w:pPr>
        <w:spacing w:after="0" w:line="235" w:lineRule="auto"/>
        <w:rPr>
          <w:sz w:val="20"/>
          <w:szCs w:val="20"/>
          <w:color w:val="auto"/>
        </w:rPr>
      </w:pPr>
      <w:r>
        <w:rPr>
          <w:rFonts w:ascii="Times New Roman" w:cs="Times New Roman" w:eastAsia="Times New Roman" w:hAnsi="Times New Roman"/>
          <w:sz w:val="16"/>
          <w:szCs w:val="16"/>
          <w:color w:val="auto"/>
        </w:rPr>
        <w:t>Logistic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14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6"/>
          <w:szCs w:val="16"/>
          <w:color w:val="auto"/>
        </w:rPr>
        <w:t>Expenses of short-term leases</w:t>
      </w:r>
    </w:p>
    <w:p>
      <w:pPr>
        <w:spacing w:after="0" w:line="235" w:lineRule="auto"/>
        <w:rPr>
          <w:sz w:val="20"/>
          <w:szCs w:val="20"/>
          <w:color w:val="auto"/>
        </w:rPr>
      </w:pPr>
      <w:r>
        <w:rPr>
          <w:rFonts w:ascii="Times New Roman" w:cs="Times New Roman" w:eastAsia="Times New Roman" w:hAnsi="Times New Roman"/>
          <w:sz w:val="16"/>
          <w:szCs w:val="16"/>
          <w:color w:val="auto"/>
        </w:rPr>
        <w:t>Expenses of variable payment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34" w:lineRule="auto"/>
        <w:rPr>
          <w:sz w:val="20"/>
          <w:szCs w:val="20"/>
          <w:color w:val="auto"/>
        </w:rPr>
      </w:pPr>
      <w:r>
        <w:rPr>
          <w:rFonts w:ascii="Times New Roman" w:cs="Times New Roman" w:eastAsia="Times New Roman" w:hAnsi="Times New Roman"/>
          <w:sz w:val="16"/>
          <w:szCs w:val="16"/>
          <w:color w:val="auto"/>
        </w:rPr>
        <w:t>Impairment loss of mining rigs</w:t>
      </w:r>
    </w:p>
    <w:p>
      <w:pPr>
        <w:spacing w:after="0" w:line="235" w:lineRule="auto"/>
        <w:rPr>
          <w:sz w:val="20"/>
          <w:szCs w:val="20"/>
          <w:color w:val="auto"/>
        </w:rPr>
      </w:pPr>
      <w:r>
        <w:rPr>
          <w:rFonts w:ascii="Times New Roman" w:cs="Times New Roman" w:eastAsia="Times New Roman" w:hAnsi="Times New Roman"/>
          <w:sz w:val="16"/>
          <w:szCs w:val="16"/>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228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left="160" w:hanging="143"/>
        <w:spacing w:after="0" w:line="238" w:lineRule="auto"/>
        <w:rPr>
          <w:sz w:val="20"/>
          <w:szCs w:val="20"/>
          <w:color w:val="auto"/>
        </w:rPr>
      </w:pPr>
      <w:r>
        <w:rPr>
          <w:rFonts w:ascii="Times New Roman" w:cs="Times New Roman" w:eastAsia="Times New Roman" w:hAnsi="Times New Roman"/>
          <w:sz w:val="16"/>
          <w:szCs w:val="16"/>
          <w:b w:val="1"/>
          <w:bCs w:val="1"/>
          <w:color w:val="auto"/>
        </w:rPr>
        <w:t>Total cost of revenue, selling, general and administrative and research and development expenses</w:t>
      </w:r>
    </w:p>
    <w:p>
      <w:pPr>
        <w:spacing w:after="0" w:line="157" w:lineRule="exact"/>
        <w:rPr>
          <w:sz w:val="20"/>
          <w:szCs w:val="20"/>
          <w:color w:val="auto"/>
        </w:rPr>
      </w:pPr>
    </w:p>
    <w:p>
      <w:pPr>
        <w:ind w:left="300" w:hanging="294"/>
        <w:spacing w:after="0"/>
        <w:tabs>
          <w:tab w:leader="none" w:pos="3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0.1% but not nil.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660" w:type="dxa"/>
            <w:vAlign w:val="bottom"/>
            <w:tcBorders>
              <w:top w:val="single" w:sz="8" w:color="auto"/>
            </w:tcBorders>
          </w:tcPr>
          <w:p>
            <w:pPr>
              <w:jc w:val="right"/>
              <w:ind w:right="262"/>
              <w:spacing w:after="0" w:line="169" w:lineRule="exact"/>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242"/>
              <w:spacing w:after="0" w:line="169" w:lineRule="exact"/>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top w:val="single" w:sz="8" w:color="auto"/>
            </w:tcBorders>
          </w:tcPr>
          <w:p>
            <w:pPr>
              <w:spacing w:after="0"/>
              <w:rPr>
                <w:sz w:val="14"/>
                <w:szCs w:val="14"/>
                <w:color w:val="auto"/>
              </w:rPr>
            </w:pPr>
          </w:p>
        </w:tc>
      </w:tr>
      <w:tr>
        <w:trPr>
          <w:trHeight w:val="199"/>
        </w:trPr>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80" w:type="dxa"/>
            <w:vAlign w:val="bottom"/>
            <w:tcBorders>
              <w:bottom w:val="single" w:sz="8" w:color="auto"/>
            </w:tcBorders>
          </w:tcPr>
          <w:p>
            <w:pPr>
              <w:spacing w:after="0"/>
              <w:rPr>
                <w:sz w:val="17"/>
                <w:szCs w:val="17"/>
                <w:color w:val="auto"/>
              </w:rPr>
            </w:pPr>
          </w:p>
        </w:tc>
      </w:tr>
      <w:tr>
        <w:trPr>
          <w:trHeight w:val="196"/>
        </w:trPr>
        <w:tc>
          <w:tcPr>
            <w:tcW w:w="166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rPr>
              <w:t>US$</w:t>
            </w:r>
          </w:p>
        </w:tc>
        <w:tc>
          <w:tcPr>
            <w:tcW w:w="6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US$</w:t>
            </w:r>
          </w:p>
        </w:tc>
        <w:tc>
          <w:tcPr>
            <w:tcW w:w="6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4"/>
        </w:trPr>
        <w:tc>
          <w:tcPr>
            <w:tcW w:w="4180" w:type="dxa"/>
            <w:vAlign w:val="bottom"/>
            <w:tcBorders>
              <w:bottom w:val="single" w:sz="8" w:color="auto"/>
            </w:tcBorders>
            <w:gridSpan w:val="4"/>
          </w:tcPr>
          <w:p>
            <w:pPr>
              <w:jc w:val="right"/>
              <w:ind w:right="422"/>
              <w:spacing w:after="0" w:line="180" w:lineRule="exact"/>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680" w:type="dxa"/>
            <w:vAlign w:val="bottom"/>
            <w:tcBorders>
              <w:bottom w:val="single" w:sz="8" w:color="auto"/>
            </w:tcBorders>
          </w:tcPr>
          <w:p>
            <w:pPr>
              <w:spacing w:after="0"/>
              <w:rPr>
                <w:sz w:val="16"/>
                <w:szCs w:val="16"/>
                <w:color w:val="auto"/>
              </w:rPr>
            </w:pPr>
          </w:p>
        </w:tc>
      </w:tr>
      <w:tr>
        <w:trPr>
          <w:trHeight w:val="527"/>
        </w:trPr>
        <w:tc>
          <w:tcPr>
            <w:tcW w:w="166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37,989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tcPr>
          <w:p>
            <w:pPr>
              <w:spacing w:after="0"/>
              <w:rPr>
                <w:sz w:val="24"/>
                <w:szCs w:val="24"/>
                <w:color w:val="auto"/>
              </w:rPr>
            </w:pPr>
          </w:p>
        </w:tc>
        <w:tc>
          <w:tcPr>
            <w:tcW w:w="16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28,987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3"/>
        </w:trPr>
        <w:tc>
          <w:tcPr>
            <w:tcW w:w="166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20,574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w:t>
            </w:r>
          </w:p>
        </w:tc>
        <w:tc>
          <w:tcPr>
            <w:tcW w:w="16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15,896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360"/>
        </w:trPr>
        <w:tc>
          <w:tcPr>
            <w:tcW w:w="166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11,566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w:t>
            </w:r>
          </w:p>
        </w:tc>
        <w:tc>
          <w:tcPr>
            <w:tcW w:w="16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640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7"/>
        </w:trPr>
        <w:tc>
          <w:tcPr>
            <w:tcW w:w="166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12,337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w:t>
            </w:r>
          </w:p>
        </w:tc>
        <w:tc>
          <w:tcPr>
            <w:tcW w:w="16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9,487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19,817</w:t>
            </w:r>
          </w:p>
        </w:tc>
        <w:tc>
          <w:tcPr>
            <w:tcW w:w="9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21,392</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1,376</w:t>
            </w:r>
          </w:p>
        </w:tc>
        <w:tc>
          <w:tcPr>
            <w:tcW w:w="9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1,347</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6,736</w:t>
            </w:r>
          </w:p>
        </w:tc>
        <w:tc>
          <w:tcPr>
            <w:tcW w:w="9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3,625</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93,397</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27.9</w:t>
            </w:r>
          </w:p>
        </w:tc>
        <w:tc>
          <w:tcPr>
            <w:tcW w:w="220" w:type="dxa"/>
            <w:vAlign w:val="bottom"/>
          </w:tcPr>
          <w:p>
            <w:pPr>
              <w:spacing w:after="0"/>
              <w:rPr>
                <w:sz w:val="15"/>
                <w:szCs w:val="15"/>
                <w:color w:val="auto"/>
              </w:rPr>
            </w:pP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110,474</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49.3</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63,220</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18.9</w:t>
            </w:r>
          </w:p>
        </w:tc>
        <w:tc>
          <w:tcPr>
            <w:tcW w:w="220" w:type="dxa"/>
            <w:vAlign w:val="bottom"/>
          </w:tcPr>
          <w:p>
            <w:pPr>
              <w:spacing w:after="0"/>
              <w:rPr>
                <w:sz w:val="15"/>
                <w:szCs w:val="15"/>
                <w:color w:val="auto"/>
              </w:rPr>
            </w:pP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38,616</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220" w:type="dxa"/>
            <w:vAlign w:val="bottom"/>
          </w:tcPr>
          <w:p>
            <w:pPr>
              <w:spacing w:after="0"/>
              <w:rPr>
                <w:sz w:val="15"/>
                <w:szCs w:val="15"/>
                <w:color w:val="auto"/>
              </w:rPr>
            </w:pP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14,878</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5,864</w:t>
            </w:r>
          </w:p>
        </w:tc>
        <w:tc>
          <w:tcPr>
            <w:tcW w:w="9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3,712</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4,975</w:t>
            </w:r>
          </w:p>
        </w:tc>
        <w:tc>
          <w:tcPr>
            <w:tcW w:w="9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1,424</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2,401</w:t>
            </w:r>
          </w:p>
        </w:tc>
        <w:tc>
          <w:tcPr>
            <w:tcW w:w="9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2,058</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1,974</w:t>
            </w:r>
          </w:p>
        </w:tc>
        <w:tc>
          <w:tcPr>
            <w:tcW w:w="9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1,760</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1,934</w:t>
            </w:r>
          </w:p>
        </w:tc>
        <w:tc>
          <w:tcPr>
            <w:tcW w:w="9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843</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1,191</w:t>
            </w:r>
          </w:p>
        </w:tc>
        <w:tc>
          <w:tcPr>
            <w:tcW w:w="9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1,566</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1,116</w:t>
            </w:r>
          </w:p>
        </w:tc>
        <w:tc>
          <w:tcPr>
            <w:tcW w:w="9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1,082</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166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6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166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8,812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w:t>
            </w:r>
          </w:p>
        </w:tc>
        <w:tc>
          <w:tcPr>
            <w:tcW w:w="16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4,482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60"/>
        </w:trPr>
        <w:tc>
          <w:tcPr>
            <w:tcW w:w="166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334,252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62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224,095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bl>
    <w:p>
      <w:pPr>
        <w:spacing w:after="0" w:line="541" w:lineRule="exact"/>
        <w:rPr>
          <w:sz w:val="20"/>
          <w:szCs w:val="20"/>
          <w:color w:val="auto"/>
        </w:rPr>
      </w:pPr>
    </w:p>
    <w:p>
      <w:pPr>
        <w:sectPr>
          <w:pgSz w:w="11900" w:h="16840" w:orient="portrait"/>
          <w:cols w:equalWidth="0" w:num="2">
            <w:col w:w="4960" w:space="660"/>
            <w:col w:w="4960"/>
          </w:cols>
          <w:pgMar w:left="660" w:top="737" w:right="660" w:bottom="86" w:gutter="0" w:footer="0" w:header="0"/>
          <w:type w:val="continuous"/>
        </w:sectPr>
      </w:pP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Six Months Ended June 30,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78" w:lineRule="exact"/>
        <w:rPr>
          <w:sz w:val="20"/>
          <w:szCs w:val="20"/>
          <w:color w:val="auto"/>
        </w:rPr>
      </w:pPr>
    </w:p>
    <w:p>
      <w:pPr>
        <w:ind w:firstLine="288"/>
        <w:spacing w:after="0" w:line="259" w:lineRule="auto"/>
        <w:rPr>
          <w:sz w:val="20"/>
          <w:szCs w:val="20"/>
          <w:color w:val="auto"/>
        </w:rPr>
      </w:pPr>
      <w:r>
        <w:rPr>
          <w:rFonts w:ascii="Times New Roman" w:cs="Times New Roman" w:eastAsia="Times New Roman" w:hAnsi="Times New Roman"/>
          <w:sz w:val="16"/>
          <w:szCs w:val="16"/>
          <w:color w:val="auto"/>
        </w:rPr>
        <w:t>Our revenue increased from US$218.7 million for the six months ended June 30, 2024 to US $225.7 million for the six months ended June 30, 2025, primarily driven by an increase in sales of mining rigs and accessories, offset by a decrease in General Hosting and Membership Hosting.</w:t>
      </w:r>
    </w:p>
    <w:p>
      <w:pPr>
        <w:spacing w:after="0" w:line="143" w:lineRule="exact"/>
        <w:rPr>
          <w:sz w:val="20"/>
          <w:szCs w:val="20"/>
          <w:color w:val="auto"/>
        </w:rPr>
      </w:pPr>
    </w:p>
    <w:p>
      <w:pPr>
        <w:jc w:val="both"/>
        <w:ind w:left="580" w:hanging="286"/>
        <w:spacing w:after="0" w:line="241"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generated from our self-mining business increased by 7.2% from US$90.1 million for the six months ended June 30, 2024 to US$96.5 million for the six months ended June 30, 2025. The change was primarily due to the increase in the average self-mining hash rate and higher average Bitcoin prices, partially offset by a decrease in Bitcoin production due to the April 2024 halving and higher mining difficulty. The hash rate used for self-mining, calculated as the monthly average over the six-month period, was approximately 12.0 EH/s for the six months ended June 30, 2025, compared to 6.8 EH/s for the six months ended June 30, 2024.</w:t>
      </w:r>
    </w:p>
    <w:p>
      <w:pPr>
        <w:spacing w:after="0" w:line="156" w:lineRule="exact"/>
        <w:rPr>
          <w:rFonts w:ascii="Times New Roman" w:cs="Times New Roman" w:eastAsia="Times New Roman" w:hAnsi="Times New Roman"/>
          <w:sz w:val="16"/>
          <w:szCs w:val="16"/>
          <w:color w:val="auto"/>
        </w:rPr>
      </w:pPr>
    </w:p>
    <w:p>
      <w:pPr>
        <w:jc w:val="both"/>
        <w:ind w:left="580" w:hanging="286"/>
        <w:spacing w:after="0" w:line="280" w:lineRule="auto"/>
        <w:tabs>
          <w:tab w:leader="none" w:pos="5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from Cloud Hash Rate decreased by 99.8% from US$30.3 million for the six months ended June 30, 2024 to US$0.1 million for the six months ended June 30, 2025, which was primarily due to expiration of long-term Cloud Hash Rate contracts and subsequent reallocation of nearly all hash rate of the mining rigs to self-mining operations by the end of 2024. Sales price of hash rate subscription is primarily priced with reference to Bitcoin price and overall network hash rate at the time of sales and revenue generated from the subscription is recognized evenly over the duration of the subscription. The hash rate allocated to Cloud Hash Rate, calculated on a six-month monthly average basis, were nil and 1.6 EH/s for the six months ended June 30, 2025 and 2024, respectively. The decrease in revenue from electricity subscription was attributable to the expiration of long-term Cloud Hash Rate contracts.</w:t>
      </w:r>
    </w:p>
    <w:p>
      <w:pPr>
        <w:spacing w:after="0" w:line="133" w:lineRule="exact"/>
        <w:rPr>
          <w:rFonts w:ascii="Times New Roman" w:cs="Times New Roman" w:eastAsia="Times New Roman" w:hAnsi="Times New Roman"/>
          <w:sz w:val="14"/>
          <w:szCs w:val="14"/>
          <w:color w:val="auto"/>
        </w:rPr>
      </w:pPr>
    </w:p>
    <w:p>
      <w:pPr>
        <w:ind w:left="580" w:right="20" w:hanging="286"/>
        <w:spacing w:after="0" w:line="331" w:lineRule="auto"/>
        <w:tabs>
          <w:tab w:leader="none" w:pos="5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from sales of mining rigs and accessories increased from nil for the six months ended June 30, 2024 to US$73.6 million for the six months ended June 30, 2025, which was primarily due to the mass production and sales of SEALMINER A2 and A2 pro series mining rigs started from 2025.</w:t>
      </w:r>
    </w:p>
    <w:p>
      <w:pPr>
        <w:spacing w:after="0" w:line="96" w:lineRule="exact"/>
        <w:rPr>
          <w:rFonts w:ascii="Times New Roman" w:cs="Times New Roman" w:eastAsia="Times New Roman" w:hAnsi="Times New Roman"/>
          <w:sz w:val="14"/>
          <w:szCs w:val="14"/>
          <w:color w:val="auto"/>
        </w:rPr>
      </w:pPr>
    </w:p>
    <w:p>
      <w:pPr>
        <w:jc w:val="both"/>
        <w:ind w:left="580" w:hanging="286"/>
        <w:spacing w:after="0" w:line="247"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generated from General Hosting decreased by 61.7% from US$49.5 million for the six months ended June 30, 2024 to US$19.0 million for the six months ended June 30, 2025, which was primarily due to the expiration of certain hosting customer contracts as well as the removal of older and less efficient mining rigs by other hosting customers following the April 2024 halving as a result of reduced mining economics.</w:t>
      </w:r>
    </w:p>
    <w:p>
      <w:pPr>
        <w:spacing w:after="0" w:line="152"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generated from Membership Hosting decreased by 25.9% from US$41.7 million for the six months ended June 30, 2024 to US$30.9 million for the six months ended June 30, 2025. Similar to General Hosting, the decline was primarily driven by customers scaling down operations for older and less efficient rigs following the April 2024 halving as a result of reduced mining economics.</w:t>
      </w:r>
    </w:p>
    <w:p>
      <w:pPr>
        <w:spacing w:after="0" w:line="152"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generated from others decreased by 6.6% from US$6.1 million for the six months ended June 30, 2024 to US$5.7 million for the six months ended June 30, 2025, primarily due to a decrease in revenue from the sale of containerized solution products and lease of investment properties, partially offset by an increase in revenue from the HPC and AI cloud services.</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737" w:right="660" w:bottom="86"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i w:val="1"/>
          <w:iCs w:val="1"/>
          <w:color w:val="auto"/>
        </w:rPr>
        <w:t>Cost of Revenue</w:t>
      </w:r>
    </w:p>
    <w:p>
      <w:pPr>
        <w:spacing w:after="0" w:line="178" w:lineRule="exact"/>
        <w:rPr>
          <w:sz w:val="20"/>
          <w:szCs w:val="20"/>
          <w:color w:val="auto"/>
        </w:rPr>
      </w:pPr>
    </w:p>
    <w:p>
      <w:pPr>
        <w:jc w:val="both"/>
        <w:ind w:left="580" w:hanging="286"/>
        <w:spacing w:after="0" w:line="247"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cost of revenue increased from US$160.2 million for the six months ended June 30, 2024 to US$216.1 million for the six months ended June 30, 2025, primarily driven by an increase in costs of SEALMINERs sold to customers, depreciation expenses of mining rigs, and the increase in employees and in salaries, wages and other benefits, partially offset by a decrease in electricity cost.</w:t>
      </w:r>
    </w:p>
    <w:p>
      <w:pPr>
        <w:spacing w:after="0" w:line="152"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Electricity cost in operating mining rigs decreased by 15.5% from US$110.5 million for the six months ended June 30, 2024 to US$93.4 million for the six months ended June 30, 2025, which was primarily due to the decreased overall energy consumption related to the reduced hosted mining rigs, partially offset by the slightly higher average electricity price in the first half of 2025 as compared to the first half of 2024.</w:t>
      </w:r>
    </w:p>
    <w:p>
      <w:pPr>
        <w:spacing w:after="0" w:line="152" w:lineRule="exact"/>
        <w:rPr>
          <w:rFonts w:ascii="Times New Roman" w:cs="Times New Roman" w:eastAsia="Times New Roman" w:hAnsi="Times New Roman"/>
          <w:sz w:val="16"/>
          <w:szCs w:val="16"/>
          <w:color w:val="auto"/>
        </w:rPr>
      </w:pPr>
    </w:p>
    <w:p>
      <w:pPr>
        <w:ind w:left="580" w:right="20" w:hanging="286"/>
        <w:spacing w:after="0" w:line="331" w:lineRule="auto"/>
        <w:tabs>
          <w:tab w:leader="none" w:pos="5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mining rigs and accessories sold increased from nil for the six months ended June 30, 2024 to US$63.2 million for the six months ended June 30, 2025, which was in line with the sales of mining rigs as a result of the mass production and sales of SEALMINER A2 and A2 pro series mining rigs during 2025.</w:t>
      </w:r>
    </w:p>
    <w:p>
      <w:pPr>
        <w:spacing w:after="0" w:line="96" w:lineRule="exact"/>
        <w:rPr>
          <w:rFonts w:ascii="Times New Roman" w:cs="Times New Roman" w:eastAsia="Times New Roman" w:hAnsi="Times New Roman"/>
          <w:sz w:val="14"/>
          <w:szCs w:val="14"/>
          <w:color w:val="auto"/>
        </w:rPr>
      </w:pPr>
    </w:p>
    <w:p>
      <w:pPr>
        <w:ind w:left="580" w:right="20" w:hanging="286"/>
        <w:spacing w:after="0" w:line="259"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of mining rigs increased by 30.0% from US$9.5 million for the six months ended June 30, 2024 to US$12.3 million for the six months ended June 30, 2025, primarily due to the deployment of the SEALMINERs for self-mining business in our datacenters during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Expenses</w:t>
      </w:r>
    </w:p>
    <w:p>
      <w:pPr>
        <w:spacing w:after="0" w:line="178"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Our selling expenses decreased by 21.8% from US $3.9 million for the six months ended June 30, 2024 to US$3.0 million for the six months ended June 30, 2025, respectively, primarily due to the decrease in staff costs and lower share-based payment expenses for sales personnel.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78"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16"/>
          <w:szCs w:val="16"/>
          <w:color w:val="auto"/>
        </w:rPr>
        <w:t>Our general and administrative expenses increased by 15.3% from US$30.8 million for the six months ended June 30, 2024 to US$35.5 million for the six months ended June 30, 2025, primarily due to an increase in staff costs for general and administrative personnel and consulting fees, partially offset by a decrease in share-based payment expenses recognized according to graded vesting schedules for outstanding share awards for six months ended June 30,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78" w:lineRule="exact"/>
        <w:rPr>
          <w:sz w:val="20"/>
          <w:szCs w:val="20"/>
          <w:color w:val="auto"/>
        </w:rPr>
      </w:pPr>
    </w:p>
    <w:p>
      <w:pPr>
        <w:jc w:val="both"/>
        <w:ind w:right="20" w:firstLine="288"/>
        <w:spacing w:after="0" w:line="243" w:lineRule="auto"/>
        <w:rPr>
          <w:sz w:val="20"/>
          <w:szCs w:val="20"/>
          <w:color w:val="auto"/>
        </w:rPr>
      </w:pPr>
      <w:r>
        <w:rPr>
          <w:rFonts w:ascii="Times New Roman" w:cs="Times New Roman" w:eastAsia="Times New Roman" w:hAnsi="Times New Roman"/>
          <w:sz w:val="16"/>
          <w:szCs w:val="16"/>
          <w:color w:val="auto"/>
        </w:rPr>
        <w:t>Our research and development expenses increased by 172.5% from US$29.2 million for the six months ended June 30, 2024 to US$79.6 million for the six months ended June 30, 2025, primarily due to higher expenditures related to the one-off incremental development expenses for the application-specific integrated circuit (“ASIC”) chips, higher engineering costs related to our ASIC development roadmap, and non-cash amortization expenses of intangible assets related to the acquisition of FreeChain in the fourth quarter of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Operating Income / (Expenses)</w:t>
      </w:r>
    </w:p>
    <w:p>
      <w:pPr>
        <w:spacing w:after="0" w:line="178"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We generated other operating income of US$3.2 million and incurred other operating expenses of US$4.1 million for the six months ended June 30, 2024 and 2025, respectively. This change was primarily driven by the decrease of net gains on disposal of cryptocurrencies and the losses on change in fair value of cryptocurrency-settled receivables and payables.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Net Gains / (Losses)</w:t>
      </w:r>
    </w:p>
    <w:p>
      <w:pPr>
        <w:spacing w:after="0" w:line="178" w:lineRule="exact"/>
        <w:rPr>
          <w:sz w:val="20"/>
          <w:szCs w:val="20"/>
          <w:color w:val="auto"/>
        </w:rPr>
      </w:pPr>
    </w:p>
    <w:p>
      <w:pPr>
        <w:jc w:val="both"/>
        <w:ind w:right="20" w:firstLine="288"/>
        <w:spacing w:after="0" w:line="284" w:lineRule="auto"/>
        <w:rPr>
          <w:sz w:val="20"/>
          <w:szCs w:val="20"/>
          <w:color w:val="auto"/>
        </w:rPr>
      </w:pPr>
      <w:r>
        <w:rPr>
          <w:rFonts w:ascii="Times New Roman" w:cs="Times New Roman" w:eastAsia="Times New Roman" w:hAnsi="Times New Roman"/>
          <w:sz w:val="14"/>
          <w:szCs w:val="14"/>
          <w:color w:val="auto"/>
        </w:rPr>
        <w:t>We recorded other net losses of US$ 13.0 million for the six months ended June 30, 2024, primarily due to a US$ 14.2 million loss of the fair value change for Tether warrant, partially offset by the net gains on the changes in fair value of financial asset at fair value through profit or loss. We recorded other net gains of US$394.6 million for the six months ended June 30, 2025, primarily due to the non-cash, fair value changes of derivative liabilities, which were the US$373.3 million of gains on fair value changes for the convertible notes and the US$42.6 million of gain on fair value changes for the Tether warrant, partially offset by the US$16.2 million of losses on extinguishment of the convertible notes and the net loss on the changes in fair value of financial asset at fair value through profit or loss.</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Profit / (Loss) from Operations</w:t>
      </w:r>
    </w:p>
    <w:p>
      <w:pPr>
        <w:spacing w:after="0" w:line="178"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As a result of the foregoing, we recorded a loss from operations of US$15.2 million for the six months ended June 30, 2024 and a profit from operations of US$282.0 million for the six months ended June 30, 2025,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 Benefits / (Expenses)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recorded income tax expenses of US$2.0 million and income tax benefit of US$2.8million for the six months ended June 30, 2024 and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Profit / (Loss)</w:t>
      </w:r>
    </w:p>
    <w:p>
      <w:pPr>
        <w:spacing w:after="0" w:line="178"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As a result of the foregoing, we incurred a net loss of US$17.1 million for the six months ended June 30, 2024 and a net profit of US$261.7 million for the six months ended June 30, 2025,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Non-IFRS Financial Measures</w:t>
      </w:r>
    </w:p>
    <w:p>
      <w:pPr>
        <w:spacing w:after="0" w:line="178" w:lineRule="exact"/>
        <w:rPr>
          <w:sz w:val="20"/>
          <w:szCs w:val="20"/>
          <w:color w:val="auto"/>
        </w:rPr>
      </w:pPr>
    </w:p>
    <w:p>
      <w:pPr>
        <w:jc w:val="both"/>
        <w:ind w:firstLine="288"/>
        <w:spacing w:after="0" w:line="284" w:lineRule="auto"/>
        <w:rPr>
          <w:sz w:val="20"/>
          <w:szCs w:val="20"/>
          <w:color w:val="auto"/>
        </w:rPr>
      </w:pPr>
      <w:r>
        <w:rPr>
          <w:rFonts w:ascii="Times New Roman" w:cs="Times New Roman" w:eastAsia="Times New Roman" w:hAnsi="Times New Roman"/>
          <w:sz w:val="14"/>
          <w:szCs w:val="14"/>
          <w:color w:val="auto"/>
        </w:rPr>
        <w:t>In evaluating our business, we consider and use non-IFRS measures, adjusted EBITDA and adjusted profit/(loss), as supplemental measures to review and assess our operating performance. We define adjusted EBITDA as earnings before interest, taxes, depreciation and amortization, further adjusted to exclude share-based payment expenses under IFRS 2, changes in fair value of derivative liabilities, changes in fair value of cryptocurrency-settled receivables and payables, and loss on extinguishment of convertible senior notes, and define adjusted profit/(loss) as profit/(loss) adjusted to exclude share-based payment expenses under IFRS 2, changes in fair value of derivative liabilities, changes in fair value of cryptocurrency-settled receivables and payables, and loss on extinguishment of convertible senior notes.</w:t>
      </w:r>
    </w:p>
    <w:p>
      <w:pPr>
        <w:spacing w:after="0" w:line="128" w:lineRule="exact"/>
        <w:rPr>
          <w:sz w:val="20"/>
          <w:szCs w:val="20"/>
          <w:color w:val="auto"/>
        </w:rPr>
      </w:pPr>
    </w:p>
    <w:p>
      <w:pPr>
        <w:jc w:val="both"/>
        <w:ind w:right="20" w:firstLine="288"/>
        <w:spacing w:after="0" w:line="239" w:lineRule="auto"/>
        <w:rPr>
          <w:sz w:val="20"/>
          <w:szCs w:val="20"/>
          <w:color w:val="auto"/>
        </w:rPr>
      </w:pPr>
      <w:r>
        <w:rPr>
          <w:rFonts w:ascii="Times New Roman" w:cs="Times New Roman" w:eastAsia="Times New Roman" w:hAnsi="Times New Roman"/>
          <w:sz w:val="16"/>
          <w:szCs w:val="16"/>
          <w:color w:val="auto"/>
        </w:rPr>
        <w:t>We present these non-IFRS financial measures because they are used by our management to evaluate our operating performance and formulate business plans. We also believe that the use of these non- IFRS measures facilitate investors’ assessment of our operating performance. These measures are not necessarily comparable to similarly titled measures used by other companies. As a result, investors should not consider these measures in isolation from, or as a substitute analysis for, our profit or loss for the periods, as determined in accordance with IFRS. We compensate for these limitations by reconciling these non-IFRS financial measures to the nearest IFRS performance measure, all of which should be considered when evaluating our performance. We encourage investors to review our financial information in its entirety and not rely on a single financial measure.</w:t>
      </w:r>
    </w:p>
    <w:p>
      <w:pPr>
        <w:sectPr>
          <w:pgSz w:w="11900" w:h="16840" w:orient="portrait"/>
          <w:cols w:equalWidth="0" w:num="1">
            <w:col w:w="10580"/>
          </w:cols>
          <w:pgMar w:left="660" w:top="1155" w:right="660" w:bottom="323" w:gutter="0" w:footer="0" w:header="0"/>
        </w:sectPr>
      </w:pPr>
    </w:p>
    <w:bookmarkStart w:id="33" w:name="page34"/>
    <w:bookmarkEnd w:id="33"/>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The following table presents a reconciliation of profit / (loss) for the relevant period to adjusted EBITDA and adjusted profit / (loss), for the six months ended June 30, 2025 and 2024.</w:t>
      </w:r>
    </w:p>
    <w:p>
      <w:pPr>
        <w:spacing w:after="0" w:line="141"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Six Months</w:t>
      </w:r>
    </w:p>
    <w:p>
      <w:pPr>
        <w:spacing w:after="0" w:line="12"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6"/>
          <w:szCs w:val="16"/>
          <w:b w:val="1"/>
          <w:bCs w:val="1"/>
          <w:color w:val="auto"/>
        </w:rPr>
        <w:t>Ended</w:t>
      </w:r>
    </w:p>
    <w:p>
      <w:pPr>
        <w:jc w:val="center"/>
        <w:ind w:left="8040"/>
        <w:spacing w:after="0" w:line="228" w:lineRule="auto"/>
        <w:rPr>
          <w:sz w:val="20"/>
          <w:szCs w:val="20"/>
          <w:color w:val="auto"/>
        </w:rPr>
      </w:pPr>
      <w:r>
        <w:rPr>
          <w:rFonts w:ascii="Times New Roman" w:cs="Times New Roman" w:eastAsia="Times New Roman" w:hAnsi="Times New Roman"/>
          <w:sz w:val="16"/>
          <w:szCs w:val="16"/>
          <w:b w:val="1"/>
          <w:bCs w:val="1"/>
          <w:color w:val="auto"/>
        </w:rPr>
        <w:t>June 30</w:t>
      </w: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80" w:type="dxa"/>
            <w:vAlign w:val="bottom"/>
            <w:tcBorders>
              <w:bottom w:val="single" w:sz="8" w:color="auto"/>
            </w:tcBorders>
          </w:tcPr>
          <w:p>
            <w:pPr>
              <w:jc w:val="right"/>
              <w:ind w:right="322"/>
              <w:spacing w:after="0" w:line="180" w:lineRule="exact"/>
              <w:rPr>
                <w:sz w:val="20"/>
                <w:szCs w:val="20"/>
                <w:color w:val="auto"/>
              </w:rPr>
            </w:pPr>
            <w:r>
              <w:rPr>
                <w:rFonts w:ascii="Times New Roman" w:cs="Times New Roman" w:eastAsia="Times New Roman" w:hAnsi="Times New Roman"/>
                <w:sz w:val="16"/>
                <w:szCs w:val="16"/>
                <w:b w:val="1"/>
                <w:bCs w:val="1"/>
                <w:color w:val="auto"/>
              </w:rPr>
              <w:t>US$</w:t>
            </w: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4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w w:val="94"/>
              </w:rPr>
              <w:t>(in thousands)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Profit / (Loss) for the periods</w:t>
            </w:r>
          </w:p>
        </w:tc>
        <w:tc>
          <w:tcPr>
            <w:tcW w:w="452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261,740</w:t>
            </w: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(17,137)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Add:</w:t>
            </w:r>
          </w:p>
        </w:tc>
        <w:tc>
          <w:tcPr>
            <w:tcW w:w="3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4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51,832</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36,491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(benefit) / expenses</w:t>
            </w:r>
          </w:p>
        </w:tc>
        <w:tc>
          <w:tcPr>
            <w:tcW w:w="452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(2,773)</w:t>
            </w:r>
          </w:p>
        </w:tc>
        <w:tc>
          <w:tcPr>
            <w:tcW w:w="360" w:type="dxa"/>
            <w:vAlign w:val="bottom"/>
          </w:tcPr>
          <w:p>
            <w:pPr>
              <w:spacing w:after="0"/>
              <w:rPr>
                <w:sz w:val="15"/>
                <w:szCs w:val="15"/>
                <w:color w:val="auto"/>
              </w:rPr>
            </w:pPr>
          </w:p>
        </w:tc>
        <w:tc>
          <w:tcPr>
            <w:tcW w:w="7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(income) / expense, net</w:t>
            </w:r>
          </w:p>
        </w:tc>
        <w:tc>
          <w:tcPr>
            <w:tcW w:w="4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26,331</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Share-based payment expenses</w:t>
            </w:r>
          </w:p>
        </w:tc>
        <w:tc>
          <w:tcPr>
            <w:tcW w:w="4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20,574</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Changes in fair value of derivative liabilities</w:t>
            </w:r>
          </w:p>
        </w:tc>
        <w:tc>
          <w:tcPr>
            <w:tcW w:w="452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(415,921)</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14,230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Changes in fair value of cryptocurrency-settled receivables and payables</w:t>
            </w:r>
          </w:p>
        </w:tc>
        <w:tc>
          <w:tcPr>
            <w:tcW w:w="452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3,189</w:t>
            </w:r>
          </w:p>
        </w:tc>
        <w:tc>
          <w:tcPr>
            <w:tcW w:w="360" w:type="dxa"/>
            <w:vAlign w:val="bottom"/>
          </w:tcPr>
          <w:p>
            <w:pPr>
              <w:spacing w:after="0"/>
              <w:rPr>
                <w:sz w:val="15"/>
                <w:szCs w:val="15"/>
                <w:color w:val="auto"/>
              </w:rPr>
            </w:pPr>
          </w:p>
        </w:tc>
        <w:tc>
          <w:tcPr>
            <w:tcW w:w="7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on extinguishment of convertible senior notes</w:t>
            </w:r>
          </w:p>
        </w:tc>
        <w:tc>
          <w:tcPr>
            <w:tcW w:w="4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16,194</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of Adjusted EBITDA</w:t>
            </w:r>
          </w:p>
        </w:tc>
        <w:tc>
          <w:tcPr>
            <w:tcW w:w="45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(38,834)</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50,872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880" w:type="dxa"/>
            <w:vAlign w:val="bottom"/>
            <w:tcBorders>
              <w:top w:val="single" w:sz="8" w:color="CCEEFF"/>
            </w:tcBorders>
            <w:shd w:val="clear" w:color="auto" w:fill="CCEEFF"/>
          </w:tcPr>
          <w:p>
            <w:pPr>
              <w:spacing w:after="0"/>
              <w:rPr>
                <w:sz w:val="15"/>
                <w:szCs w:val="15"/>
                <w:color w:val="auto"/>
              </w:rPr>
            </w:pPr>
          </w:p>
        </w:tc>
        <w:tc>
          <w:tcPr>
            <w:tcW w:w="3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Adjusted Profit/ (loss)</w:t>
            </w:r>
          </w:p>
        </w:tc>
        <w:tc>
          <w:tcPr>
            <w:tcW w:w="3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Profit/ (loss) for the periods</w:t>
            </w:r>
          </w:p>
        </w:tc>
        <w:tc>
          <w:tcPr>
            <w:tcW w:w="452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261,740</w:t>
            </w: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(17,137)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Add:</w:t>
            </w:r>
          </w:p>
        </w:tc>
        <w:tc>
          <w:tcPr>
            <w:tcW w:w="3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Share-based payment expenses</w:t>
            </w:r>
          </w:p>
        </w:tc>
        <w:tc>
          <w:tcPr>
            <w:tcW w:w="4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20,574</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15,896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452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(415,921)</w:t>
            </w:r>
          </w:p>
        </w:tc>
        <w:tc>
          <w:tcPr>
            <w:tcW w:w="36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14,230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Changes in fair value of cryptocurrency-settled receivables and payables</w:t>
            </w:r>
          </w:p>
        </w:tc>
        <w:tc>
          <w:tcPr>
            <w:tcW w:w="452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3,189</w:t>
            </w: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on extinguishment of convertible senior notes</w:t>
            </w:r>
          </w:p>
        </w:tc>
        <w:tc>
          <w:tcPr>
            <w:tcW w:w="4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16,194</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of Adjusted Profit / (Loss)</w:t>
            </w:r>
          </w:p>
        </w:tc>
        <w:tc>
          <w:tcPr>
            <w:tcW w:w="4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(114,224)</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2742"/>
              <w:spacing w:after="0"/>
              <w:rPr>
                <w:sz w:val="20"/>
                <w:szCs w:val="20"/>
                <w:color w:val="auto"/>
              </w:rPr>
            </w:pPr>
            <w:r>
              <w:rPr>
                <w:rFonts w:ascii="Times New Roman" w:cs="Times New Roman" w:eastAsia="Times New Roman" w:hAnsi="Times New Roman"/>
                <w:sz w:val="16"/>
                <w:szCs w:val="16"/>
                <w:color w:val="auto"/>
              </w:rPr>
              <w:t>7</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78" w:lineRule="exact"/>
        <w:rPr>
          <w:sz w:val="20"/>
          <w:szCs w:val="20"/>
          <w:color w:val="auto"/>
        </w:rPr>
      </w:pPr>
    </w:p>
    <w:p>
      <w:pPr>
        <w:jc w:val="both"/>
        <w:ind w:right="20" w:firstLine="288"/>
        <w:spacing w:after="0" w:line="241" w:lineRule="auto"/>
        <w:rPr>
          <w:sz w:val="20"/>
          <w:szCs w:val="20"/>
          <w:color w:val="auto"/>
        </w:rPr>
      </w:pPr>
      <w:r>
        <w:rPr>
          <w:rFonts w:ascii="Times New Roman" w:cs="Times New Roman" w:eastAsia="Times New Roman" w:hAnsi="Times New Roman"/>
          <w:sz w:val="16"/>
          <w:szCs w:val="16"/>
          <w:color w:val="auto"/>
        </w:rPr>
        <w:t>As of June 30, 2025, we had cash and cash equivalents of US$299.8 million and fiat currency investment of US$1.0 million in an unlisted debt instrument, redeemable on demand. We have financed our operations primarily with cash flow from disposal of cryptocurrencies earned from principal business operations, as well as through the issuance of convertible notes and Class A ordinary shares and entering into borrowing arrangements. We believe that our cash, short-term investments and anticipated proceeds generated from our principal businesses and disposal of cryptocurrencies in connection with our principal business will be sufficient to meet our current and anticipated working capital requirements and capital expenditures for at least the next 18 months.</w:t>
      </w:r>
    </w:p>
    <w:p>
      <w:pPr>
        <w:spacing w:after="0" w:line="157"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Our cash and cash equivalents decreased from US$476.3 million as of December 31, 2024 to US$299.8 million as of June 30, 2025, primarily attributable to the payments made for the development and manufacturing of our ASIC and mining rigs business, and the construction for our mining datacenter in U.S., Norway and Bhutan, partially offset by the proceeds from the financing activities during the six months ended June 30, 2025.</w:t>
      </w:r>
    </w:p>
    <w:p>
      <w:pPr>
        <w:spacing w:after="0" w:line="152" w:lineRule="exact"/>
        <w:rPr>
          <w:sz w:val="20"/>
          <w:szCs w:val="20"/>
          <w:color w:val="auto"/>
        </w:rPr>
      </w:pPr>
    </w:p>
    <w:p>
      <w:pPr>
        <w:jc w:val="both"/>
        <w:ind w:right="20" w:firstLine="288"/>
        <w:spacing w:after="0" w:line="259" w:lineRule="auto"/>
        <w:rPr>
          <w:sz w:val="20"/>
          <w:szCs w:val="20"/>
          <w:color w:val="auto"/>
        </w:rPr>
      </w:pPr>
      <w:r>
        <w:rPr>
          <w:rFonts w:ascii="Times New Roman" w:cs="Times New Roman" w:eastAsia="Times New Roman" w:hAnsi="Times New Roman"/>
          <w:sz w:val="16"/>
          <w:szCs w:val="16"/>
          <w:color w:val="auto"/>
        </w:rPr>
        <w:t>Our material cash requirements as of June 30, 2025 primarily include our purchase of property, plant, and equipment, lease obligations and borrowings. Other than those discussed below, we did not have any significant capital and other commitments, long-term obligations or guarantees as of June 30, 2025.</w:t>
      </w:r>
    </w:p>
    <w:p>
      <w:pPr>
        <w:spacing w:after="0" w:line="141" w:lineRule="exact"/>
        <w:rPr>
          <w:sz w:val="20"/>
          <w:szCs w:val="20"/>
          <w:color w:val="auto"/>
        </w:rPr>
      </w:pPr>
    </w:p>
    <w:p>
      <w:pPr>
        <w:jc w:val="both"/>
        <w:ind w:right="20" w:firstLine="288"/>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Purchase of property, plant and equipment, investment properties and intangible assets. </w:t>
      </w:r>
      <w:r>
        <w:rPr>
          <w:rFonts w:ascii="Times New Roman" w:cs="Times New Roman" w:eastAsia="Times New Roman" w:hAnsi="Times New Roman"/>
          <w:sz w:val="16"/>
          <w:szCs w:val="16"/>
          <w:color w:val="auto"/>
        </w:rPr>
        <w:t>Purchase of property, plant and equipment, investment properties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intangible assets primarily consist of the purchase of machinery, equipment and other expenditure associated with mining datacenter construction and operations. The total cash outflow for the purchase of property, plant and equipment, investment properties and intangible assets was US$46.9 million and US$151.3 million for the six months ended June 30, 2024 and 2025, respectively. As of June 30, 2025, we had commitments that are scheduled to be paid within 12 months for the construction of mining datacenters of approximately US$54.3 million, of which approximately US$3.8 million was recognized in payables as of June 30, 2025.</w:t>
      </w:r>
    </w:p>
    <w:p>
      <w:pPr>
        <w:spacing w:after="0" w:line="157" w:lineRule="exact"/>
        <w:rPr>
          <w:sz w:val="20"/>
          <w:szCs w:val="20"/>
          <w:color w:val="auto"/>
        </w:rPr>
      </w:pPr>
    </w:p>
    <w:p>
      <w:pPr>
        <w:jc w:val="both"/>
        <w:ind w:firstLine="288"/>
        <w:spacing w:after="0"/>
        <w:rPr>
          <w:sz w:val="20"/>
          <w:szCs w:val="20"/>
          <w:color w:val="auto"/>
        </w:rPr>
      </w:pPr>
      <w:r>
        <w:rPr>
          <w:rFonts w:ascii="Times New Roman" w:cs="Times New Roman" w:eastAsia="Times New Roman" w:hAnsi="Times New Roman"/>
          <w:sz w:val="16"/>
          <w:szCs w:val="16"/>
          <w:i w:val="1"/>
          <w:iCs w:val="1"/>
          <w:color w:val="auto"/>
        </w:rPr>
        <w:t xml:space="preserve">Lease obligations. </w:t>
      </w:r>
      <w:r>
        <w:rPr>
          <w:rFonts w:ascii="Times New Roman" w:cs="Times New Roman" w:eastAsia="Times New Roman" w:hAnsi="Times New Roman"/>
          <w:sz w:val="16"/>
          <w:szCs w:val="16"/>
          <w:color w:val="auto"/>
        </w:rPr>
        <w:t>We occupy most of our office premises and certain mining datacenters under lease arrangements, which generally have an initial lease term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between two to 30 years. Lease contracts are typically made for fixed periods but may have extension options. Any extension options in these leases have not been included in the lease liabilities unless we are reasonably certain to exercise the extension option. Periods after termination options are only included in the lease term if the lease is reasonably certain not to be terminated. The total cash outflow for leases, including the capital element of lease rentals paid and interest paid on leases for the six months ended June 30, 2024 and 2025 were approximately US$4.3 million and US$ 5.9 million, respectively. As of June 30, 2025, lease liabilities mature based on contractual undiscounted payments within 12 months and over 12 months were US$11.9 million and US$103.2 million, respectively.</w:t>
      </w:r>
    </w:p>
    <w:p>
      <w:pPr>
        <w:spacing w:after="0" w:line="156" w:lineRule="exact"/>
        <w:rPr>
          <w:sz w:val="20"/>
          <w:szCs w:val="20"/>
          <w:color w:val="auto"/>
        </w:rPr>
      </w:pPr>
    </w:p>
    <w:p>
      <w:pPr>
        <w:jc w:val="both"/>
        <w:ind w:firstLine="288"/>
        <w:spacing w:after="0" w:line="271" w:lineRule="auto"/>
        <w:rPr>
          <w:sz w:val="20"/>
          <w:szCs w:val="20"/>
          <w:color w:val="auto"/>
        </w:rPr>
      </w:pP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Our borrowings as of June 30, 2025 represented a total commitment of US$533.1 million relating to: (i) a promissory note of US$15.0 million,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relates to the issuance of the Bitdeer Convertible Note, a US$30 million convertible note, on July 23, 2021, bearing an annual interest rate of 8%, which will mature on July 23, 2023. On July 22, 2023, we amended the Bitdeer Convertible Note, pursuant to which we have repaid US $7 million in principal (and interest accrued thereon from July 1, 2023) of the then outstanding notes, and extended the maturity of the Bitdeer Convertible Note to July 21, 2025, by when we will pay the remainder of the notes. In July 2025, the remaining US$15,000,000 principal amount of the Bitdeer Convertible Note was converted into Class A ordinary shares, (ii) the balance of US$2.8 million relates to 8.50% Convertible Notes, which represents the issuance of US$172.5 million aggregate principal amount of the 8.50% convertible senior notes due 2029, with US$7.7 million principal amount remaining outstanding as of June 30, 2025, (iii) the balance of US$173.0 million relates to 5.25% Convertible Notes, which represents the issuance of US$400.0 million aggregate principal amount of the 5.25% convertible senior notes due 2029, (iv) the balance of US$151.9 million relates to June 2025 Convertible Notes, which represents the issuance of US$375.0 million aggregate principal amount of the 4.875% convertible senior notes due 2031,</w:t>
      </w:r>
    </w:p>
    <w:p>
      <w:pPr>
        <w:spacing w:after="0" w:line="4" w:lineRule="exact"/>
        <w:rPr>
          <w:sz w:val="20"/>
          <w:szCs w:val="20"/>
          <w:color w:val="auto"/>
        </w:rPr>
      </w:pPr>
    </w:p>
    <w:p>
      <w:pPr>
        <w:ind w:left="5240" w:right="4520" w:hanging="5234"/>
        <w:spacing w:after="0" w:line="721" w:lineRule="auto"/>
        <w:tabs>
          <w:tab w:leader="none" w:pos="22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 loans of US$17.5 million and (vi) the April 2025 Matrixport Loan of US$172.9 million.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70750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For additional information regarding April 2025 Matrixport Loan and June 2025 Convertible Notes, see “––Recent Developments.”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intend to fund our existing and future material cash requirements primarily with our cash, short-term investment and anticipated proceeds from disposal of</w:t>
      </w:r>
    </w:p>
    <w:p>
      <w:pPr>
        <w:sectPr>
          <w:pgSz w:w="11900" w:h="16840" w:orient="portrait"/>
          <w:cols w:equalWidth="0" w:num="1">
            <w:col w:w="10580"/>
          </w:cols>
          <w:pgMar w:left="660" w:top="557" w:right="660" w:bottom="110" w:gutter="0" w:footer="0" w:header="0"/>
        </w:sectPr>
      </w:pPr>
    </w:p>
    <w:bookmarkStart w:id="34" w:name="page35"/>
    <w:bookmarkEnd w:id="34"/>
    <w:p>
      <w:pPr>
        <w:jc w:val="both"/>
        <w:spacing w:after="0" w:line="238" w:lineRule="auto"/>
        <w:rPr>
          <w:sz w:val="20"/>
          <w:szCs w:val="20"/>
          <w:color w:val="auto"/>
        </w:rPr>
      </w:pPr>
      <w:r>
        <w:rPr>
          <w:rFonts w:ascii="Times New Roman" w:cs="Times New Roman" w:eastAsia="Times New Roman" w:hAnsi="Times New Roman"/>
          <w:sz w:val="16"/>
          <w:szCs w:val="16"/>
          <w:color w:val="auto"/>
        </w:rPr>
        <w:t>cryptocurrencies in connection with our principal business, which is classified as an investing activity. However, our future capital requirements will depend on many factors, including market acceptance of cryptocurrency, our growth, our ability to scale up our infrastructure and hash rate, our ability to effectively control costs, our ability to attract and retain customers, our ability to continue the research and development of mining rig chips, our ability to manufacture the mining rigs, the continuing market acceptance of our offerings, expansion of sales and marketing activities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The incurrence of debt financing would result in debt service obligations and the instruments governing such debt could provide for operating and financing covenants that would restrict our operations. In the event that additional financing is required from outside sources, there is a possibility we may not be able to raise it on term acceptable to us or at all. If we are unable to raise additional capital when desired, our business, operations and financial condition could be adversely affected.</w:t>
      </w:r>
    </w:p>
    <w:p>
      <w:pPr>
        <w:spacing w:after="0" w:line="158" w:lineRule="exact"/>
        <w:rPr>
          <w:sz w:val="20"/>
          <w:szCs w:val="20"/>
          <w:color w:val="auto"/>
        </w:rPr>
      </w:pPr>
    </w:p>
    <w:p>
      <w:pPr>
        <w:jc w:val="both"/>
        <w:ind w:right="20" w:firstLine="288"/>
        <w:spacing w:after="0" w:line="241" w:lineRule="auto"/>
        <w:rPr>
          <w:sz w:val="20"/>
          <w:szCs w:val="20"/>
          <w:color w:val="auto"/>
        </w:rPr>
      </w:pPr>
      <w:r>
        <w:rPr>
          <w:rFonts w:ascii="Times New Roman" w:cs="Times New Roman" w:eastAsia="Times New Roman" w:hAnsi="Times New Roman"/>
          <w:sz w:val="16"/>
          <w:szCs w:val="16"/>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sets forth our consolidated statements of cash flows for the six months ended June 30, 2024 and 2025.</w:t>
      </w:r>
    </w:p>
    <w:p>
      <w:pPr>
        <w:spacing w:after="0" w:line="174"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6"/>
          <w:szCs w:val="16"/>
          <w:b w:val="1"/>
          <w:bCs w:val="1"/>
          <w:color w:val="auto"/>
        </w:rPr>
        <w:t>For the Six Months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380" w:type="dxa"/>
            <w:vAlign w:val="bottom"/>
            <w:gridSpan w:val="3"/>
          </w:tcPr>
          <w:p>
            <w:pPr>
              <w:ind w:left="940"/>
              <w:spacing w:after="0" w:line="176" w:lineRule="exact"/>
              <w:rPr>
                <w:sz w:val="20"/>
                <w:szCs w:val="20"/>
                <w:color w:val="auto"/>
              </w:rPr>
            </w:pPr>
            <w:r>
              <w:rPr>
                <w:rFonts w:ascii="Times New Roman" w:cs="Times New Roman" w:eastAsia="Times New Roman" w:hAnsi="Times New Roman"/>
                <w:sz w:val="16"/>
                <w:szCs w:val="16"/>
                <w:b w:val="1"/>
                <w:bCs w:val="1"/>
                <w:color w:val="auto"/>
                <w:w w:val="94"/>
              </w:rPr>
              <w:t>Ended</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2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22"/>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20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1"/>
              </w:rPr>
              <w:t>US$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340" w:type="dxa"/>
            <w:vAlign w:val="bottom"/>
            <w:gridSpan w:val="4"/>
          </w:tcPr>
          <w:p>
            <w:pPr>
              <w:jc w:val="right"/>
              <w:ind w:right="642"/>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9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450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(618,859)</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(206,295)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generated from / (used in) investing activities</w:t>
            </w:r>
          </w:p>
        </w:tc>
        <w:tc>
          <w:tcPr>
            <w:tcW w:w="450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(86,226)</w:t>
            </w:r>
          </w:p>
        </w:tc>
        <w:tc>
          <w:tcPr>
            <w:tcW w:w="10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112,481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generated from financing activities</w:t>
            </w:r>
          </w:p>
        </w:tc>
        <w:tc>
          <w:tcPr>
            <w:tcW w:w="450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526,352</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153,425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increase / (decrease) in cash and cash equivalents</w:t>
            </w:r>
          </w:p>
        </w:tc>
        <w:tc>
          <w:tcPr>
            <w:tcW w:w="450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(178,733)</w:t>
            </w:r>
          </w:p>
        </w:tc>
        <w:tc>
          <w:tcPr>
            <w:tcW w:w="1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59,611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at the beginning of the periods</w:t>
            </w:r>
          </w:p>
        </w:tc>
        <w:tc>
          <w:tcPr>
            <w:tcW w:w="450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476,270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144,729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Effect of movements in exchange rates on cash and cash equivalents held</w:t>
            </w:r>
          </w:p>
        </w:tc>
        <w:tc>
          <w:tcPr>
            <w:tcW w:w="450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2,255</w:t>
            </w:r>
          </w:p>
        </w:tc>
        <w:tc>
          <w:tcPr>
            <w:tcW w:w="100" w:type="dxa"/>
            <w:vAlign w:val="bottom"/>
          </w:tcPr>
          <w:p>
            <w:pPr>
              <w:spacing w:after="0"/>
              <w:rPr>
                <w:sz w:val="15"/>
                <w:szCs w:val="15"/>
                <w:color w:val="auto"/>
              </w:rPr>
            </w:pPr>
          </w:p>
        </w:tc>
        <w:tc>
          <w:tcPr>
            <w:tcW w:w="10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at the end of the periods</w:t>
            </w:r>
          </w:p>
        </w:tc>
        <w:tc>
          <w:tcPr>
            <w:tcW w:w="450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299,792</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203,882</w:t>
            </w:r>
          </w:p>
        </w:tc>
        <w:tc>
          <w:tcPr>
            <w:tcW w:w="0" w:type="dxa"/>
            <w:vAlign w:val="bottom"/>
          </w:tcPr>
          <w:p>
            <w:pPr>
              <w:spacing w:after="0"/>
              <w:rPr>
                <w:sz w:val="1"/>
                <w:szCs w:val="1"/>
                <w:color w:val="auto"/>
              </w:rPr>
            </w:pPr>
          </w:p>
        </w:tc>
      </w:tr>
      <w:tr>
        <w:trPr>
          <w:trHeight w:val="556"/>
        </w:trPr>
        <w:tc>
          <w:tcPr>
            <w:tcW w:w="2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2742"/>
              <w:spacing w:after="0"/>
              <w:rPr>
                <w:sz w:val="20"/>
                <w:szCs w:val="20"/>
                <w:color w:val="auto"/>
              </w:rPr>
            </w:pPr>
            <w:r>
              <w:rPr>
                <w:rFonts w:ascii="Times New Roman" w:cs="Times New Roman" w:eastAsia="Times New Roman" w:hAnsi="Times New Roman"/>
                <w:sz w:val="16"/>
                <w:szCs w:val="16"/>
                <w:color w:val="auto"/>
              </w:rPr>
              <w:t>9</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78" w:lineRule="exact"/>
        <w:rPr>
          <w:sz w:val="20"/>
          <w:szCs w:val="20"/>
          <w:color w:val="auto"/>
        </w:rPr>
      </w:pPr>
    </w:p>
    <w:p>
      <w:pPr>
        <w:jc w:val="both"/>
        <w:ind w:firstLine="288"/>
        <w:spacing w:after="0" w:line="276" w:lineRule="auto"/>
        <w:rPr>
          <w:sz w:val="20"/>
          <w:szCs w:val="20"/>
          <w:color w:val="auto"/>
        </w:rPr>
      </w:pPr>
      <w:r>
        <w:rPr>
          <w:rFonts w:ascii="Times New Roman" w:cs="Times New Roman" w:eastAsia="Times New Roman" w:hAnsi="Times New Roman"/>
          <w:sz w:val="14"/>
          <w:szCs w:val="14"/>
          <w:color w:val="auto"/>
        </w:rPr>
        <w:t>Net cash used in operating activities was US$618.9 million for the six months ended June 30, 2025. The difference between our net profit of US$261.7 million and the net cash used in operating activities was primarily attributable to (i) adjustments for revenues recognized on acceptance of cryptocurrencies of US$191.1 million, (ii) changes in prepayments and other assets of US $101.6 million primarily associated with the advanced payments to inventories procurement for our SEALMINERs mass volume production and the R&amp;D expenditures for ASIC chips, (iii) changes in inventories of US$ 290.7 million related to our manufacturing of SEALMINER, and (iv) an adjustment for the gain on change in the fair value of US$415.9 million for derivative liabilities relating to convertible senior notes and Tether warrant, partially offset by (i) an adjustment for depreciation and amortization of US$51.8 million primarily relating to the depreciation of mining rigs used in our principal business operations, property, plant and equipment used in connection with our mining datacenters and intangible assets during this period, (ii) an adjustment for share-based payment expenses of US$20.6 million for the issuance of options pursuant to our share incentive plans, (iii) an adjustment for the loss on extinguishment of the convertible notes of US$16.2 million, and (iv) changes in trade payables of US$30.8 million primarily associated with our production supply chain.</w:t>
      </w:r>
    </w:p>
    <w:p>
      <w:pPr>
        <w:spacing w:after="0" w:line="319" w:lineRule="exact"/>
        <w:rPr>
          <w:sz w:val="20"/>
          <w:szCs w:val="20"/>
          <w:color w:val="auto"/>
        </w:rPr>
      </w:pPr>
    </w:p>
    <w:p>
      <w:pPr>
        <w:jc w:val="both"/>
        <w:ind w:firstLine="288"/>
        <w:spacing w:after="0" w:line="239" w:lineRule="auto"/>
        <w:rPr>
          <w:sz w:val="20"/>
          <w:szCs w:val="20"/>
          <w:color w:val="auto"/>
        </w:rPr>
      </w:pPr>
      <w:r>
        <w:rPr>
          <w:rFonts w:ascii="Times New Roman" w:cs="Times New Roman" w:eastAsia="Times New Roman" w:hAnsi="Times New Roman"/>
          <w:sz w:val="16"/>
          <w:szCs w:val="16"/>
          <w:color w:val="auto"/>
        </w:rPr>
        <w:t>Net cash used in operating activities was US$206.3 million for the six months ended June 30, 2024. The difference between our net loss of US$17.1 million and the net cash used in operating activities was primarily attributable to (i) adjustments for revenues recognized on acceptance of cryptocurrencies of US$201.0 million, (ii) changes in prepayments and other assets of US$38.1 million primarily associated with prepayments made to suppliers, and (iii) changes in other payables and accruals of US$9.1 million associated with operating expenses, partially offset by (i) an adjustment for depreciation and amortization of US$36.5 million primarily relating to the depreciation of mining rigs used in our principal business operations and property, plant and equipment used in connection with our mining datacenters during this period, (ii) an adjustment for share-based payment expenses of US$15.9 million for the issuance of options pursuant to our share incentive plans, and (iii) an adjustment for change in the fair value of US$14.2 million for Tether warrant.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78"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Net cash used in investing activities was US$86.2 million for the six months ended June 30, 2025, which was primarily attributable to (i) purchase of property, plant and equipment, investment properties and intangible assets of US $151.3 million, (ii) cash paid for the site and gas-fired power project in Alberta, Canada of US$21.9 million, and (iii) purchase of cryptocurrencies of US$18.2 million, partially offset by proceeds from disposal of cryptocurrencies of US$112.4 million.</w:t>
      </w:r>
    </w:p>
    <w:p>
      <w:pPr>
        <w:spacing w:after="0" w:line="152" w:lineRule="exact"/>
        <w:rPr>
          <w:sz w:val="20"/>
          <w:szCs w:val="20"/>
          <w:color w:val="auto"/>
        </w:rPr>
      </w:pPr>
    </w:p>
    <w:p>
      <w:pPr>
        <w:jc w:val="both"/>
        <w:ind w:right="20" w:firstLine="288"/>
        <w:spacing w:after="0" w:line="247" w:lineRule="auto"/>
        <w:rPr>
          <w:sz w:val="20"/>
          <w:szCs w:val="20"/>
          <w:color w:val="auto"/>
        </w:rPr>
      </w:pPr>
      <w:r>
        <w:rPr>
          <w:rFonts w:ascii="Times New Roman" w:cs="Times New Roman" w:eastAsia="Times New Roman" w:hAnsi="Times New Roman"/>
          <w:sz w:val="16"/>
          <w:szCs w:val="16"/>
          <w:color w:val="auto"/>
        </w:rPr>
        <w:t>Net cash generated from investing activities was US$112.5 million for the six months ended June 30, 2024, which was primarily attributable to proceeds from disposal of cryptocurrencies of US$169.7 million, partially offset by (i) purchase of property, plant and equipment, investment properties and intangible assets of US$46.9 million and (ii) cash paid for the Norway Acquisition, net of cash acquired, of US$6.3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78" w:lineRule="exact"/>
        <w:rPr>
          <w:sz w:val="20"/>
          <w:szCs w:val="20"/>
          <w:color w:val="auto"/>
        </w:rPr>
      </w:pPr>
    </w:p>
    <w:p>
      <w:pPr>
        <w:jc w:val="both"/>
        <w:ind w:right="20" w:firstLine="288"/>
        <w:spacing w:after="0" w:line="241" w:lineRule="auto"/>
        <w:rPr>
          <w:sz w:val="20"/>
          <w:szCs w:val="20"/>
          <w:color w:val="auto"/>
        </w:rPr>
      </w:pPr>
      <w:r>
        <w:rPr>
          <w:rFonts w:ascii="Times New Roman" w:cs="Times New Roman" w:eastAsia="Times New Roman" w:hAnsi="Times New Roman"/>
          <w:sz w:val="16"/>
          <w:szCs w:val="16"/>
          <w:color w:val="auto"/>
        </w:rPr>
        <w:t>Net cash generated from financing activities was US$526.4 million for the six months ended June 30, 2025, which was primarily attributable to (i) proceeds from convertible senior notes, net of transaction costs, of US$363.2 million, (ii) borrowings from a related party of US$180.0 million, (iii) proceeds from issuance of Class A ordinary shares, net of transaction, of US$118.4 million, and (iv) proceeds from issuance of Class A ordinary shares for exercise of Tether warrant of US$50.0 million, partially offset by the purchase of zero-strike call option of US$129.6 million and payment in connection with the extinguishment of a portion of the convertible senior notes issued in August 2024 of US$33.8 million.</w:t>
      </w:r>
    </w:p>
    <w:p>
      <w:pPr>
        <w:spacing w:after="0" w:line="157" w:lineRule="exact"/>
        <w:rPr>
          <w:sz w:val="20"/>
          <w:szCs w:val="20"/>
          <w:color w:val="auto"/>
        </w:rPr>
      </w:pPr>
    </w:p>
    <w:p>
      <w:pPr>
        <w:jc w:val="both"/>
        <w:ind w:right="20" w:firstLine="288"/>
        <w:spacing w:after="0" w:line="241" w:lineRule="auto"/>
        <w:rPr>
          <w:sz w:val="20"/>
          <w:szCs w:val="20"/>
          <w:color w:val="auto"/>
        </w:rPr>
      </w:pPr>
      <w:r>
        <w:rPr>
          <w:rFonts w:ascii="Times New Roman" w:cs="Times New Roman" w:eastAsia="Times New Roman" w:hAnsi="Times New Roman"/>
          <w:sz w:val="16"/>
          <w:szCs w:val="16"/>
          <w:color w:val="auto"/>
        </w:rPr>
        <w:t>Net cash generated from financing activities was US$ 153.4 million for the six months ended June 30, 2024, which was primarily attributable to (i) the US$ 98.5 million in net proceeds from the Private Placement with Tether, after deducting the underwriters’ discounts and commissions and relevant offering expenses, (ii) proceeds from issuance of ordinary shares under the Equity Financing Purchase Agreement, net of transaction costs, of approximately US$51.6 million, and (iii) proceeds from issuance of ordinary shares under the 2024 At Market Issuance Sales Agreement, net of transaction costs, of approximately US$5.6 million, offset by the capital element of lease rentals paid of US$2.6 million.</w:t>
      </w:r>
    </w:p>
    <w:p>
      <w:pPr>
        <w:sectPr>
          <w:pgSz w:w="11900" w:h="16840" w:orient="portrait"/>
          <w:cols w:equalWidth="0" w:num="1">
            <w:col w:w="10580"/>
          </w:cols>
          <w:pgMar w:left="660" w:top="557" w:right="660" w:bottom="307"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5715</wp:posOffset>
            </wp:positionV>
            <wp:extent cx="670750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6" w:name="page37"/>
    <w:bookmarkEnd w:id="3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04"/>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decimal"/>
      <w:start w:val="3"/>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4"/>
    </w:lvl>
  </w:abstractNum>
  <w:abstractNum w:abstractNumId="7">
    <w:nsid w:val="4516DDE9"/>
    <w:multiLevelType w:val="hybridMultilevel"/>
    <w:lvl w:ilvl="0">
      <w:lvlJc w:val="left"/>
      <w:lvlText w:val="%1."/>
      <w:numFmt w:val="decimal"/>
      <w:start w:val="5"/>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6"/>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2"/>
    </w:lvl>
  </w:abstractNum>
  <w:abstractNum w:abstractNumId="12">
    <w:nsid w:val="440BADFC"/>
    <w:multiLevelType w:val="hybridMultilevel"/>
    <w:lvl w:ilvl="0">
      <w:lvlJc w:val="left"/>
      <w:lvlText w:val="(%1)"/>
      <w:numFmt w:val="decimal"/>
      <w:start w:val="4"/>
    </w:lvl>
  </w:abstractNum>
  <w:abstractNum w:abstractNumId="13">
    <w:nsid w:val="5072367"/>
    <w:multiLevelType w:val="hybridMultilevel"/>
    <w:lvl w:ilvl="0">
      <w:lvlJc w:val="left"/>
      <w:lvlText w:val="%1."/>
      <w:numFmt w:val="decimal"/>
      <w:start w:val="7"/>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8"/>
    </w:lvl>
  </w:abstractNum>
  <w:abstractNum w:abstractNumId="16">
    <w:nsid w:val="7724C67E"/>
    <w:multiLevelType w:val="hybridMultilevel"/>
    <w:lvl w:ilvl="0">
      <w:lvlJc w:val="left"/>
      <w:lvlText w:val="%1."/>
      <w:numFmt w:val="decimal"/>
      <w:start w:val="9"/>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1"/>
      <w:numFmt w:val="decimal"/>
      <w:start w:val="1"/>
    </w:lvl>
    <w:lvl w:ilvl="1">
      <w:lvlJc w:val="left"/>
      <w:lvlText w:val="(%2)"/>
      <w:numFmt w:val="lowerLetter"/>
      <w:start w:val="2"/>
    </w:lvl>
  </w:abstractNum>
  <w:abstractNum w:abstractNumId="19">
    <w:nsid w:val="5E884ADC"/>
    <w:multiLevelType w:val="hybridMultilevel"/>
    <w:lvl w:ilvl="0">
      <w:lvlJc w:val="left"/>
      <w:lvlText w:val="%1."/>
      <w:numFmt w:val="decimal"/>
      <w:start w:val="10"/>
    </w:lvl>
    <w:lvl w:ilvl="1">
      <w:lvlJc w:val="left"/>
      <w:lvlText w:val="%2"/>
      <w:numFmt w:val="lowerLetter"/>
      <w:start w:val="1"/>
    </w:lvl>
  </w:abstractNum>
  <w:abstractNum w:abstractNumId="20">
    <w:nsid w:val="51EAD36B"/>
    <w:multiLevelType w:val="hybridMultilevel"/>
    <w:lvl w:ilvl="0">
      <w:lvlJc w:val="left"/>
      <w:lvlText w:val="%1."/>
      <w:numFmt w:val="decimal"/>
      <w:start w:val="1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2"/>
    </w:lvl>
  </w:abstractNum>
  <w:abstractNum w:abstractNumId="23">
    <w:nsid w:val="153EA438"/>
    <w:multiLevelType w:val="hybridMultilevel"/>
    <w:lvl w:ilvl="0">
      <w:lvlJc w:val="left"/>
      <w:lvlText w:val="%1."/>
      <w:numFmt w:val="decimal"/>
      <w:start w:val="13"/>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5"/>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6"/>
    </w:lvl>
  </w:abstractNum>
  <w:abstractNum w:abstractNumId="28">
    <w:nsid w:val="1D4ED43B"/>
    <w:multiLevelType w:val="hybridMultilevel"/>
    <w:lvl w:ilvl="0">
      <w:lvlJc w:val="left"/>
      <w:lvlText w:val="%1."/>
      <w:numFmt w:val="decimal"/>
      <w:start w:val="17"/>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lowerLetter"/>
      <w:start w:val="2"/>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lowerLetter"/>
      <w:start w:val="3"/>
    </w:lvl>
  </w:abstractNum>
  <w:abstractNum w:abstractNumId="34">
    <w:nsid w:val="542289EC"/>
    <w:multiLevelType w:val="hybridMultilevel"/>
    <w:lvl w:ilvl="0">
      <w:lvlJc w:val="left"/>
      <w:lvlText w:val="%1."/>
      <w:numFmt w:val="decimal"/>
      <w:start w:val="20"/>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1)"/>
      <w:numFmt w:val="lowerLetter"/>
      <w:start w:val="2"/>
    </w:lvl>
  </w:abstractNum>
  <w:abstractNum w:abstractNumId="38">
    <w:nsid w:val="32FFF902"/>
    <w:multiLevelType w:val="hybridMultilevel"/>
    <w:lvl w:ilvl="0">
      <w:lvlJc w:val="left"/>
      <w:lvlText w:val="(%1)"/>
      <w:numFmt w:val="lowerLetter"/>
      <w:start w:val="3"/>
    </w:lvl>
  </w:abstractNum>
  <w:abstractNum w:abstractNumId="39">
    <w:nsid w:val="684A481A"/>
    <w:multiLevelType w:val="hybridMultilevel"/>
    <w:lvl w:ilvl="0">
      <w:lvlJc w:val="left"/>
      <w:lvlText w:val="(%1)"/>
      <w:numFmt w:val="lowerLetter"/>
      <w:start w:val="4"/>
    </w:lvl>
  </w:abstractNum>
  <w:abstractNum w:abstractNumId="40">
    <w:nsid w:val="579478FE"/>
    <w:multiLevelType w:val="hybridMultilevel"/>
    <w:lvl w:ilvl="0">
      <w:lvlJc w:val="left"/>
      <w:lvlText w:val="%1."/>
      <w:numFmt w:val="decimal"/>
      <w:start w:val="2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87"/>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23"/>
    </w:lvl>
    <w:lvl w:ilvl="1">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lowerRoman"/>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8" Type="http://schemas.openxmlformats.org/officeDocument/2006/relationships/hyperlink" Target="http://www.sec.gov/Archives/edgar/data/1899123/000114036124021346/ny20023745x7_posam.htm" TargetMode="External"/><Relationship Id="rId19" Type="http://schemas.openxmlformats.org/officeDocument/2006/relationships/hyperlink" Target="http://www.sec.gov/Archives/edgar/data/1899123/000114036124013887/ny20023745x1_f3.htm" TargetMode="External"/><Relationship Id="rId20" Type="http://schemas.openxmlformats.org/officeDocument/2006/relationships/hyperlink" Target="http://www.sec.gov/Archives/edgar/data/1899123/000114036124013888/ny20023745x3_f3.htm" TargetMode="External"/><Relationship Id="rId21" Type="http://schemas.openxmlformats.org/officeDocument/2006/relationships/hyperlink" Target="http://www.sec.gov/Archives/edgar/data/1899123/000114036124029276/ny20030771x1_f3.htm" TargetMode="External"/><Relationship Id="rId22" Type="http://schemas.openxmlformats.org/officeDocument/2006/relationships/hyperlink" Target="http://www.sec.gov/Archives/edgar/data/1899123/000114036124049031/ny20039746x1_f3.htm" TargetMode="External"/><Relationship Id="rId23" Type="http://schemas.openxmlformats.org/officeDocument/2006/relationships/hyperlink" Target="http://www.sec.gov/Archives/edgar/data/1899123/000121390025080525/ea0254524-f3_bitdeer.htm" TargetMode="External"/><Relationship Id="rId24" Type="http://schemas.openxmlformats.org/officeDocument/2006/relationships/hyperlink" Target="http://www.sec.gov/Archives/edgar/data/1899123/000114036123031108/brhc20054618_s8.htm" TargetMode="External"/><Relationship Id="rId25"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2025-09-30T10:28:51Z</dcterms:created>
  <dcterms:modified xsi:type="dcterms:W3CDTF">2025-09-30T10:28:51Z</dcterms:modified>
</cp:coreProperties>
</file>