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ea030073702-424b5_bitdeer.htm"/>
      <w:bookmarkStart w:id="1" w:name="ksea030073702424b5_bitdeer"/>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333-298172</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August 10, 2026</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August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004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6191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US$1,000,000,000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 Market Issuance Sales Agreement (the “Original Sales Agreement”) with Barclays Capital Inc. (“Barclays”), Cantor Fitzgerald &amp; Co. (“Cantor”), A.G.P./Alliance Global Partners (“AGP”), Benchmark, StoneX Company (“Benchmark”), B. Riley Securities, Inc. (“B. Riley Securities”), BTIG, LLC (“BTIG”), Keefe, Bruyette &amp; Woods, Inc. (“KBW”), Needham &amp; Company, LLC (“Needham”), Northland Securities, Inc. (“Northland”), Rosenblatt Securities Inc. (“Rosenblatt”), Roth Capital Partners, LLC (“Roth”) and StockBlock Securities LLC (“StockBlock,” and each of Barclays, Cantor, AGP, Benchmark, B. Riley Securities, BTIG, KBW, Needham, Northland, Rosenblatt, Roth and StockBlock, a “Sales Agent” and collectively, the “Sales Agents”), dated January 3, 2025, relating to the sale of our Class A ordinary shares, with a par value of US$0.0000001 each (the “Class A ordinary shares”), offered by this prospectus supplement and the accompanying prospectus (such sales agreement, the “Sales Agreement”). In accordance with the terms of the Sales Agreement, under this prospectus supplement, we may offer and sell our ordinary shares having an aggregate offering price of up to US$1,000,000,000 from time to time through or to the Sales Agents, as agent or principal.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ordinary shares, if any, under this prospectus supplement and the accompanying prospectus may be made in negotiated transactions, including block trades, or transactions that are deemed to be “at the market” offerings as defined in Rule 415 under the Securities Act of 1933, as amended (the “Securities Act”), including sales made by means of ordinary brokers’ transactions, including directly on The Nasdaq Capital Market or sales made to or through a market maker other than on an exchange at prevailing market prices, at prices related to prevailing market prices or at negotiated prices or by any other method permitted by law. Subject to the terms of the Sales Agreement, the Sales Agents are not required to sell any specific amount, but will act as our Sales Agents using commercially reasonable efforts consistent with their normal trading and sales practices. There is no arrangement for funds to be received in an escrow, trust or similar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designated Sales Agent will be entitled to compensation at a commission rate of up to 3.0% of the gross sales price of any Class A ordinary shares sold under the Sales Agreement. In connection with the sale of Class A ordinary shares on our behalf, each Sales Agent will be deemed to be an “underwriter” within the meaning of the Securities Act and the compensation of the Sales Agents will be deemed to be underwriting commissions or discounts. We have also agreed to provide indemnification and contribution to the Sales Agents with respect to certain liabilities, including civil liabilities under the Securities Act. See “Plan of Distribution” beginning on page S-8 for additional information regarding the compensation to be paid to the Sales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The Nasdaq Capital Market (“Nasdaq”) under the symbol “BTDR.” On August 7, 2026, the last reported sales price of our Class A ordinary shares was US$10.88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“Risk Factors” section beginning on page S-4 of this prospectus supplement and any risk factors in our Securities and Exchange Commission (“SEC”) filings that are incorporated by reference in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None of the U.S. Securities and Exchange Commission or any state securities commission has approved or disapproved of the securities or determined if this prospectus supplement or the accompanying prospectus is accurate or adequate. Any representation to the contrary is a criminal offense.</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8"/>
        <w:gridCol w:w="60"/>
        <w:gridCol w:w="2351"/>
        <w:gridCol w:w="140"/>
        <w:gridCol w:w="1472"/>
        <w:gridCol w:w="140"/>
        <w:gridCol w:w="1717"/>
        <w:gridCol w:w="140"/>
        <w:gridCol w:w="2397"/>
      </w:tblGrid>
      <w:tr>
        <w:trPr/>
        <w:tc>
          <w:tcPr>
            <w:tcW w:w="4199" w:type="dxa"/>
            <w:gridSpan w:val="3"/>
            <w:tcBorders/>
            <w:vAlign w:val="center"/>
          </w:tcPr>
          <w:p>
            <w:pPr>
              <w:pStyle w:val="TableContents"/>
              <w:bidi w:val="0"/>
              <w:spacing w:before="0" w:after="283"/>
              <w:jc w:val="center"/>
              <w:rPr>
                <w:b/>
                <w:sz w:val="24"/>
              </w:rPr>
            </w:pPr>
            <w:r>
              <w:rPr>
                <w:b/>
                <w:sz w:val="24"/>
              </w:rPr>
              <w:t>Barclays</w:t>
            </w:r>
          </w:p>
        </w:tc>
        <w:tc>
          <w:tcPr>
            <w:tcW w:w="140" w:type="dxa"/>
            <w:tcBorders/>
            <w:vAlign w:val="center"/>
          </w:tcPr>
          <w:p>
            <w:pPr>
              <w:pStyle w:val="TableContents"/>
              <w:bidi w:val="0"/>
              <w:spacing w:before="0" w:after="283"/>
              <w:jc w:val="center"/>
              <w:rPr/>
            </w:pPr>
            <w:r>
              <w:rPr/>
              <w:t> </w:t>
            </w:r>
          </w:p>
        </w:tc>
        <w:tc>
          <w:tcPr>
            <w:tcW w:w="1472"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4254" w:type="dxa"/>
            <w:gridSpan w:val="3"/>
            <w:tcBorders/>
            <w:vAlign w:val="center"/>
          </w:tcPr>
          <w:p>
            <w:pPr>
              <w:pStyle w:val="TableContents"/>
              <w:bidi w:val="0"/>
              <w:spacing w:before="0" w:after="283"/>
              <w:jc w:val="center"/>
              <w:rPr>
                <w:b/>
                <w:sz w:val="24"/>
              </w:rPr>
            </w:pPr>
            <w:r>
              <w:rPr>
                <w:b/>
                <w:sz w:val="24"/>
              </w:rPr>
              <w:t>Cantor</w:t>
            </w:r>
          </w:p>
        </w:tc>
      </w:tr>
      <w:tr>
        <w:trPr/>
        <w:tc>
          <w:tcPr>
            <w:tcW w:w="1788" w:type="dxa"/>
            <w:tcBorders/>
            <w:vAlign w:val="center"/>
          </w:tcPr>
          <w:p>
            <w:pPr>
              <w:pStyle w:val="TableContents"/>
              <w:bidi w:val="0"/>
              <w:spacing w:before="0" w:after="283"/>
              <w:jc w:val="center"/>
              <w:rPr>
                <w:b/>
                <w:sz w:val="20"/>
              </w:rPr>
            </w:pPr>
            <w:r>
              <w:rPr>
                <w:b/>
                <w:sz w:val="20"/>
              </w:rPr>
              <w:t>A.G.P.</w:t>
            </w:r>
          </w:p>
        </w:tc>
        <w:tc>
          <w:tcPr>
            <w:tcW w:w="60"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center"/>
              <w:rPr>
                <w:b/>
                <w:sz w:val="20"/>
              </w:rPr>
            </w:pPr>
            <w:r>
              <w:rPr>
                <w:b/>
                <w:sz w:val="20"/>
              </w:rPr>
              <w:t>Benchmark, StoneX Company</w:t>
            </w:r>
          </w:p>
        </w:tc>
        <w:tc>
          <w:tcPr>
            <w:tcW w:w="140" w:type="dxa"/>
            <w:tcBorders/>
            <w:vAlign w:val="center"/>
          </w:tcPr>
          <w:p>
            <w:pPr>
              <w:pStyle w:val="TableContents"/>
              <w:bidi w:val="0"/>
              <w:spacing w:before="0" w:after="283"/>
              <w:jc w:val="center"/>
              <w:rPr/>
            </w:pPr>
            <w:r>
              <w:rPr/>
              <w:t> </w:t>
            </w:r>
          </w:p>
        </w:tc>
        <w:tc>
          <w:tcPr>
            <w:tcW w:w="1472" w:type="dxa"/>
            <w:tcBorders/>
            <w:vAlign w:val="center"/>
          </w:tcPr>
          <w:p>
            <w:pPr>
              <w:pStyle w:val="TableContents"/>
              <w:bidi w:val="0"/>
              <w:spacing w:before="0" w:after="283"/>
              <w:jc w:val="center"/>
              <w:rPr>
                <w:b/>
                <w:sz w:val="20"/>
              </w:rPr>
            </w:pPr>
            <w:r>
              <w:rPr>
                <w:b/>
                <w:sz w:val="20"/>
              </w:rPr>
              <w:t>B. Riley Securities</w:t>
            </w:r>
          </w:p>
        </w:tc>
        <w:tc>
          <w:tcPr>
            <w:tcW w:w="140" w:type="dxa"/>
            <w:tcBorders/>
            <w:vAlign w:val="center"/>
          </w:tcPr>
          <w:p>
            <w:pPr>
              <w:pStyle w:val="TableContents"/>
              <w:bidi w:val="0"/>
              <w:spacing w:before="0" w:after="283"/>
              <w:jc w:val="center"/>
              <w:rPr/>
            </w:pPr>
            <w:r>
              <w:rPr/>
              <w:t> </w:t>
            </w:r>
          </w:p>
        </w:tc>
        <w:tc>
          <w:tcPr>
            <w:tcW w:w="1717" w:type="dxa"/>
            <w:tcBorders/>
            <w:vAlign w:val="center"/>
          </w:tcPr>
          <w:p>
            <w:pPr>
              <w:pStyle w:val="TableContents"/>
              <w:bidi w:val="0"/>
              <w:spacing w:before="0" w:after="283"/>
              <w:jc w:val="center"/>
              <w:rPr>
                <w:b/>
                <w:sz w:val="20"/>
              </w:rPr>
            </w:pPr>
            <w:r>
              <w:rPr>
                <w:b/>
                <w:sz w:val="20"/>
              </w:rPr>
              <w:t>BTIG</w:t>
            </w:r>
          </w:p>
        </w:tc>
        <w:tc>
          <w:tcPr>
            <w:tcW w:w="140" w:type="dxa"/>
            <w:tcBorders/>
            <w:vAlign w:val="center"/>
          </w:tcPr>
          <w:p>
            <w:pPr>
              <w:pStyle w:val="TableContents"/>
              <w:bidi w:val="0"/>
              <w:spacing w:before="0" w:after="283"/>
              <w:jc w:val="center"/>
              <w:rPr/>
            </w:pPr>
            <w:r>
              <w:rPr/>
              <w:t> </w:t>
            </w:r>
          </w:p>
        </w:tc>
        <w:tc>
          <w:tcPr>
            <w:tcW w:w="2397" w:type="dxa"/>
            <w:tcBorders/>
            <w:vAlign w:val="center"/>
          </w:tcPr>
          <w:p>
            <w:pPr>
              <w:pStyle w:val="TableContents"/>
              <w:bidi w:val="0"/>
              <w:jc w:val="center"/>
              <w:rPr>
                <w:b/>
              </w:rPr>
            </w:pPr>
            <w:r>
              <w:rPr>
                <w:b/>
              </w:rPr>
              <w:t>Keefe, Bruyette &amp; Woods</w:t>
            </w:r>
          </w:p>
          <w:p>
            <w:pPr>
              <w:pStyle w:val="TableContents"/>
              <w:bidi w:val="0"/>
              <w:spacing w:before="0" w:after="283"/>
              <w:jc w:val="right"/>
              <w:rPr/>
            </w:pPr>
            <w:r>
              <w:rPr/>
              <w:t> </w:t>
            </w:r>
            <w:r>
              <w:rPr>
                <w:i/>
              </w:rPr>
              <w:t xml:space="preserve">A Stifel Company </w:t>
            </w:r>
          </w:p>
        </w:tc>
      </w:tr>
      <w:tr>
        <w:trPr/>
        <w:tc>
          <w:tcPr>
            <w:tcW w:w="17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1472"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1717"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2397" w:type="dxa"/>
            <w:tcBorders/>
            <w:vAlign w:val="center"/>
          </w:tcPr>
          <w:p>
            <w:pPr>
              <w:pStyle w:val="TableContents"/>
              <w:bidi w:val="0"/>
              <w:spacing w:before="0" w:after="283"/>
              <w:jc w:val="center"/>
              <w:rPr/>
            </w:pPr>
            <w:r>
              <w:rPr/>
              <w:t> </w:t>
            </w:r>
          </w:p>
        </w:tc>
      </w:tr>
      <w:tr>
        <w:trPr/>
        <w:tc>
          <w:tcPr>
            <w:tcW w:w="1788" w:type="dxa"/>
            <w:tcBorders/>
            <w:vAlign w:val="center"/>
          </w:tcPr>
          <w:p>
            <w:pPr>
              <w:pStyle w:val="TableContents"/>
              <w:bidi w:val="0"/>
              <w:spacing w:before="0" w:after="283"/>
              <w:jc w:val="center"/>
              <w:rPr>
                <w:b/>
                <w:sz w:val="20"/>
              </w:rPr>
            </w:pPr>
            <w:r>
              <w:rPr>
                <w:b/>
                <w:sz w:val="20"/>
              </w:rPr>
              <w:t>Needham &amp; Company</w:t>
            </w:r>
          </w:p>
        </w:tc>
        <w:tc>
          <w:tcPr>
            <w:tcW w:w="60"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center"/>
              <w:rPr>
                <w:b/>
                <w:sz w:val="20"/>
              </w:rPr>
            </w:pPr>
            <w:r>
              <w:rPr>
                <w:b/>
                <w:sz w:val="20"/>
              </w:rPr>
              <w:t>Northland Capital Markets</w:t>
            </w:r>
          </w:p>
        </w:tc>
        <w:tc>
          <w:tcPr>
            <w:tcW w:w="140" w:type="dxa"/>
            <w:tcBorders/>
            <w:vAlign w:val="center"/>
          </w:tcPr>
          <w:p>
            <w:pPr>
              <w:pStyle w:val="TableContents"/>
              <w:bidi w:val="0"/>
              <w:spacing w:before="0" w:after="283"/>
              <w:jc w:val="center"/>
              <w:rPr/>
            </w:pPr>
            <w:r>
              <w:rPr/>
              <w:t> </w:t>
            </w:r>
          </w:p>
        </w:tc>
        <w:tc>
          <w:tcPr>
            <w:tcW w:w="1472" w:type="dxa"/>
            <w:tcBorders/>
            <w:vAlign w:val="center"/>
          </w:tcPr>
          <w:p>
            <w:pPr>
              <w:pStyle w:val="TableContents"/>
              <w:bidi w:val="0"/>
              <w:spacing w:before="0" w:after="283"/>
              <w:jc w:val="center"/>
              <w:rPr>
                <w:b/>
                <w:sz w:val="20"/>
              </w:rPr>
            </w:pPr>
            <w:r>
              <w:rPr>
                <w:b/>
                <w:sz w:val="20"/>
              </w:rPr>
              <w:t>Rosenblatt</w:t>
            </w:r>
          </w:p>
        </w:tc>
        <w:tc>
          <w:tcPr>
            <w:tcW w:w="140" w:type="dxa"/>
            <w:tcBorders/>
            <w:vAlign w:val="center"/>
          </w:tcPr>
          <w:p>
            <w:pPr>
              <w:pStyle w:val="TableContents"/>
              <w:bidi w:val="0"/>
              <w:spacing w:before="0" w:after="283"/>
              <w:jc w:val="center"/>
              <w:rPr/>
            </w:pPr>
            <w:r>
              <w:rPr/>
              <w:t> </w:t>
            </w:r>
          </w:p>
        </w:tc>
        <w:tc>
          <w:tcPr>
            <w:tcW w:w="1717" w:type="dxa"/>
            <w:tcBorders/>
            <w:vAlign w:val="center"/>
          </w:tcPr>
          <w:p>
            <w:pPr>
              <w:pStyle w:val="TableContents"/>
              <w:bidi w:val="0"/>
              <w:spacing w:before="0" w:after="283"/>
              <w:jc w:val="center"/>
              <w:rPr>
                <w:b/>
                <w:sz w:val="20"/>
              </w:rPr>
            </w:pPr>
            <w:r>
              <w:rPr>
                <w:b/>
                <w:sz w:val="20"/>
              </w:rPr>
              <w:t>Roth Capital Partners</w:t>
            </w:r>
          </w:p>
        </w:tc>
        <w:tc>
          <w:tcPr>
            <w:tcW w:w="140" w:type="dxa"/>
            <w:tcBorders/>
            <w:vAlign w:val="center"/>
          </w:tcPr>
          <w:p>
            <w:pPr>
              <w:pStyle w:val="TableContents"/>
              <w:bidi w:val="0"/>
              <w:spacing w:before="0" w:after="283"/>
              <w:jc w:val="center"/>
              <w:rPr/>
            </w:pPr>
            <w:r>
              <w:rPr/>
              <w:t> </w:t>
            </w:r>
          </w:p>
        </w:tc>
        <w:tc>
          <w:tcPr>
            <w:tcW w:w="2397" w:type="dxa"/>
            <w:tcBorders/>
            <w:vAlign w:val="center"/>
          </w:tcPr>
          <w:p>
            <w:pPr>
              <w:pStyle w:val="TableContents"/>
              <w:bidi w:val="0"/>
              <w:spacing w:before="0" w:after="283"/>
              <w:jc w:val="center"/>
              <w:rPr>
                <w:b/>
                <w:sz w:val="20"/>
              </w:rPr>
            </w:pPr>
            <w:r>
              <w:rPr>
                <w:b/>
                <w:sz w:val="20"/>
              </w:rPr>
              <w:t>StockBlock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w:t>
      </w:r>
    </w:p>
    <w:p>
      <w:pPr>
        <w:pStyle w:val="TextBody"/>
        <w:bidi w:val="0"/>
        <w:spacing w:before="0" w:after="0"/>
        <w:ind w:left="0" w:right="0" w:hanging="0"/>
        <w:jc w:val="center"/>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6890"/>
        <w:gridCol w:w="140"/>
        <w:gridCol w:w="410"/>
      </w:tblGrid>
      <w:tr>
        <w:trPr/>
        <w:tc>
          <w:tcPr>
            <w:tcW w:w="6890" w:type="dxa"/>
            <w:tcBorders/>
            <w:shd w:fill="CCEEFF" w:val="clear"/>
            <w:vAlign w:val="center"/>
          </w:tcPr>
          <w:p>
            <w:pPr>
              <w:pStyle w:val="TableContents"/>
              <w:bidi w:val="0"/>
              <w:spacing w:before="0" w:after="283"/>
              <w:jc w:val="left"/>
              <w:rPr/>
            </w:pPr>
            <w:hyperlink w:anchor="s_001">
              <w:r>
                <w:rPr>
                  <w:rStyle w:val="InternetLink"/>
                  <w:sz w:val="20"/>
                </w:rPr>
                <w:t>ABOUT THIS PROSPECTUS SUPPLEMENT</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sz w:val="20"/>
              </w:rPr>
            </w:pPr>
            <w:r>
              <w:rPr>
                <w:sz w:val="20"/>
              </w:rPr>
              <w:t>S-ii</w:t>
            </w:r>
          </w:p>
        </w:tc>
      </w:tr>
      <w:tr>
        <w:trPr/>
        <w:tc>
          <w:tcPr>
            <w:tcW w:w="6890" w:type="dxa"/>
            <w:tcBorders/>
            <w:shd w:fill="FFFFFF" w:val="clear"/>
            <w:vAlign w:val="center"/>
          </w:tcPr>
          <w:p>
            <w:pPr>
              <w:pStyle w:val="TableContents"/>
              <w:bidi w:val="0"/>
              <w:spacing w:before="0" w:after="283"/>
              <w:jc w:val="left"/>
              <w:rPr/>
            </w:pPr>
            <w:hyperlink w:anchor="s_002">
              <w:r>
                <w:rPr>
                  <w:rStyle w:val="InternetLink"/>
                  <w:sz w:val="20"/>
                </w:rPr>
                <w:t>CAUTIONARY STATEMENT REGARDING FORWARD-LOOKING STATEMENTS</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sz w:val="20"/>
              </w:rPr>
            </w:pPr>
            <w:r>
              <w:rPr>
                <w:sz w:val="20"/>
              </w:rPr>
              <w:t>S-iv</w:t>
            </w:r>
          </w:p>
        </w:tc>
      </w:tr>
      <w:tr>
        <w:trPr/>
        <w:tc>
          <w:tcPr>
            <w:tcW w:w="6890" w:type="dxa"/>
            <w:tcBorders/>
            <w:shd w:fill="CCEEFF" w:val="clear"/>
            <w:vAlign w:val="center"/>
          </w:tcPr>
          <w:p>
            <w:pPr>
              <w:pStyle w:val="TableContents"/>
              <w:bidi w:val="0"/>
              <w:spacing w:before="0" w:after="283"/>
              <w:jc w:val="left"/>
              <w:rPr/>
            </w:pPr>
            <w:hyperlink w:anchor="s_003">
              <w:r>
                <w:rPr>
                  <w:rStyle w:val="InternetLink"/>
                  <w:sz w:val="20"/>
                </w:rPr>
                <w:t>SUMMARY OF THE PROSPECTUS SUPPLEMENT</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sz w:val="20"/>
              </w:rPr>
            </w:pPr>
            <w:r>
              <w:rPr>
                <w:sz w:val="20"/>
              </w:rPr>
              <w:t>S-1</w:t>
            </w:r>
          </w:p>
        </w:tc>
      </w:tr>
      <w:tr>
        <w:trPr/>
        <w:tc>
          <w:tcPr>
            <w:tcW w:w="6890" w:type="dxa"/>
            <w:tcBorders/>
            <w:shd w:fill="FFFFFF" w:val="clear"/>
            <w:vAlign w:val="center"/>
          </w:tcPr>
          <w:p>
            <w:pPr>
              <w:pStyle w:val="TableContents"/>
              <w:bidi w:val="0"/>
              <w:spacing w:before="0" w:after="283"/>
              <w:jc w:val="left"/>
              <w:rPr/>
            </w:pPr>
            <w:hyperlink w:anchor="s_004">
              <w:r>
                <w:rPr>
                  <w:rStyle w:val="InternetLink"/>
                  <w:sz w:val="20"/>
                </w:rPr>
                <w:t>THE OFFERING</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sz w:val="20"/>
              </w:rPr>
            </w:pPr>
            <w:r>
              <w:rPr>
                <w:sz w:val="20"/>
              </w:rPr>
              <w:t>S-3</w:t>
            </w:r>
          </w:p>
        </w:tc>
      </w:tr>
      <w:tr>
        <w:trPr/>
        <w:tc>
          <w:tcPr>
            <w:tcW w:w="6890" w:type="dxa"/>
            <w:tcBorders/>
            <w:shd w:fill="CCEEFF" w:val="clear"/>
            <w:vAlign w:val="center"/>
          </w:tcPr>
          <w:p>
            <w:pPr>
              <w:pStyle w:val="TableContents"/>
              <w:bidi w:val="0"/>
              <w:spacing w:before="0" w:after="283"/>
              <w:jc w:val="left"/>
              <w:rPr/>
            </w:pPr>
            <w:hyperlink w:anchor="s_005">
              <w:r>
                <w:rPr>
                  <w:rStyle w:val="InternetLink"/>
                  <w:sz w:val="20"/>
                </w:rPr>
                <w:t>RISK FACTORS</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sz w:val="20"/>
              </w:rPr>
            </w:pPr>
            <w:r>
              <w:rPr>
                <w:sz w:val="20"/>
              </w:rPr>
              <w:t>S-4</w:t>
            </w:r>
          </w:p>
        </w:tc>
      </w:tr>
      <w:tr>
        <w:trPr/>
        <w:tc>
          <w:tcPr>
            <w:tcW w:w="6890" w:type="dxa"/>
            <w:tcBorders/>
            <w:shd w:fill="FFFFFF" w:val="clear"/>
            <w:vAlign w:val="center"/>
          </w:tcPr>
          <w:p>
            <w:pPr>
              <w:pStyle w:val="TableContents"/>
              <w:bidi w:val="0"/>
              <w:spacing w:before="0" w:after="283"/>
              <w:jc w:val="left"/>
              <w:rPr/>
            </w:pPr>
            <w:hyperlink w:anchor="s_006">
              <w:r>
                <w:rPr>
                  <w:rStyle w:val="InternetLink"/>
                  <w:sz w:val="20"/>
                </w:rPr>
                <w:t>USE OF PROCEEDS</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sz w:val="20"/>
              </w:rPr>
            </w:pPr>
            <w:r>
              <w:rPr>
                <w:sz w:val="20"/>
              </w:rPr>
              <w:t>S-5</w:t>
            </w:r>
          </w:p>
        </w:tc>
      </w:tr>
      <w:tr>
        <w:trPr/>
        <w:tc>
          <w:tcPr>
            <w:tcW w:w="6890" w:type="dxa"/>
            <w:tcBorders/>
            <w:shd w:fill="CCEEFF" w:val="clear"/>
            <w:vAlign w:val="center"/>
          </w:tcPr>
          <w:p>
            <w:pPr>
              <w:pStyle w:val="TableContents"/>
              <w:bidi w:val="0"/>
              <w:spacing w:before="0" w:after="283"/>
              <w:jc w:val="left"/>
              <w:rPr/>
            </w:pPr>
            <w:hyperlink w:anchor="s_007">
              <w:r>
                <w:rPr>
                  <w:rStyle w:val="InternetLink"/>
                  <w:sz w:val="20"/>
                </w:rPr>
                <w:t>DIVIDEND POLICY</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sz w:val="20"/>
              </w:rPr>
            </w:pPr>
            <w:r>
              <w:rPr>
                <w:sz w:val="20"/>
              </w:rPr>
              <w:t>S-6</w:t>
            </w:r>
          </w:p>
        </w:tc>
      </w:tr>
      <w:tr>
        <w:trPr/>
        <w:tc>
          <w:tcPr>
            <w:tcW w:w="6890" w:type="dxa"/>
            <w:tcBorders/>
            <w:shd w:fill="FFFFFF" w:val="clear"/>
            <w:vAlign w:val="center"/>
          </w:tcPr>
          <w:p>
            <w:pPr>
              <w:pStyle w:val="TableContents"/>
              <w:bidi w:val="0"/>
              <w:spacing w:before="0" w:after="283"/>
              <w:jc w:val="left"/>
              <w:rPr/>
            </w:pPr>
            <w:hyperlink w:anchor="s_008">
              <w:r>
                <w:rPr>
                  <w:rStyle w:val="InternetLink"/>
                  <w:sz w:val="20"/>
                </w:rPr>
                <w:t>DILUTION</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sz w:val="20"/>
              </w:rPr>
            </w:pPr>
            <w:r>
              <w:rPr>
                <w:sz w:val="20"/>
              </w:rPr>
              <w:t>S-7</w:t>
            </w:r>
          </w:p>
        </w:tc>
      </w:tr>
      <w:tr>
        <w:trPr/>
        <w:tc>
          <w:tcPr>
            <w:tcW w:w="6890" w:type="dxa"/>
            <w:tcBorders/>
            <w:shd w:fill="CCEEFF" w:val="clear"/>
            <w:vAlign w:val="center"/>
          </w:tcPr>
          <w:p>
            <w:pPr>
              <w:pStyle w:val="TableContents"/>
              <w:bidi w:val="0"/>
              <w:spacing w:before="0" w:after="283"/>
              <w:jc w:val="left"/>
              <w:rPr/>
            </w:pPr>
            <w:hyperlink w:anchor="s_009">
              <w:r>
                <w:rPr>
                  <w:rStyle w:val="InternetLink"/>
                  <w:sz w:val="20"/>
                </w:rPr>
                <w:t>PLAN OF DISTRIBUTION</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sz w:val="20"/>
              </w:rPr>
            </w:pPr>
            <w:r>
              <w:rPr>
                <w:sz w:val="20"/>
              </w:rPr>
              <w:t>S-8</w:t>
            </w:r>
          </w:p>
        </w:tc>
      </w:tr>
      <w:tr>
        <w:trPr/>
        <w:tc>
          <w:tcPr>
            <w:tcW w:w="6890" w:type="dxa"/>
            <w:tcBorders/>
            <w:shd w:fill="FFFFFF" w:val="clear"/>
            <w:vAlign w:val="center"/>
          </w:tcPr>
          <w:p>
            <w:pPr>
              <w:pStyle w:val="TableContents"/>
              <w:bidi w:val="0"/>
              <w:spacing w:before="0" w:after="283"/>
              <w:jc w:val="left"/>
              <w:rPr/>
            </w:pPr>
            <w:hyperlink w:anchor="s_010">
              <w:r>
                <w:rPr>
                  <w:rStyle w:val="InternetLink"/>
                  <w:sz w:val="20"/>
                </w:rPr>
                <w:t>TAX CONSIDERATIONS</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sz w:val="20"/>
              </w:rPr>
            </w:pPr>
            <w:r>
              <w:rPr>
                <w:sz w:val="20"/>
              </w:rPr>
              <w:t>S-10</w:t>
            </w:r>
          </w:p>
        </w:tc>
      </w:tr>
      <w:tr>
        <w:trPr/>
        <w:tc>
          <w:tcPr>
            <w:tcW w:w="6890" w:type="dxa"/>
            <w:tcBorders/>
            <w:shd w:fill="CCEEFF" w:val="clear"/>
            <w:vAlign w:val="center"/>
          </w:tcPr>
          <w:p>
            <w:pPr>
              <w:pStyle w:val="TableContents"/>
              <w:bidi w:val="0"/>
              <w:spacing w:before="0" w:after="283"/>
              <w:jc w:val="left"/>
              <w:rPr/>
            </w:pPr>
            <w:hyperlink w:anchor="s_011">
              <w:r>
                <w:rPr>
                  <w:rStyle w:val="InternetLink"/>
                  <w:sz w:val="20"/>
                </w:rPr>
                <w:t>LEGAL MATTERS</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sz w:val="20"/>
              </w:rPr>
            </w:pPr>
            <w:r>
              <w:rPr>
                <w:sz w:val="20"/>
              </w:rPr>
              <w:t>S-16</w:t>
            </w:r>
          </w:p>
        </w:tc>
      </w:tr>
      <w:tr>
        <w:trPr/>
        <w:tc>
          <w:tcPr>
            <w:tcW w:w="6890" w:type="dxa"/>
            <w:tcBorders/>
            <w:shd w:fill="FFFFFF" w:val="clear"/>
            <w:vAlign w:val="center"/>
          </w:tcPr>
          <w:p>
            <w:pPr>
              <w:pStyle w:val="TableContents"/>
              <w:bidi w:val="0"/>
              <w:spacing w:before="0" w:after="283"/>
              <w:jc w:val="left"/>
              <w:rPr/>
            </w:pPr>
            <w:hyperlink w:anchor="s_012">
              <w:r>
                <w:rPr>
                  <w:rStyle w:val="InternetLink"/>
                  <w:sz w:val="20"/>
                </w:rPr>
                <w:t>EXPERTS</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sz w:val="20"/>
              </w:rPr>
            </w:pPr>
            <w:r>
              <w:rPr>
                <w:sz w:val="20"/>
              </w:rPr>
              <w:t>S-17</w:t>
            </w:r>
          </w:p>
        </w:tc>
      </w:tr>
      <w:tr>
        <w:trPr/>
        <w:tc>
          <w:tcPr>
            <w:tcW w:w="6890" w:type="dxa"/>
            <w:tcBorders/>
            <w:shd w:fill="CCEEFF" w:val="clear"/>
            <w:vAlign w:val="center"/>
          </w:tcPr>
          <w:p>
            <w:pPr>
              <w:pStyle w:val="TableContents"/>
              <w:bidi w:val="0"/>
              <w:spacing w:before="0" w:after="283"/>
              <w:jc w:val="left"/>
              <w:rPr/>
            </w:pPr>
            <w:hyperlink w:anchor="s_013">
              <w:r>
                <w:rPr>
                  <w:rStyle w:val="InternetLink"/>
                  <w:sz w:val="20"/>
                </w:rPr>
                <w:t>ENFORCEABILITY OF CIVIL LIABILITY</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sz w:val="20"/>
              </w:rPr>
            </w:pPr>
            <w:r>
              <w:rPr>
                <w:sz w:val="20"/>
              </w:rPr>
              <w:t>S-18</w:t>
            </w:r>
          </w:p>
        </w:tc>
      </w:tr>
      <w:tr>
        <w:trPr/>
        <w:tc>
          <w:tcPr>
            <w:tcW w:w="6890" w:type="dxa"/>
            <w:tcBorders/>
            <w:shd w:fill="FFFFFF" w:val="clear"/>
            <w:vAlign w:val="center"/>
          </w:tcPr>
          <w:p>
            <w:pPr>
              <w:pStyle w:val="TableContents"/>
              <w:bidi w:val="0"/>
              <w:spacing w:before="0" w:after="283"/>
              <w:jc w:val="left"/>
              <w:rPr/>
            </w:pPr>
            <w:hyperlink w:anchor="s_014">
              <w:r>
                <w:rPr>
                  <w:rStyle w:val="InternetLink"/>
                  <w:sz w:val="20"/>
                </w:rPr>
                <w:t>WHERE YOU CAN FIND MORE INFORMATION</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sz w:val="20"/>
              </w:rPr>
            </w:pPr>
            <w:r>
              <w:rPr>
                <w:sz w:val="20"/>
              </w:rPr>
              <w:t>S-19</w:t>
            </w:r>
          </w:p>
        </w:tc>
      </w:tr>
      <w:tr>
        <w:trPr/>
        <w:tc>
          <w:tcPr>
            <w:tcW w:w="6890" w:type="dxa"/>
            <w:tcBorders/>
            <w:shd w:fill="CCEEFF" w:val="clear"/>
            <w:vAlign w:val="center"/>
          </w:tcPr>
          <w:p>
            <w:pPr>
              <w:pStyle w:val="TableContents"/>
              <w:bidi w:val="0"/>
              <w:spacing w:before="0" w:after="283"/>
              <w:jc w:val="left"/>
              <w:rPr/>
            </w:pPr>
            <w:hyperlink w:anchor="s_015">
              <w:r>
                <w:rPr>
                  <w:rStyle w:val="InternetLink"/>
                  <w:sz w:val="20"/>
                </w:rPr>
                <w:t>INFORMATION INCORPORATED BY REFERENCE</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sz w:val="20"/>
              </w:rPr>
            </w:pPr>
            <w:r>
              <w:rPr>
                <w:sz w:val="20"/>
              </w:rPr>
              <w:t>S-20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center"/>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8840"/>
        <w:gridCol w:w="60"/>
        <w:gridCol w:w="275"/>
      </w:tblGrid>
      <w:tr>
        <w:trPr/>
        <w:tc>
          <w:tcPr>
            <w:tcW w:w="884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ii</w:t>
            </w:r>
          </w:p>
        </w:tc>
      </w:tr>
      <w:tr>
        <w:trPr/>
        <w:tc>
          <w:tcPr>
            <w:tcW w:w="8840" w:type="dxa"/>
            <w:tcBorders/>
            <w:shd w:fill="FFFFFF" w:val="clear"/>
            <w:vAlign w:val="center"/>
          </w:tcPr>
          <w:p>
            <w:pPr>
              <w:pStyle w:val="TableContents"/>
              <w:bidi w:val="0"/>
              <w:spacing w:before="0" w:after="283"/>
              <w:jc w:val="left"/>
              <w:rPr/>
            </w:pPr>
            <w:hyperlink w:anchor="a_002">
              <w:r>
                <w:rPr>
                  <w:rStyle w:val="InternetLink"/>
                </w:rPr>
                <w:t>MARKET PRICE INFORMATION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iii</w:t>
            </w:r>
          </w:p>
        </w:tc>
      </w:tr>
      <w:tr>
        <w:trPr/>
        <w:tc>
          <w:tcPr>
            <w:tcW w:w="8840" w:type="dxa"/>
            <w:tcBorders/>
            <w:shd w:fill="CCEEFF" w:val="clear"/>
            <w:vAlign w:val="center"/>
          </w:tcPr>
          <w:p>
            <w:pPr>
              <w:pStyle w:val="TableContents"/>
              <w:bidi w:val="0"/>
              <w:spacing w:before="0" w:after="283"/>
              <w:jc w:val="left"/>
              <w:rPr/>
            </w:pPr>
            <w:hyperlink w:anchor="a_003">
              <w:r>
                <w:rPr>
                  <w:rStyle w:val="InternetLink"/>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iv</w:t>
            </w:r>
          </w:p>
        </w:tc>
      </w:tr>
      <w:tr>
        <w:trPr/>
        <w:tc>
          <w:tcPr>
            <w:tcW w:w="8840" w:type="dxa"/>
            <w:tcBorders/>
            <w:shd w:fill="FFFFFF" w:val="clear"/>
            <w:vAlign w:val="center"/>
          </w:tcPr>
          <w:p>
            <w:pPr>
              <w:pStyle w:val="TableContents"/>
              <w:bidi w:val="0"/>
              <w:spacing w:before="0" w:after="283"/>
              <w:jc w:val="left"/>
              <w:rPr/>
            </w:pPr>
            <w:hyperlink w:anchor="a_004">
              <w:r>
                <w:rPr>
                  <w:rStyle w:val="InternetLink"/>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1</w:t>
            </w:r>
          </w:p>
        </w:tc>
      </w:tr>
      <w:tr>
        <w:trPr/>
        <w:tc>
          <w:tcPr>
            <w:tcW w:w="884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6</w:t>
            </w:r>
          </w:p>
        </w:tc>
      </w:tr>
      <w:tr>
        <w:trPr/>
        <w:tc>
          <w:tcPr>
            <w:tcW w:w="884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7</w:t>
            </w:r>
          </w:p>
        </w:tc>
      </w:tr>
      <w:tr>
        <w:trPr/>
        <w:tc>
          <w:tcPr>
            <w:tcW w:w="8840" w:type="dxa"/>
            <w:tcBorders/>
            <w:shd w:fill="CCEEFF" w:val="clear"/>
            <w:vAlign w:val="center"/>
          </w:tcPr>
          <w:p>
            <w:pPr>
              <w:pStyle w:val="TableContents"/>
              <w:bidi w:val="0"/>
              <w:spacing w:before="0" w:after="283"/>
              <w:jc w:val="left"/>
              <w:rPr/>
            </w:pPr>
            <w:hyperlink w:anchor="a_019">
              <w:r>
                <w:rPr>
                  <w:rStyle w:val="InternetLink"/>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8</w:t>
            </w:r>
          </w:p>
        </w:tc>
      </w:tr>
      <w:tr>
        <w:trPr/>
        <w:tc>
          <w:tcPr>
            <w:tcW w:w="8840" w:type="dxa"/>
            <w:tcBorders/>
            <w:shd w:fill="FFFFFF" w:val="clear"/>
            <w:vAlign w:val="center"/>
          </w:tcPr>
          <w:p>
            <w:pPr>
              <w:pStyle w:val="TableContents"/>
              <w:bidi w:val="0"/>
              <w:spacing w:before="0" w:after="283"/>
              <w:jc w:val="left"/>
              <w:rPr/>
            </w:pPr>
            <w:hyperlink w:anchor="a_007">
              <w:r>
                <w:rPr>
                  <w:rStyle w:val="InternetLink"/>
                </w:rPr>
                <w:t>DIVIDEND POLICY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9</w:t>
            </w:r>
          </w:p>
        </w:tc>
      </w:tr>
      <w:tr>
        <w:trPr/>
        <w:tc>
          <w:tcPr>
            <w:tcW w:w="8840" w:type="dxa"/>
            <w:tcBorders/>
            <w:shd w:fill="CCEEFF" w:val="clear"/>
            <w:vAlign w:val="center"/>
          </w:tcPr>
          <w:p>
            <w:pPr>
              <w:pStyle w:val="TableContents"/>
              <w:bidi w:val="0"/>
              <w:spacing w:before="0" w:after="283"/>
              <w:jc w:val="left"/>
              <w:rPr/>
            </w:pPr>
            <w:hyperlink w:anchor="a_008">
              <w:r>
                <w:rPr>
                  <w:rStyle w:val="InternetLink"/>
                </w:rPr>
                <w:t>DESCRIPTION OF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10</w:t>
            </w:r>
          </w:p>
        </w:tc>
      </w:tr>
      <w:tr>
        <w:trPr/>
        <w:tc>
          <w:tcPr>
            <w:tcW w:w="8840" w:type="dxa"/>
            <w:tcBorders/>
            <w:shd w:fill="FFFFFF" w:val="clear"/>
            <w:vAlign w:val="center"/>
          </w:tcPr>
          <w:p>
            <w:pPr>
              <w:pStyle w:val="TableContents"/>
              <w:bidi w:val="0"/>
              <w:spacing w:before="0" w:after="283"/>
              <w:jc w:val="left"/>
              <w:rPr/>
            </w:pPr>
            <w:hyperlink w:anchor="a_009">
              <w:r>
                <w:rPr>
                  <w:rStyle w:val="InternetLink"/>
                </w:rPr>
                <w:t>FORMS OF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28</w:t>
            </w:r>
          </w:p>
        </w:tc>
      </w:tr>
      <w:tr>
        <w:trPr/>
        <w:tc>
          <w:tcPr>
            <w:tcW w:w="8840" w:type="dxa"/>
            <w:tcBorders/>
            <w:shd w:fill="CCEEFF" w:val="clear"/>
            <w:vAlign w:val="center"/>
          </w:tcPr>
          <w:p>
            <w:pPr>
              <w:pStyle w:val="TableContents"/>
              <w:bidi w:val="0"/>
              <w:spacing w:before="0" w:after="283"/>
              <w:jc w:val="left"/>
              <w:rPr/>
            </w:pPr>
            <w:hyperlink w:anchor="a_010">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30</w:t>
            </w:r>
          </w:p>
        </w:tc>
      </w:tr>
      <w:tr>
        <w:trPr/>
        <w:tc>
          <w:tcPr>
            <w:tcW w:w="8840" w:type="dxa"/>
            <w:tcBorders/>
            <w:shd w:fill="FFFFFF" w:val="clear"/>
            <w:vAlign w:val="center"/>
          </w:tcPr>
          <w:p>
            <w:pPr>
              <w:pStyle w:val="TableContents"/>
              <w:bidi w:val="0"/>
              <w:spacing w:before="0" w:after="283"/>
              <w:jc w:val="left"/>
              <w:rPr/>
            </w:pPr>
            <w:hyperlink w:anchor="a_011">
              <w:r>
                <w:rPr>
                  <w:rStyle w:val="InternetLink"/>
                </w:rPr>
                <w:t>EXPENSES RELATED TO THE OFFERING</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32</w:t>
            </w:r>
          </w:p>
        </w:tc>
      </w:tr>
      <w:tr>
        <w:trPr/>
        <w:tc>
          <w:tcPr>
            <w:tcW w:w="8840" w:type="dxa"/>
            <w:tcBorders/>
            <w:shd w:fill="CCEEFF" w:val="clear"/>
            <w:vAlign w:val="center"/>
          </w:tcPr>
          <w:p>
            <w:pPr>
              <w:pStyle w:val="TableContents"/>
              <w:bidi w:val="0"/>
              <w:spacing w:before="0" w:after="283"/>
              <w:jc w:val="left"/>
              <w:rPr/>
            </w:pPr>
            <w:hyperlink w:anchor="a_012">
              <w:r>
                <w:rPr>
                  <w:rStyle w:val="InternetLink"/>
                </w:rPr>
                <w:t>TAX CONSIDERATIONS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33</w:t>
            </w:r>
          </w:p>
        </w:tc>
      </w:tr>
      <w:tr>
        <w:trPr/>
        <w:tc>
          <w:tcPr>
            <w:tcW w:w="8840" w:type="dxa"/>
            <w:tcBorders/>
            <w:shd w:fill="FFFFFF" w:val="clear"/>
            <w:vAlign w:val="center"/>
          </w:tcPr>
          <w:p>
            <w:pPr>
              <w:pStyle w:val="TableContents"/>
              <w:bidi w:val="0"/>
              <w:spacing w:before="0" w:after="283"/>
              <w:jc w:val="left"/>
              <w:rPr/>
            </w:pPr>
            <w:hyperlink w:anchor="a_013">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40</w:t>
            </w:r>
          </w:p>
        </w:tc>
      </w:tr>
      <w:tr>
        <w:trPr/>
        <w:tc>
          <w:tcPr>
            <w:tcW w:w="8840" w:type="dxa"/>
            <w:tcBorders/>
            <w:shd w:fill="CCEEFF" w:val="clear"/>
            <w:vAlign w:val="center"/>
          </w:tcPr>
          <w:p>
            <w:pPr>
              <w:pStyle w:val="TableContents"/>
              <w:bidi w:val="0"/>
              <w:spacing w:before="0" w:after="283"/>
              <w:jc w:val="left"/>
              <w:rPr/>
            </w:pPr>
            <w:hyperlink w:anchor="a_014">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41</w:t>
            </w:r>
          </w:p>
        </w:tc>
      </w:tr>
      <w:tr>
        <w:trPr/>
        <w:tc>
          <w:tcPr>
            <w:tcW w:w="8840" w:type="dxa"/>
            <w:tcBorders/>
            <w:shd w:fill="FFFFFF" w:val="clear"/>
            <w:vAlign w:val="center"/>
          </w:tcPr>
          <w:p>
            <w:pPr>
              <w:pStyle w:val="TableContents"/>
              <w:bidi w:val="0"/>
              <w:spacing w:before="0" w:after="283"/>
              <w:jc w:val="left"/>
              <w:rPr/>
            </w:pPr>
            <w:hyperlink w:anchor="a_015">
              <w:r>
                <w:rPr>
                  <w:rStyle w:val="InternetLink"/>
                </w:rPr>
                <w:t>ENFORCEABILITY OF CIVIL LIABILITY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42</w:t>
            </w:r>
          </w:p>
        </w:tc>
      </w:tr>
      <w:tr>
        <w:trPr/>
        <w:tc>
          <w:tcPr>
            <w:tcW w:w="8840"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44</w:t>
            </w:r>
          </w:p>
        </w:tc>
      </w:tr>
      <w:tr>
        <w:trPr/>
        <w:tc>
          <w:tcPr>
            <w:tcW w:w="8840" w:type="dxa"/>
            <w:tcBorders/>
            <w:shd w:fill="FFFFFF" w:val="clear"/>
            <w:vAlign w:val="center"/>
          </w:tcPr>
          <w:p>
            <w:pPr>
              <w:pStyle w:val="TableContents"/>
              <w:bidi w:val="0"/>
              <w:spacing w:before="0" w:after="283"/>
              <w:jc w:val="left"/>
              <w:rPr/>
            </w:pPr>
            <w:hyperlink w:anchor="a_017">
              <w:r>
                <w:rPr>
                  <w:rStyle w:val="InternetLink"/>
                </w:rPr>
                <w:t>INFORMATION INCORPORATED BY REFERENCE</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consists of two parts. The first part is this prospectus supplement, which describes the specific terms of this offering. The second part is the accompanying prospectus, which is part of a registration statement that we filed with the SEC using an automatic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securities that are offered by this prospectus supplement, you should carefully read both this prospectus supplement and the accompanying prospectus with all of the information incorporated by reference in this prospectus supplement, as well as the additional information described under the heading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sales agents have authorized anyone to provide any information or to make any representations other than those contained in this prospectus supplement, any accompanying prospectus or any free writing prospectus we have prepared. Neither we nor the sales agents take responsibility for or provide assurance as to the reliability of, any other information that others may give you. This prospectus supplement is an offer to sell only the securities offered hereby and only under circumstances and in jurisdictions where it is lawful to do so. No dealer, salesperson or other person is authorized to give any information or to represent anything not contained in this prospectus supplement, any applicable prospectus or any related free writing prospectus. This prospectus supplement is not an offer to sell securities, and it is not soliciting an offer to buy securities, in any jurisdiction where the offer or sale is not permitted. You should assume that the information appearing in this prospectus supplement is accurate only as of the date on the front cover of those documents only, regardless of the time of delivery of this prospectus supplement, or any sale of a security. Our business, financial condition, results of operations and prospects may have changed since those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proprietary rights to trademarks used in this prospectus supplement that are important to our business, many of which are registered (or pending registration) under applicable intellectual property laws. This prospectus supplement contains references to trademarks, trade names and service marks belonging to other entities. Solely for convenience, trademarks, trade names and service marks referred to in this prospectus supplement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unless otherwise indicated or unless the context otherwise requires,</w:t>
      </w:r>
    </w:p>
    <w:p>
      <w:pPr>
        <w:pStyle w:val="TextBody"/>
        <w:bidi w:val="0"/>
        <w:spacing w:before="0" w:after="0"/>
        <w:ind w:left="900" w:right="0" w:hanging="450"/>
        <w:jc w:val="both"/>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pPr>
            <w:r>
              <w:rPr/>
              <w:t>“</w:t>
            </w:r>
            <w:r>
              <w:rPr/>
              <w:t>Cayman Companies Act” means the Companies Act (As Revised) of the Cayman Islands;</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Class A ordinary shares’’ means the Class A ordinary shares, par value US$0.0000001, in the share capital of our company;</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Class V ordinary shares’’ means the Class V ordinary shares, par value US$0.0000001, in the share capital of our company;</w:t>
            </w:r>
          </w:p>
        </w:tc>
      </w:tr>
    </w:tbl>
    <w:p>
      <w:pPr>
        <w:pStyle w:val="TextBody"/>
        <w:bidi w:val="0"/>
        <w:spacing w:before="0" w:after="0"/>
        <w:ind w:left="900" w:right="0" w:hanging="45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w:t>
            </w:r>
            <w:r>
              <w:rPr/>
              <w:t>Exchange Act” means the U.S. Securities Exchange Act of 1934, as amended;</w:t>
            </w:r>
          </w:p>
        </w:tc>
      </w:tr>
    </w:tbl>
    <w:p>
      <w:pPr>
        <w:pStyle w:val="TextBody"/>
        <w:bidi w:val="0"/>
        <w:spacing w:before="0" w:after="0"/>
        <w:ind w:left="900" w:right="0" w:hanging="45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both"/>
              <w:rPr/>
            </w:pPr>
            <w:r>
              <w:rPr/>
              <w:t>“</w:t>
            </w:r>
            <w:r>
              <w:rPr/>
              <w:t>Nasdaq’’ means the Nasdaq Stock Market;</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our Form 20-F” refers to our annual report on Form 20-F for the year ended December 31, 2025, filed with the SEC on April 30, 2026;</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shares” or “ordinary shares’’ means Class A ordinary shares and/or Class V ordinary shares (as appropriate);</w:t>
            </w:r>
          </w:p>
        </w:tc>
      </w:tr>
    </w:tbl>
    <w:p>
      <w:pPr>
        <w:pStyle w:val="TextBody"/>
        <w:bidi w:val="0"/>
        <w:spacing w:before="0" w:after="0"/>
        <w:ind w:left="900" w:right="0" w:hanging="45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pPr>
            <w:r>
              <w:rPr/>
              <w:t>“</w:t>
            </w:r>
            <w:r>
              <w:rPr/>
              <w:t>SEC” means the Securities and Exchange Commission; and</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we,” “us,” “the company,” “our company” “our group,” “our” or “Bitdeer” refers to Bitdeer Technologies Group, a Cayman Islands exempted company, and its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_002"/>
      <w:bookmarkEnd w:id="3"/>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information incorporated by reference herein and therein contain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including those listed under “Risk Factors” in this prospectus supplement, the accompanying prospectus and in our Form 20-F incorporated herein by reference, and the other documents incorporated by reference herein, that may cause our actual results, performance or achievements to be materially different from those expressed or implied by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these forward-looking statements by words or phrases such as “may,” “could,” “will,” “expect,” “anticipate,” “aim,” “estimate,” “intend,” “plan,” “believe,” “likely to,” “potential” or other similar expressions. We have based these forward-looking statements largely on our current expectations and projections about future events and financial trends that we believe may affect our financial condition, results of operations, business strategy and financial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pStyle w:val="TextBody"/>
        <w:bidi w:val="0"/>
        <w:spacing w:before="0" w:after="0"/>
        <w:ind w:left="900" w:right="0" w:hanging="450"/>
        <w:jc w:val="both"/>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pPr>
            <w:r>
              <w:rPr/>
              <w:t>the price and volatility of Bitcoin and other cryptocurrencies;</w:t>
            </w:r>
          </w:p>
        </w:tc>
      </w:tr>
    </w:tbl>
    <w:p>
      <w:pPr>
        <w:pStyle w:val="TextBody"/>
        <w:bidi w:val="0"/>
        <w:spacing w:before="0" w:after="0"/>
        <w:ind w:left="900" w:right="0" w:hanging="45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pPr>
            <w:r>
              <w:rPr/>
              <w:t>our ability to maintain competitive positions in proprietary hash rate;</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procure and/or manufacture application-specific integrated circuits (“ASICs”) and mining rigs at a lower cost;</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expand datacenters or begin or complete any project that is “in the pipeline,” contracted or negotiated but not yet under active construction;</w:t>
            </w:r>
          </w:p>
        </w:tc>
      </w:tr>
    </w:tbl>
    <w:p>
      <w:pPr>
        <w:pStyle w:val="TextBody"/>
        <w:bidi w:val="0"/>
        <w:spacing w:before="0" w:after="0"/>
        <w:ind w:left="900" w:right="0" w:hanging="45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our ability to sell new and existing models of mining rigs;</w:t>
            </w:r>
          </w:p>
        </w:tc>
      </w:tr>
    </w:tbl>
    <w:p>
      <w:pPr>
        <w:pStyle w:val="TextBody"/>
        <w:bidi w:val="0"/>
        <w:spacing w:before="0" w:after="0"/>
        <w:ind w:left="900" w:right="0" w:hanging="45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our ability to develop and deploy new generations of mining rigs;</w:t>
            </w:r>
          </w:p>
        </w:tc>
      </w:tr>
    </w:tbl>
    <w:p>
      <w:pPr>
        <w:pStyle w:val="TextBody"/>
        <w:bidi w:val="0"/>
        <w:spacing w:before="0" w:after="0"/>
        <w:ind w:left="900" w:right="0" w:hanging="45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pPr>
            <w:r>
              <w:rPr/>
              <w:t>our ability to control electricity cost;</w:t>
            </w:r>
          </w:p>
        </w:tc>
      </w:tr>
    </w:tbl>
    <w:p>
      <w:pPr>
        <w:pStyle w:val="TextBody"/>
        <w:bidi w:val="0"/>
        <w:spacing w:before="0" w:after="0"/>
        <w:ind w:left="900" w:right="0" w:hanging="45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pPr>
            <w:r>
              <w:rPr/>
              <w:t>our ability to make effective judgments regarding pricing strategy and resource allocation;</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upgrade and expand product offerings and to successfully develop our AI infrastructure and AI cloud business;</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regulatory changes or actions that may restrict the use of cryptocurrencies or the operation of cryptocurrency networks in a manner that may require us to cease certain or all operations;</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risks to our business of earthquakes, fires, floods, and other natural catastrophic events and interruptions by man-made issues such as strikes and terrorist attacks;</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volatility of the market price of our Class A ordinary shares, which could cause the value of your investment to decline;</w:t>
            </w:r>
          </w:p>
        </w:tc>
      </w:tr>
    </w:tbl>
    <w:p>
      <w:pPr>
        <w:pStyle w:val="TextBody"/>
        <w:bidi w:val="0"/>
        <w:spacing w:before="0" w:after="0"/>
        <w:ind w:left="900" w:right="0" w:hanging="450"/>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pPr>
            <w:r>
              <w:rPr/>
              <w:t>the risk that an active trading market for our Class A ordinary shares may not be sustained;</w:t>
            </w:r>
          </w:p>
        </w:tc>
      </w:tr>
    </w:tbl>
    <w:p>
      <w:pPr>
        <w:pStyle w:val="TextBody"/>
        <w:bidi w:val="0"/>
        <w:spacing w:before="0" w:after="0"/>
        <w:ind w:left="900" w:right="0" w:hanging="45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pPr>
            <w:r>
              <w:rPr/>
              <w:t>our ability to maintain the listing of our Class A ordinary shares on Nasdaq;</w:t>
            </w:r>
          </w:p>
        </w:tc>
      </w:tr>
    </w:tbl>
    <w:p>
      <w:pPr>
        <w:pStyle w:val="TextBody"/>
        <w:bidi w:val="0"/>
        <w:spacing w:before="0" w:after="0"/>
        <w:ind w:left="900" w:right="0" w:hanging="450"/>
        <w:jc w:val="both"/>
        <w:rPr>
          <w:caps w:val="false"/>
          <w:smallCaps w:val="false"/>
        </w:rPr>
      </w:pPr>
      <w:r>
        <w:rPr>
          <w:caps w:val="false"/>
          <w:smallCaps w:val="false"/>
        </w:rPr>
        <w:t> </w:t>
      </w:r>
    </w:p>
    <w:p>
      <w:pPr>
        <w:pStyle w:val="TextBody"/>
        <w:bidi w:val="0"/>
        <w:spacing w:before="0" w:after="0"/>
        <w:ind w:left="900" w:right="0" w:hanging="45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900" w:right="0" w:hanging="45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pPr>
            <w:r>
              <w:rPr/>
              <w:t>the trading price of our securities, which has been and may continue to be volatile;</w:t>
            </w:r>
          </w:p>
        </w:tc>
      </w:tr>
    </w:tbl>
    <w:p>
      <w:pPr>
        <w:pStyle w:val="TextBody"/>
        <w:bidi w:val="0"/>
        <w:spacing w:before="0" w:after="0"/>
        <w:ind w:left="900" w:right="0" w:hanging="45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unexpected costs or expenses;</w:t>
            </w:r>
          </w:p>
        </w:tc>
      </w:tr>
    </w:tbl>
    <w:p>
      <w:pPr>
        <w:pStyle w:val="TextBody"/>
        <w:bidi w:val="0"/>
        <w:spacing w:before="0" w:after="0"/>
        <w:ind w:left="900" w:right="0" w:hanging="45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pPr>
            <w:r>
              <w:rPr/>
              <w:t>the outcome of any existing or future litigation;</w:t>
            </w:r>
          </w:p>
        </w:tc>
      </w:tr>
    </w:tbl>
    <w:p>
      <w:pPr>
        <w:pStyle w:val="TextBody"/>
        <w:bidi w:val="0"/>
        <w:spacing w:before="0" w:after="0"/>
        <w:ind w:left="900" w:right="0" w:hanging="45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pPr>
            <w:r>
              <w:rPr/>
              <w:t>future issuances, sales or resales of our Class A ordinary shares;</w:t>
            </w:r>
          </w:p>
        </w:tc>
      </w:tr>
    </w:tbl>
    <w:p>
      <w:pPr>
        <w:pStyle w:val="TextBody"/>
        <w:bidi w:val="0"/>
        <w:spacing w:before="0" w:after="0"/>
        <w:ind w:left="900" w:right="0" w:hanging="45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our expectation regarding the use of proceeds from our financing activities;</w:t>
            </w:r>
          </w:p>
        </w:tc>
      </w:tr>
    </w:tbl>
    <w:p>
      <w:pPr>
        <w:pStyle w:val="TextBody"/>
        <w:bidi w:val="0"/>
        <w:spacing w:before="0" w:after="0"/>
        <w:ind w:left="900" w:right="0" w:hanging="45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pPr>
            <w:r>
              <w:rPr/>
              <w:t>our expectations regarding our cash runway;</w:t>
            </w:r>
          </w:p>
        </w:tc>
      </w:tr>
    </w:tbl>
    <w:p>
      <w:pPr>
        <w:pStyle w:val="TextBody"/>
        <w:bidi w:val="0"/>
        <w:spacing w:before="0" w:after="0"/>
        <w:ind w:left="900" w:right="0" w:hanging="45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pPr>
            <w:r>
              <w:rPr/>
              <w:t>general economic and business conditions in our markets; and</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matters described in the section titled “Item 3.D. – Risk Factors” in our most recent annual report on Form 20-F for the year ended December 31, 2025, filed with the SEC on April 30, 2026, incorporated herein by reference.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the accompanying prospectus and the information incorporated by reference herein and therein with the understanding that our actual future results may be materially different from and worse than what we expect. Other sections of this prospectus supplement (including our Form 20-F and the other information incorporated herein by reference)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These forward-looking statements are made only as of the date of this prospectus supplement and we do not undertake any obligation, other than as may be required by law, to update or revise any forward-looking statements to reflect future events or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s_003"/>
      <w:bookmarkEnd w:id="4"/>
      <w:r>
        <w:rPr>
          <w:rFonts w:ascii="Times New Roman;Times;Serif" w:hAnsi="Times New Roman;Times;Serif"/>
          <w:b/>
          <w:i w:val="false"/>
          <w:caps w:val="false"/>
          <w:smallCaps w:val="false"/>
          <w:sz w:val="20"/>
          <w:bdr w:val="single" w:sz="12" w:space="1" w:color="000000"/>
        </w:rPr>
        <w:t>SUMMARY OF THE PROSPECTUS SUPPLEMENT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selected information from this prospectus supplement or incorporated by reference in this prospectus supplement and does not contain all of the information that is important to you. You should carefully read this entire prospectus supplement and the accompanying prospectus and the documents incorporated by reference in this prospectus supplement carefully, including the information presented under the sections titled “Risk Factors,” “Cautionary Statement Regarding Forward Looking Statements,” and our financial statements before making an investment decision.</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world-leading technology company for AI and Bitcoin mining infrastructure. We are committed to providing comprehensive Bitcoin mining solutions for our customers and building AI computational infrastructure to support the AI revolution. We handle complex processes involved in computing, such as equipment design, procurement and manufacturing, transport logistics, datacenter design and construction, equipment management, and daily operations. We also provide advanced cloud capabilities to customers with high demand for AI.</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Headquartered in Singapore, we currently operate ten datacenters across multiple countries including the United States, Norway, Bhutan, Ethiopia and Malaysia, with an aggregate electrical capacity of 1,797 MW as of June 30, 2026, having scaled rapidly from five datacenters with an aggregate electrical capacity of 795 MW as of March 31, 2023. From these datacenters, we generate hash rate under management which is categorized into proprietary and hosting hash rate. As of June 30, 2026, our proprietary hash rate was 77.9 EH/s. Together with the 8.2 EH/s hosting hash rate generated from mining rigs hosted in our mining datacenters, we possessed a total of 86.1 EH/s of hash rate under management as of June 30, 2026. We expect to continue increasing our hash rate through 2026 and beyond through conversion of our existing hosting capacity, executing on pipeline capacity, and pursuing expansion opportunities on a global scale. As of June 30, 2026, we possessed an aggregate pipeline capacity of 1,228.2 MW in the United States, Canada, and Malaysia. We are converting a significant proportion of our existing global datacenter capacity to dedicated AI cloud and colocation use.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primarily operate five business lines - “self-mining,” “sale of mining rigs and accessories,” “cloud hash rate,” “hosting” as well as “AI infrastructure and AI cloud” business. Self-mining refers to cryptocurrency mining for our own account, which allows us to directly capture the high appreciation potential of cryptocurrency.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leverage proprietary ASIC technology to develop and commercialize our SEALMINER mining rigs to support and expand our self-mining operations and to diversify our revenue streams through sales of mining rigs to third parties. We began generating revenue from our sale of SEALMINER mining rigs and accessories in 2025 and deployed proprietary rigs to our mining datacenters to expand our self-mining operations. We believe our ASIC technology platform will increase our vertical integration, enabling us to capture the upside of ASIC margins via self-mining and sales of mining rigs to third parties, and benefit from rapid hash rate development, a lower cost structure, enhanced capital efficiency, and an improved supply chain compared to the broader industry.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building out our AI infrastructure and AI cloud business, which includes AI cloud business and colocation business. Our AI infrastructure and AI cloud services offer advanced AI cloud capabilities, high performance computing services and colocation services to customers with high demand for AI and computing. We operate one of the first cloud service platforms in Asia that offers AI cloud services powered by NVIDIA DGX SuperPOD H100, H200, B200 systems and the recently deployed NVIDIA GB200 NVL72, helping customers accelerate their development of generative AI, LLMs and other AI workloads. We are also developing our colocation services business, which provides purpose-built, high-density datacenter capacity to customers seeking to deploy their own AI and computing equipment. We are in the process of converting certain of our existing mining datacenter facilities to support colocation services and are actively evaluating additional opportunities to expand our colocation capacity. While our colocation business has not yet generated any revenue, we believe our existing power assets, datacenter expertise and global operational footprint position us well to capture a share of this expanding market over time.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Through our primary cloud hash rate solution, we sell our proprietary hash rate to customers, offering hash rate subscription plans at fixed prices and sharing mining income with them under certain arrangements.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Our “self-mining,” “hosting” and “cloud hash rate” businesses are supported by our self-developed integrated intelligent software platform, which offers software support to significantly reduce time needed for daily maintenance and mining rig upgrade and substantially decrease operations and maintenance headcount.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Foreign Private Issuer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“foreign private issuer,” we will be subject to different U.S. securities laws than domestic U.S. issuers. The rules governing the information that we must disclose differ from those governing U.S. companies pursuant to the Exchange Act. We will be exempt from the rules under the Exchange Act prescribing the furnishing and content of proxy statements to shareholders. Those proxy statements are not expected to conform to Schedule 14A of the proxy rules promulgated under the Exchange Act.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as a “foreign private issuer,” our officers and directors and holders of more than 10% of the issued and outstanding Class A ordinary shares, will be exempt from the rules under the Exchange Act requiring insiders to report purchases and sales of ordinary shares as well as from Section 16 short swing profit reporting and liability. See the section titled “Item 3.D. Key Information—Risk Factors—Risks Related to Our Securities—We are a foreign private issuer within the meaning of the rules under the Exchange Act, and as such we are exempt from certain provisions applicable to domestic public companies in the United States” in our most recent annual report on Form 20-F for the year ended December 31, 2025, filed with the SEC on April 30, 2026, incorporated herein by reference.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Controlled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pStyle w:val="TextBody"/>
        <w:bidi w:val="0"/>
        <w:spacing w:before="0" w:after="0"/>
        <w:ind w:left="900" w:right="0" w:hanging="450"/>
        <w:jc w:val="both"/>
        <w:rPr>
          <w:caps w:val="false"/>
          <w:smallCaps w:val="false"/>
          <w:bdr w:val="single" w:sz="12" w:space="1" w:color="000000"/>
        </w:rPr>
      </w:pPr>
      <w:r>
        <w:rPr>
          <w:caps w:val="false"/>
          <w:smallCaps w:val="false"/>
          <w:bdr w:val="single" w:sz="12" w:space="1" w:color="000000"/>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pPr>
            <w:r>
              <w:rPr/>
              <w:t>that a majority of our board of directors consists of independent directors;</w:t>
            </w:r>
          </w:p>
        </w:tc>
      </w:tr>
    </w:tbl>
    <w:p>
      <w:pPr>
        <w:pStyle w:val="TextBody"/>
        <w:bidi w:val="0"/>
        <w:spacing w:before="0" w:after="0"/>
        <w:ind w:left="900" w:right="0" w:hanging="45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we conduct an annual performance evaluation of the nominating and corporate governance and compensation committees;</w:t>
            </w:r>
          </w:p>
        </w:tc>
      </w:tr>
    </w:tbl>
    <w:p>
      <w:pPr>
        <w:pStyle w:val="TextBody"/>
        <w:bidi w:val="0"/>
        <w:spacing w:before="0" w:after="0"/>
        <w:ind w:left="900" w:right="0" w:hanging="45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we have a nominating and corporate governance committee that is composed entirely of independent directors with a written charter addressing the committee’s purpose and responsibilities;</w:t>
            </w:r>
          </w:p>
        </w:tc>
      </w:tr>
    </w:tbl>
    <w:p>
      <w:pPr>
        <w:pStyle w:val="TextBody"/>
        <w:bidi w:val="0"/>
        <w:spacing w:before="0" w:after="0"/>
        <w:ind w:left="900" w:right="0" w:hanging="45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we have a compensation committee that is composed entirely of independent directors with a written charter addressing the committee’s purpose and responsibility; and</w:t>
            </w:r>
          </w:p>
        </w:tc>
      </w:tr>
    </w:tbl>
    <w:p>
      <w:pPr>
        <w:pStyle w:val="TextBody"/>
        <w:bidi w:val="0"/>
        <w:spacing w:before="0" w:after="0"/>
        <w:ind w:left="900" w:right="0" w:hanging="45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tc>
      </w:tr>
    </w:tbl>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supplement, we have elected not to comply with any of the requirements listed above, except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Our agent for service of process in the United States is Cogency Global Inc. located at 122 East 42nd Street, 18th Floor, New York, New York 10168.</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5" w:name="s_004"/>
      <w:bookmarkEnd w:id="5"/>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4099"/>
        <w:gridCol w:w="60"/>
        <w:gridCol w:w="6046"/>
      </w:tblGrid>
      <w:tr>
        <w:trPr/>
        <w:tc>
          <w:tcPr>
            <w:tcW w:w="4099" w:type="dxa"/>
            <w:tcBorders/>
            <w:vAlign w:val="center"/>
          </w:tcPr>
          <w:p>
            <w:pPr>
              <w:pStyle w:val="TableContents"/>
              <w:bidi w:val="0"/>
              <w:spacing w:before="0" w:after="283"/>
              <w:ind w:left="0" w:right="0" w:hanging="180"/>
              <w:jc w:val="left"/>
              <w:rPr>
                <w:b/>
                <w:sz w:val="20"/>
              </w:rPr>
            </w:pPr>
            <w:r>
              <w:rPr>
                <w:b/>
                <w:sz w:val="20"/>
              </w:rPr>
              <w:t xml:space="preserve">Class A ordinary shares offered by us </w:t>
            </w:r>
          </w:p>
        </w:tc>
        <w:tc>
          <w:tcPr>
            <w:tcW w:w="60" w:type="dxa"/>
            <w:tcBorders/>
            <w:vAlign w:val="center"/>
          </w:tcPr>
          <w:p>
            <w:pPr>
              <w:pStyle w:val="TableContents"/>
              <w:bidi w:val="0"/>
              <w:spacing w:before="0" w:after="283"/>
              <w:jc w:val="left"/>
              <w:rPr/>
            </w:pPr>
            <w:r>
              <w:rPr/>
              <w:t> </w:t>
            </w:r>
          </w:p>
        </w:tc>
        <w:tc>
          <w:tcPr>
            <w:tcW w:w="6046" w:type="dxa"/>
            <w:tcBorders/>
            <w:vAlign w:val="center"/>
          </w:tcPr>
          <w:p>
            <w:pPr>
              <w:pStyle w:val="TableContents"/>
              <w:bidi w:val="0"/>
              <w:spacing w:before="0" w:after="283"/>
              <w:ind w:left="0" w:right="0" w:hanging="180"/>
              <w:jc w:val="left"/>
              <w:rPr>
                <w:sz w:val="20"/>
              </w:rPr>
            </w:pPr>
            <w:r>
              <w:rPr>
                <w:sz w:val="20"/>
              </w:rPr>
              <w:t>Class A ordinary shares having an aggregate offering price of up to US$1,000,000,000.</w:t>
            </w:r>
          </w:p>
        </w:tc>
      </w:tr>
      <w:tr>
        <w:trPr/>
        <w:tc>
          <w:tcPr>
            <w:tcW w:w="40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6" w:type="dxa"/>
            <w:tcBorders/>
            <w:vAlign w:val="center"/>
          </w:tcPr>
          <w:p>
            <w:pPr>
              <w:pStyle w:val="TableContents"/>
              <w:bidi w:val="0"/>
              <w:spacing w:before="0" w:after="283"/>
              <w:ind w:left="0" w:right="0" w:hanging="180"/>
              <w:jc w:val="left"/>
              <w:rPr/>
            </w:pPr>
            <w:r>
              <w:rPr/>
              <w:t> </w:t>
            </w:r>
          </w:p>
        </w:tc>
      </w:tr>
      <w:tr>
        <w:trPr/>
        <w:tc>
          <w:tcPr>
            <w:tcW w:w="4099" w:type="dxa"/>
            <w:tcBorders/>
            <w:vAlign w:val="center"/>
          </w:tcPr>
          <w:p>
            <w:pPr>
              <w:pStyle w:val="TableContents"/>
              <w:bidi w:val="0"/>
              <w:spacing w:before="0" w:after="283"/>
              <w:jc w:val="left"/>
              <w:rPr>
                <w:b/>
                <w:sz w:val="20"/>
              </w:rPr>
            </w:pPr>
            <w:r>
              <w:rPr>
                <w:b/>
                <w:sz w:val="20"/>
              </w:rPr>
              <w:t>Class A ordinary shares outstanding as of June 30, 2026</w:t>
            </w:r>
          </w:p>
        </w:tc>
        <w:tc>
          <w:tcPr>
            <w:tcW w:w="60" w:type="dxa"/>
            <w:tcBorders/>
            <w:vAlign w:val="center"/>
          </w:tcPr>
          <w:p>
            <w:pPr>
              <w:pStyle w:val="TableContents"/>
              <w:bidi w:val="0"/>
              <w:spacing w:before="0" w:after="283"/>
              <w:jc w:val="left"/>
              <w:rPr/>
            </w:pPr>
            <w:r>
              <w:rPr/>
              <w:t> </w:t>
            </w:r>
          </w:p>
        </w:tc>
        <w:tc>
          <w:tcPr>
            <w:tcW w:w="6046" w:type="dxa"/>
            <w:tcBorders/>
            <w:vAlign w:val="center"/>
          </w:tcPr>
          <w:p>
            <w:pPr>
              <w:pStyle w:val="TableContents"/>
              <w:bidi w:val="0"/>
              <w:spacing w:before="0" w:after="283"/>
              <w:jc w:val="left"/>
              <w:rPr/>
            </w:pPr>
            <w:r>
              <w:rPr/>
              <w:t>227,382,323 Class A ordinary shares, excluding: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60"/>
        <w:gridCol w:w="170"/>
        <w:gridCol w:w="990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 xml:space="preserve">nil Class A ordinary shares that have been repurchased but not cancelled;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 xml:space="preserve">8,227,390 Class A ordinary shares issuable upon the exercise of outstanding share options and the settlement of restricted share units;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13,575,174 Class A ordinary shares reserved for future issuance under our 2023 Share Incentive Plan and 2023 Performance Share Plan;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 xml:space="preserve">all Class A ordinary shares reserved for future issuance upon conversion of the existing convertible senior notes;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3,600,000 Class A ordinary shares that we sold after June 30, 2026 and prior to the date of this prospectus supplement, pursuant to the Sales Agreement for gross proceeds of approximately US$50.3 million; 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any Class A ordinary shares that become available subsequent to this offering under our 2023 Share Incentive Plan and 2023 Performance Share Plan pursuant to provisions thereof that automatically increase the share reserves under such plans each year.</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10"/>
        <w:gridCol w:w="60"/>
        <w:gridCol w:w="8735"/>
      </w:tblGrid>
      <w:tr>
        <w:trPr/>
        <w:tc>
          <w:tcPr>
            <w:tcW w:w="1410" w:type="dxa"/>
            <w:tcBorders/>
            <w:vAlign w:val="center"/>
          </w:tcPr>
          <w:p>
            <w:pPr>
              <w:pStyle w:val="TableContents"/>
              <w:bidi w:val="0"/>
              <w:spacing w:before="0" w:after="283"/>
              <w:ind w:left="0" w:right="0" w:hanging="180"/>
              <w:jc w:val="left"/>
              <w:rPr>
                <w:b/>
                <w:sz w:val="20"/>
              </w:rPr>
            </w:pPr>
            <w:r>
              <w:rPr>
                <w:b/>
                <w:sz w:val="20"/>
              </w:rPr>
              <w:t>Plan of Distribution</w:t>
            </w:r>
          </w:p>
        </w:tc>
        <w:tc>
          <w:tcPr>
            <w:tcW w:w="60" w:type="dxa"/>
            <w:tcBorders/>
            <w:vAlign w:val="center"/>
          </w:tcPr>
          <w:p>
            <w:pPr>
              <w:pStyle w:val="TableContents"/>
              <w:bidi w:val="0"/>
              <w:spacing w:before="0" w:after="283"/>
              <w:jc w:val="both"/>
              <w:rPr/>
            </w:pPr>
            <w:r>
              <w:rPr/>
              <w:t> </w:t>
            </w:r>
          </w:p>
        </w:tc>
        <w:tc>
          <w:tcPr>
            <w:tcW w:w="8735" w:type="dxa"/>
            <w:tcBorders/>
            <w:vAlign w:val="center"/>
          </w:tcPr>
          <w:p>
            <w:pPr>
              <w:pStyle w:val="TableContents"/>
              <w:bidi w:val="0"/>
              <w:spacing w:before="0" w:after="283"/>
              <w:ind w:left="0" w:right="0" w:hanging="180"/>
              <w:jc w:val="both"/>
              <w:rPr>
                <w:sz w:val="20"/>
              </w:rPr>
            </w:pPr>
            <w:r>
              <w:rPr>
                <w:sz w:val="20"/>
              </w:rPr>
              <w:t>Block trades or transactions that are deemed to be “at the market offerings” may be made from time to time through or to the sales agents, as agent or principal. See “Plan of Distribution” on page S-8 of this prospectus supplement.</w:t>
            </w:r>
          </w:p>
        </w:tc>
      </w:tr>
      <w:tr>
        <w:trPr/>
        <w:tc>
          <w:tcPr>
            <w:tcW w:w="1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735" w:type="dxa"/>
            <w:tcBorders/>
            <w:vAlign w:val="center"/>
          </w:tcPr>
          <w:p>
            <w:pPr>
              <w:pStyle w:val="TableContents"/>
              <w:bidi w:val="0"/>
              <w:spacing w:before="0" w:after="283"/>
              <w:ind w:left="0" w:right="0" w:hanging="180"/>
              <w:jc w:val="both"/>
              <w:rPr/>
            </w:pPr>
            <w:r>
              <w:rPr/>
              <w:t> </w:t>
            </w:r>
          </w:p>
        </w:tc>
      </w:tr>
      <w:tr>
        <w:trPr/>
        <w:tc>
          <w:tcPr>
            <w:tcW w:w="1410" w:type="dxa"/>
            <w:tcBorders/>
            <w:vAlign w:val="center"/>
          </w:tcPr>
          <w:p>
            <w:pPr>
              <w:pStyle w:val="TableContents"/>
              <w:bidi w:val="0"/>
              <w:spacing w:before="0" w:after="283"/>
              <w:jc w:val="left"/>
              <w:rPr>
                <w:b/>
                <w:sz w:val="20"/>
              </w:rPr>
            </w:pPr>
            <w:r>
              <w:rPr>
                <w:b/>
                <w:sz w:val="20"/>
              </w:rPr>
              <w:t xml:space="preserve">Use of Proceeds </w:t>
            </w:r>
          </w:p>
        </w:tc>
        <w:tc>
          <w:tcPr>
            <w:tcW w:w="60" w:type="dxa"/>
            <w:tcBorders/>
            <w:vAlign w:val="center"/>
          </w:tcPr>
          <w:p>
            <w:pPr>
              <w:pStyle w:val="TableContents"/>
              <w:bidi w:val="0"/>
              <w:spacing w:before="0" w:after="283"/>
              <w:jc w:val="both"/>
              <w:rPr/>
            </w:pPr>
            <w:r>
              <w:rPr/>
              <w:t> </w:t>
            </w:r>
          </w:p>
        </w:tc>
        <w:tc>
          <w:tcPr>
            <w:tcW w:w="8735" w:type="dxa"/>
            <w:tcBorders/>
            <w:vAlign w:val="center"/>
          </w:tcPr>
          <w:p>
            <w:pPr>
              <w:pStyle w:val="TableContents"/>
              <w:bidi w:val="0"/>
              <w:spacing w:before="0" w:after="283"/>
              <w:ind w:left="0" w:right="0" w:hanging="180"/>
              <w:jc w:val="both"/>
              <w:rPr>
                <w:sz w:val="20"/>
              </w:rPr>
            </w:pPr>
            <w:r>
              <w:rPr>
                <w:sz w:val="20"/>
              </w:rPr>
              <w:t xml:space="preserve">We currently intend to use the net proceeds from this offering, if any, for datacenter expansion, HPC and AI cloud business expansion and ASIC-based mining rig development and manufacture, as well as working capital and other general corporate purposes. See “Use of Proceeds.” </w:t>
            </w:r>
          </w:p>
        </w:tc>
      </w:tr>
      <w:tr>
        <w:trPr/>
        <w:tc>
          <w:tcPr>
            <w:tcW w:w="1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735" w:type="dxa"/>
            <w:tcBorders/>
            <w:vAlign w:val="center"/>
          </w:tcPr>
          <w:p>
            <w:pPr>
              <w:pStyle w:val="TableContents"/>
              <w:bidi w:val="0"/>
              <w:spacing w:before="0" w:after="283"/>
              <w:ind w:left="0" w:right="0" w:hanging="180"/>
              <w:jc w:val="both"/>
              <w:rPr/>
            </w:pPr>
            <w:r>
              <w:rPr/>
              <w:t> </w:t>
            </w:r>
          </w:p>
        </w:tc>
      </w:tr>
      <w:tr>
        <w:trPr/>
        <w:tc>
          <w:tcPr>
            <w:tcW w:w="1410" w:type="dxa"/>
            <w:tcBorders/>
            <w:vAlign w:val="center"/>
          </w:tcPr>
          <w:p>
            <w:pPr>
              <w:pStyle w:val="TableContents"/>
              <w:bidi w:val="0"/>
              <w:spacing w:before="0" w:after="283"/>
              <w:jc w:val="left"/>
              <w:rPr>
                <w:b/>
                <w:sz w:val="20"/>
              </w:rPr>
            </w:pPr>
            <w:r>
              <w:rPr>
                <w:b/>
                <w:sz w:val="20"/>
              </w:rPr>
              <w:t xml:space="preserve">Risk Factors </w:t>
            </w:r>
          </w:p>
        </w:tc>
        <w:tc>
          <w:tcPr>
            <w:tcW w:w="60" w:type="dxa"/>
            <w:tcBorders/>
            <w:vAlign w:val="center"/>
          </w:tcPr>
          <w:p>
            <w:pPr>
              <w:pStyle w:val="TableContents"/>
              <w:bidi w:val="0"/>
              <w:spacing w:before="0" w:after="283"/>
              <w:jc w:val="both"/>
              <w:rPr/>
            </w:pPr>
            <w:r>
              <w:rPr/>
              <w:t> </w:t>
            </w:r>
          </w:p>
        </w:tc>
        <w:tc>
          <w:tcPr>
            <w:tcW w:w="8735" w:type="dxa"/>
            <w:tcBorders/>
            <w:vAlign w:val="center"/>
          </w:tcPr>
          <w:p>
            <w:pPr>
              <w:pStyle w:val="TableContents"/>
              <w:bidi w:val="0"/>
              <w:spacing w:before="0" w:after="283"/>
              <w:ind w:left="0" w:right="0" w:hanging="180"/>
              <w:jc w:val="both"/>
              <w:rPr>
                <w:sz w:val="20"/>
              </w:rPr>
            </w:pPr>
            <w:r>
              <w:rPr>
                <w:sz w:val="20"/>
              </w:rPr>
              <w:t>See “Risk Factors” and the other information included in this prospectus supplement and in the documents incorporated by reference in this prospectus supplement and the accompanying prospectus for a discussion of factors you should consider carefully before deciding to invest in our Class A ordinary shares</w:t>
            </w:r>
          </w:p>
        </w:tc>
      </w:tr>
      <w:tr>
        <w:trPr/>
        <w:tc>
          <w:tcPr>
            <w:tcW w:w="1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735" w:type="dxa"/>
            <w:tcBorders/>
            <w:vAlign w:val="center"/>
          </w:tcPr>
          <w:p>
            <w:pPr>
              <w:pStyle w:val="TableContents"/>
              <w:bidi w:val="0"/>
              <w:spacing w:before="0" w:after="283"/>
              <w:ind w:left="0" w:right="0" w:hanging="180"/>
              <w:jc w:val="both"/>
              <w:rPr/>
            </w:pPr>
            <w:r>
              <w:rPr/>
              <w:t> </w:t>
            </w:r>
          </w:p>
        </w:tc>
      </w:tr>
      <w:tr>
        <w:trPr/>
        <w:tc>
          <w:tcPr>
            <w:tcW w:w="1410" w:type="dxa"/>
            <w:tcBorders/>
            <w:vAlign w:val="center"/>
          </w:tcPr>
          <w:p>
            <w:pPr>
              <w:pStyle w:val="TableContents"/>
              <w:bidi w:val="0"/>
              <w:spacing w:before="0" w:after="283"/>
              <w:jc w:val="left"/>
              <w:rPr>
                <w:b/>
                <w:sz w:val="20"/>
              </w:rPr>
            </w:pPr>
            <w:r>
              <w:rPr>
                <w:b/>
                <w:sz w:val="20"/>
              </w:rPr>
              <w:t xml:space="preserve">Nasdaq Stock Market symbol </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283"/>
              <w:jc w:val="left"/>
              <w:rPr>
                <w:sz w:val="20"/>
              </w:rPr>
            </w:pPr>
            <w:r>
              <w:rPr>
                <w:sz w:val="20"/>
              </w:rPr>
              <w:t>Class A ordinary shares: “BTDR”</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 Before making a decision to invest in our securities, you should carefully consider the following risks and those in our then-most recent Annual Report on Form 20-F, and any updates to those risk factors in our reports on Form 6-K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Purchasers of Class A ordinary shares in this offering will experience immediate and substantial dilution in the book value of their investment.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Class A Ordinary Share being offered may be higher than the net tangible book value per share of our outstanding Class A ordinary shares prior to this offering. Assuming that an aggregate of US$1,000,000,000 of Class A ordinary shares are sold at a price of US$10.88 per share, the last reported sale price of our Class A ordinary shares on the Nasdaq Capital Market on August 7, 2026, for aggregate gross proceeds of approximately US$1.0 billion, and after deducting commissions and estimated offering expenses payable by us, new investors in this offering will incur immediate dilution of US$5.64 per share. For a more detailed discussion of the foregoing see the section entitled “Dilution”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Class A ordinary shares or other securities convertible into or exchangeable for Class A ordinary shares. We cannot assure you that we will be able to sell Class A ordinary shares or other securities in any other offering at a price per Class A ordinary share that is equal to or greater than the price per Class A ordinary share paid by investors in this offering, and investors purchasing Class A ordinary shares or other securities in the future could have rights superior to existing shareholders. The price per Class A ordinary share at which we sell additional Class A ordinary shares or other securities convertible into or exchangeable for Class A ordinary shares in future transactions may be higher or lower than the price per Class A ordinary share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actual number of ordinary shares we will sell under the sales agreement and the resulting gross proceeds is uncertain.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placement notice to the sales agents at any time throughout the term of the Sales Agreement. The number of Class A ordinary shares that are sold by the sales agents after we deliver a placement notice will fluctuate based on the market price of our Class A ordinary shares during the sales period and limits we set in the placement notice. Because the price per share sold will fluctuate based on the market price of our Class A ordinary shares during the sales period, it is not possible to predict the number of Class A ordinary shares that will be ultimately sold or the resulting gross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Class A ordinary shares offered in this offering will be sold in “at the market offerings.” Investors who purchase our Class A ordinary shares in this offering at different times will likely pay different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our Class A ordinary shares in this offering at different times will likely pay different prices, and so may experience different outcomes in their investment results. We will have discretion, subject to market demand, to vary the timing, prices and numbers of Class A ordinary shares sold, and subject to certain limitations in the Sales Agreement, there is no minimum or maximum sales price. Investors may experience a decline in the value of their Class A ordinary shares and dilution as a result of sales made at prices lower than the prices they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we may not use them effectively.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as described in “Use of Proceeds.” However, our board of directors and our management retains broad discretion in the application of the net proceeds from this offering and could spend the proceeds in ways that do not improve our results of operations or enhance the value of our Class A ordinary shares. Our failure to apply these funds effectively could result in financial losses, which could have a material adverse effect on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Class A ordinary shares or equity-linked securities in the public market could lower the trading price for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continue to sell additional Class A ordinary shares or equity-linked securities such as convertible notes to raise capital. In addition, a substantial number of Class A ordinary shares are reserved for issuance upon conversion of our debt securities and Class V ordinary shares as well as in connection with the exercise or vesting of awards under our equity incentive plans. We cannot predict the size of future issuances or the effect, if any, that they may have on the market price for our Class A ordinary shares or equity-linked securities in the public market. The issuance and/or sale of substantial amounts of our Class A ordinary shares, or the perception that such issuances and sales may occur (including due to anticipated conversion of our debt securities, depending on the prevailing trading price of our Class A ordinary shares at the time), could adversely affect the trading price of the Class A ordinary shares and impair our ability to raise capital through the sale of additional equity or equity-linked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our Class A ordinary shares having an aggregate offering price of up to US$1,000,000,000 from time to time through or to the sales agents. Because there is no minimum offering amount required as a condition to close this offering, the actual total public offering amount, commissions and proceeds to us, if any, are not determinable at this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if any, for datacenter expansion, HPC and AI cloud business expansion and ASIC-based mining rig development and manufacture, as well as working capital and other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if any, will vary depending on numerous factors. As a result, we cannot predict with certainty all of the particular uses for any net proceeds to be received or the amounts that we will actually spend on the uses set forth above. Our board of directors and our management retains broad discretion in the application of the net proceeds from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use of the proceeds from this offering, we intend to invest the net proceeds in a variety of capital preservation instruments, which may include all or a combination of short-term and long-term interest-bearing instruments, investment-grade securities, and direct or guaranteed obligations of the U.S. government. We cannot predict whether the proceeds invested will yield a favorable return.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_007"/>
      <w:bookmarkEnd w:id="8"/>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on whether to distribute dividends, subject to the amended and restated memorandum and articles of association of our company and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credit standing in our company’s share premium account, and provided always that in no circumstances may a dividend be paid if this would result in our company being unable to pay its debts as they fall due in the ordinary course of business immediately following the date on which the distribution or dividend is proposed to be paid.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_008"/>
      <w:bookmarkEnd w:id="9"/>
      <w:r>
        <w:rPr>
          <w:rFonts w:ascii="Times New Roman;Times;Serif" w:hAnsi="Times New Roman;Times;Serif"/>
          <w:b/>
          <w:i w:val="false"/>
          <w:caps w:val="false"/>
          <w:smallCaps w:val="false"/>
          <w:sz w:val="20"/>
        </w:rPr>
        <w:t>DILUTION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ordinary shares, your interest will be diluted to the extent of the difference between the price per share you pay in this offering and the net tangible book value per share of our ordinary shares immediately after this offering. Our net tangible book value of our ordinary shares as of June 30, 2026 was approximately US$937.6 million, or approximately US$3.45 per ordinary share based upon 271,782,245 ordinary shares outstanding, including 227,382,323 Class A ordinary shares and 44,399,922 Class V ordinary shares. Net tangible book value per share is equal to our total tangible assets, less our total liabilities, divided by the total number of ordinary shares outstanding as of June 30, 2026. Net tangible book value excludes digital assets of approximately US$34.7 million because Bitcoins and other cryptocurrencies are not considered tangible assets for purposes of determining net tangible book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our Class A ordinary shares in the aggregate amount of US$1,000,000,000 at an assumed offering price of US$10.88 per share, the last reported sale price of our Class A ordinary shares on The Nasdaq Stock Market on August 7, 2026, and after deducting estimated commissions and estimated offering expenses payable by us, our as adjusted net tangible book value as of June 30, 2026 would have been US$1.9 billion, or US$5.24 per ordinary share. This represents an immediate increase in net tangible book value of US$1.79 per ordinary share to our existing shareholders and an immediate dilution in net tangible book value of US$5.64 per ordinary share to new investors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calculation on a per ordinary share basis. The as adjusted information is illustrative only and will adjust based on the actual price to the public, the actual number of Class A ordinary shares sold and other terms of the offering determined at the time our Class A ordinary shares are sold pursuant to this prospectus supplement and the accompanying prospectus. The as adjusted information assumes that all of our Class A ordinary shares in the aggregate amount of US$1,000,000,000 is sold at the assumed offering price of US$10.88 per ordinary share, the last reported sale price of our Class A ordinary shares on The Nasdaq Stock Market on August 7, 2026. The Class A ordinary shares sold in this offering, if any, will be sold from time to time at various prices.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39"/>
        <w:gridCol w:w="60"/>
        <w:gridCol w:w="415"/>
        <w:gridCol w:w="660"/>
        <w:gridCol w:w="60"/>
        <w:gridCol w:w="60"/>
        <w:gridCol w:w="415"/>
        <w:gridCol w:w="2520"/>
        <w:gridCol w:w="76"/>
      </w:tblGrid>
      <w:tr>
        <w:trPr/>
        <w:tc>
          <w:tcPr>
            <w:tcW w:w="5939" w:type="dxa"/>
            <w:tcBorders/>
            <w:shd w:fill="CCEEFF" w:val="clear"/>
            <w:vAlign w:val="center"/>
          </w:tcPr>
          <w:p>
            <w:pPr>
              <w:pStyle w:val="TableContents"/>
              <w:bidi w:val="0"/>
              <w:spacing w:before="0" w:after="283"/>
              <w:ind w:left="0" w:right="0" w:hanging="180"/>
              <w:jc w:val="left"/>
              <w:rPr/>
            </w:pPr>
            <w:r>
              <w:rPr/>
              <w:t>Assumed public offering price per ordinary share</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US$</w:t>
            </w:r>
          </w:p>
        </w:tc>
        <w:tc>
          <w:tcPr>
            <w:tcW w:w="2520" w:type="dxa"/>
            <w:tcBorders/>
            <w:shd w:fill="CCEEFF" w:val="clear"/>
            <w:vAlign w:val="center"/>
          </w:tcPr>
          <w:p>
            <w:pPr>
              <w:pStyle w:val="TableContents"/>
              <w:bidi w:val="0"/>
              <w:spacing w:before="0" w:after="283"/>
              <w:jc w:val="right"/>
              <w:rPr/>
            </w:pPr>
            <w:r>
              <w:rPr/>
              <w:t>10.88</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5939" w:type="dxa"/>
            <w:tcBorders/>
            <w:shd w:fill="FFFFFF" w:val="clear"/>
            <w:vAlign w:val="center"/>
          </w:tcPr>
          <w:p>
            <w:pPr>
              <w:pStyle w:val="TableContents"/>
              <w:bidi w:val="0"/>
              <w:spacing w:before="0" w:after="283"/>
              <w:jc w:val="left"/>
              <w:rPr/>
            </w:pPr>
            <w:r>
              <w:rPr/>
              <w:t>Net tangible book value per ordinary share as of June 30, 2026</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US$</w:t>
            </w:r>
          </w:p>
        </w:tc>
        <w:tc>
          <w:tcPr>
            <w:tcW w:w="660" w:type="dxa"/>
            <w:tcBorders/>
            <w:shd w:fill="FFFFFF" w:val="clear"/>
            <w:vAlign w:val="center"/>
          </w:tcPr>
          <w:p>
            <w:pPr>
              <w:pStyle w:val="TableContents"/>
              <w:bidi w:val="0"/>
              <w:spacing w:before="0" w:after="283"/>
              <w:jc w:val="right"/>
              <w:rPr/>
            </w:pPr>
            <w:r>
              <w:rPr/>
              <w:t>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252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5939" w:type="dxa"/>
            <w:tcBorders/>
            <w:shd w:fill="CCEEFF" w:val="clear"/>
            <w:vAlign w:val="center"/>
          </w:tcPr>
          <w:p>
            <w:pPr>
              <w:pStyle w:val="TableContents"/>
              <w:bidi w:val="0"/>
              <w:spacing w:before="0" w:after="283"/>
              <w:jc w:val="left"/>
              <w:rPr/>
            </w:pPr>
            <w:r>
              <w:rPr/>
              <w:t>Increase in net tangible book value per ordinary share attributable to the offering</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US$</w:t>
            </w:r>
          </w:p>
        </w:tc>
        <w:tc>
          <w:tcPr>
            <w:tcW w:w="660" w:type="dxa"/>
            <w:tcBorders/>
            <w:shd w:fill="CCEEFF" w:val="clear"/>
            <w:vAlign w:val="center"/>
          </w:tcPr>
          <w:p>
            <w:pPr>
              <w:pStyle w:val="TableContents"/>
              <w:bidi w:val="0"/>
              <w:spacing w:before="0" w:after="283"/>
              <w:jc w:val="right"/>
              <w:rPr/>
            </w:pPr>
            <w:r>
              <w:rPr/>
              <w:t>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 </w:t>
            </w:r>
          </w:p>
        </w:tc>
        <w:tc>
          <w:tcPr>
            <w:tcW w:w="252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5939" w:type="dxa"/>
            <w:tcBorders/>
            <w:shd w:fill="FFFFFF" w:val="clear"/>
            <w:vAlign w:val="center"/>
          </w:tcPr>
          <w:p>
            <w:pPr>
              <w:pStyle w:val="TableContents"/>
              <w:bidi w:val="0"/>
              <w:spacing w:before="0" w:after="283"/>
              <w:jc w:val="left"/>
              <w:rPr/>
            </w:pPr>
            <w:r>
              <w:rPr/>
              <w:t>As adjusted net tangible book value per ordinary share after giving effect to the offering</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US$</w:t>
            </w:r>
          </w:p>
        </w:tc>
        <w:tc>
          <w:tcPr>
            <w:tcW w:w="2520" w:type="dxa"/>
            <w:tcBorders/>
            <w:shd w:fill="FFFFFF" w:val="clear"/>
            <w:vAlign w:val="center"/>
          </w:tcPr>
          <w:p>
            <w:pPr>
              <w:pStyle w:val="TableContents"/>
              <w:bidi w:val="0"/>
              <w:spacing w:before="0" w:after="283"/>
              <w:jc w:val="right"/>
              <w:rPr/>
            </w:pPr>
            <w:r>
              <w:rPr/>
              <w:t>&amp;NegativeThickSpace;5.24</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5939" w:type="dxa"/>
            <w:tcBorders/>
            <w:shd w:fill="CCEEFF" w:val="clear"/>
            <w:vAlign w:val="center"/>
          </w:tcPr>
          <w:p>
            <w:pPr>
              <w:pStyle w:val="TableContents"/>
              <w:bidi w:val="0"/>
              <w:spacing w:before="0" w:after="283"/>
              <w:jc w:val="left"/>
              <w:rPr/>
            </w:pPr>
            <w:r>
              <w:rPr/>
              <w:t>Dilution per share to new investors participating in the offering</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US$</w:t>
            </w:r>
          </w:p>
        </w:tc>
        <w:tc>
          <w:tcPr>
            <w:tcW w:w="2520" w:type="dxa"/>
            <w:tcBorders/>
            <w:shd w:fill="CCEEFF" w:val="clear"/>
            <w:vAlign w:val="center"/>
          </w:tcPr>
          <w:p>
            <w:pPr>
              <w:pStyle w:val="TableContents"/>
              <w:bidi w:val="0"/>
              <w:spacing w:before="0" w:after="283"/>
              <w:jc w:val="right"/>
              <w:rPr/>
            </w:pPr>
            <w:r>
              <w:rPr/>
              <w:t>5.64</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271,782,245 ordinary shares outstanding as of June 30, 2026. The number of ordinary shares outstanding as of June 30, 2026 excludes:</w:t>
      </w:r>
    </w:p>
    <w:p>
      <w:pPr>
        <w:pStyle w:val="TextBody"/>
        <w:bidi w:val="0"/>
        <w:spacing w:before="0" w:after="0"/>
        <w:ind w:left="0" w:right="0" w:firstLine="360"/>
        <w:jc w:val="both"/>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pPr>
            <w:r>
              <w:rPr/>
              <w:t>nil Class A ordinary shares that have been repurchased but not cancelled;</w:t>
            </w:r>
          </w:p>
        </w:tc>
      </w:tr>
    </w:tbl>
    <w:p>
      <w:pPr>
        <w:pStyle w:val="TextBody"/>
        <w:bidi w:val="0"/>
        <w:spacing w:before="0" w:after="0"/>
        <w:ind w:left="346" w:right="0" w:hanging="34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8,227,390 Class A ordinary shares issuable upon the exercise of outstanding share options and the settlement of restricted share units;</w:t>
            </w:r>
          </w:p>
        </w:tc>
      </w:tr>
    </w:tbl>
    <w:p>
      <w:pPr>
        <w:pStyle w:val="TextBody"/>
        <w:bidi w:val="0"/>
        <w:spacing w:before="0" w:after="0"/>
        <w:ind w:left="346" w:right="0" w:hanging="34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13,575,174 Class A ordinary shares reserved for future issuance under our 2023 Share Incentive Plan and 2023 Performance Share Plan;</w:t>
            </w:r>
          </w:p>
        </w:tc>
      </w:tr>
    </w:tbl>
    <w:p>
      <w:pPr>
        <w:pStyle w:val="TextBody"/>
        <w:bidi w:val="0"/>
        <w:spacing w:before="0" w:after="0"/>
        <w:ind w:left="346" w:right="0" w:hanging="34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all Class A ordinary shares reserved for future issuance upon conversion of the existing convertible senior notes;</w:t>
            </w:r>
          </w:p>
        </w:tc>
      </w:tr>
    </w:tbl>
    <w:p>
      <w:pPr>
        <w:pStyle w:val="TextBody"/>
        <w:bidi w:val="0"/>
        <w:spacing w:before="0" w:after="0"/>
        <w:ind w:left="346" w:right="0" w:hanging="34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3,600,000 Class A ordinary shares that we sold after June 30, 2026 and prior to the date of this prospectus supplement, pursuant to the Sales Agreement for gross proceeds of approximately US$50.3 million; and</w:t>
            </w:r>
          </w:p>
        </w:tc>
      </w:tr>
    </w:tbl>
    <w:p>
      <w:pPr>
        <w:pStyle w:val="TextBody"/>
        <w:bidi w:val="0"/>
        <w:spacing w:before="0" w:after="0"/>
        <w:ind w:left="346" w:right="0" w:hanging="34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Class A ordinary shares that become available subsequent to this offering under our 2023 Share Incentive Plan and 2023 Performance Share Plan pursuant to provisions thereof that automatically increase the share reserves under such plans each year.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table does not give effect to the exercise of any outstanding options, warrants or vesting of any restricted share units or restricted shares, or conversion of any of our debt securities. To the extent options or warrants are exercised or restricted share units or restricted shares vest, or our debt securities are converted into Class A ordinary shares, there may be further dilution to new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_009"/>
      <w:bookmarkEnd w:id="10"/>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with Barclays, Cantor, AGP, Benchmark, B. Riley Securities, BTIG, KBW, Needham, Northland, Rosenblatt, Roth and StockBlock, under which we may offer and sell our Class A ordinary shares from time to time through or to Barclays, Cantor, AGP, Benchmark, B. Riley Securities, BTIG, KBW, Needham, Northland, Rosenblatt, Roth and StockBlock, each acting as a Sales Agent. Pursuant to this prospectus supplement and accompanying prospectus, we may offer and sell up to US$1,000,000,000 of our Class A ordinary shares. Sales of our Class A ordinary shares, if any, under this prospectus supplement and the accompanying prospectus may be made in negotiated transactions, including block trades, or transactions that are deemed to be “at the market” offerings as defined in Rule 415 under the Securities Act, including sales made by means of ordinary brokers’ transactions, including directly on The Nasdaq Capital Market or sales made to or through a market maker other than on an exchange at prevailing market prices, at prices related to prevailing market prices or at negotiated prices or by any other method permitted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wish to issue and sell Class A ordinary shares under the Sales Agreement, we will notify a Sales Agent of the number of Class A ordinary shares to be sold, the time period during which such sales are requested to be made, any limitation on the number of Class A ordinary shares to be sold in any one day and any minimum price below which sales may not be made. Once we have so instructed such Sales Agent, unless the Sales Agent declines in writing to accept the terms of such notice, such Sales Agent has agreed to use commercially reasonable efforts consistent with its normal trading and sales practices to sell such Class A ordinary shares up to the amount specified on such terms. We have no obligation to sell any Class A ordinary shares under the Sales Agreement. The obligations of the Sales Agents under the Sales Agreement to sell our Class A ordinary shares are subject to a number of conditions that we must meet.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sales of our Class A ordinary shares between us and the Sales Agents is generally anticipated to occur on the first trading day following the date on which the sale was made. Sales of our Class A ordinary shares as contemplated in this prospectus supplement will be settled through the facilities of The Depository Trust Company or by such other means as we and the Sales Agents may agree upon. There is no arrangement for funds to be received in an escrow, trust or similar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Sales Agents a commission up to 3.0% of the aggregate gross proceeds we receive from each sale of our Class A ordinary shares. Because there is no minimum offering amount required as a condition to close this offering, the actual total public offering amount, commissions and proceeds to us, if any, are not determinable at this time. Except as we and the Sales Agent otherwise agree, we will reimburse the Sales Agents for certain ongoing disbursements of their legal counsel unless we and the Sales Agents otherwise agree. We estimate that the total expenses for the offering, excluding any commissions or expense reimbursement payable to the Sales Agents under the terms of the Sales Agreement, will be approximately $400,000. The remaining proceeds, after deducting any other transaction fees, will equal our net proceeds from the sale of our Class A ordinary shares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Agents will provide written confirmation to us as soon as practicable after the close on Nasdaq on each day on which Class A ordinary shares are sold under the Sales Agreement. Each confirmation will include the number of Class A ordinary shares sold on that day, the aggregate gross proceeds of such sales and the proceeds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ordinary shares on our behalf, each Sales Agent will be deemed to be an “underwriter” within the meaning of the Securities Act, and the compensation of the Sales Agents will be deemed to be underwriting commissions or discounts. We have agreed, from and after the delivery of the initial placement notice to an Agent under the Sales Agreement, not to offer, issue or sell (other than the settlement of any share issuances for sales made prior to the delivery of such placement notice) any shares pursuant to the At Market Issuance Sales Agreement among us and B. Riley Securities, Cantor, Needham, Roth, StockBlock and Rosenblatt, dated March 18, 2024 (the “2024 Sales Agreement”). We have agreed to indemnify the Sales Agents against certain liabilities, including civil liabilities under the Securities Act. We have also agreed to contribute to payments the Sales Agents may be required to make in respect of such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ordinary shares pursuant to the sales agreement will terminate upon the earlier of (i) the sale of all Class A ordinary shares subject to the Sales Agreement and (ii) the termination of the Sales Agreement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 A copy of the sales agreement will be filed as an exhibit to the Company’s report on Form 6-K.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agents and their respective affiliates have in the past and may in the future provide various investment banking, commercial banking, financial advisory and other financial services for us and our affiliates, for which services they have received or may in the future receive customary fees. In particular, we and B. Riley Principal Capital II, LLC, an affiliate of B. Riley, are party to that certain Ordinary Share Purchase Agreement, dated as of August 8, 2023, pursuant to which we have the right to sell to B. Riley Principal Capital II, LLC up to US$150,000,000 of our Class A ordinary shares. On March 18, 2024, we entered into the 2024 Sales Agreement, pursuant to which we may offer and sell our Class A ordinary shares having an aggregate offering price of up to US$250 million from time to time through or to the sales agents, as agent or principal. On August 15, 2024, we entered into an Underwriting Agreement with BTIG, as representative of the underwriters named therein, including BTIG, AGP, Benchmark, Needham, and Roth, pursuant to which we issued and sold to the underwriters an aggregate of US$150,000,000 principal amount of our 8.50% Convertible Senior Notes due 2029. On November 22, 2024, we entered into a Purchase Agreement with Barclays, BTIG, Northland, Benchmark, Needham and Roth, pursuant to which we issued and sold to the initial purchasers US$400,000,000 principal amount of 5.25% Convertible Senior Notes due 2029 in a private placement. On June 18, 2025, we entered into a Purchase Agreement with Barclays and BTIG, pursuant to which we issued and sold to the initial purchasers US$375,000,000 principal amount of 4.875% Convertible Senior Notes due 2031 in a private placement. On November 12, 2025, we entered into a Purchase Agreement with Barclays, pursuant to which we issued and sold to the initial purchasers US$400,000,000 principal amount of 4.00% Convertible Senior Notes due 2031 in a private placement. In the same month, we completed a registered direct offering of 10,661,140 of our Class A ordinary shares at a price of US$13.94 per share, with Barclays as placement agent. On February 19, 2026, we entered into a Purchase Agreement with Barclays, among others, pursuant to which we issued and sold to the initial purchasers US$375,000,000 principal amount of 5.00% Convertible Senior Notes due 2032 in a private placement. In the same month, we completed a registered direct offering of 5,503,030 of our Class A ordinary shares at a price of US$7.94 per share, with Barclays as placement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Regulation M under the Exchange Act, none of the Sales Agents will engage in any market-making activities involving our Class A ordinary shares while the offering is ongoing under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and the accompanying prospectus in electronic format may be made available on a website maintained by each sales agent, and each sales agent may distribute the prospectus supplement and the accompanying prospectus electronically. The address of Barclays is 745 Seventh Avenue New York, New York 10019. The address of Cantor is 110 E. 59th St., 6th Floor, New York, NY 10022. The address of AGP is 590 Madison Avenue, 28th Floor, New York, NY 10022. The address of Benchmark is 150 E. 58th Street, 17th Floor, New York, NY 10155. The address of B. Riley Securities is 299 Park Avenue, 21st Floor, New York, NY 10171. The address of BTIG is 350 Bush Street, 9th Floor, San Francisco, CA 94104. The address of Needham &amp; Company is 250 Park Avenue, 10th Floor, New York, NY 10177. The address of Northland is 150 South Fifth Street, Suite 3300, Minneapolis, Minnesota 55402. The address of Rosenblatt is 40 Wall Street, New York, NY 10005. The address of Roth is 888 San Clemente Drive, Suite 400, Newport Beach, CA 92660. The address of StockBlock is 600 Lexington Avenue, 32nd Floor, New York, New York 10022.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_010"/>
      <w:bookmarkEnd w:id="11"/>
      <w:r>
        <w:rPr>
          <w:rFonts w:ascii="Times New Roman;Times;Serif" w:hAnsi="Times New Roman;Times;Serif"/>
          <w:b/>
          <w:i w:val="false"/>
          <w:caps w:val="false"/>
          <w:smallCaps w:val="false"/>
          <w:sz w:val="20"/>
        </w:rPr>
        <w:t xml:space="preserve">TAX CONSIDERATIONS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considerations generally applicable to the acquisition, ownership, and disposition of Class A ordinary shares by a “U.S. Holder” (as defined below). This discussion applies only to Class A ordinary shares that are held by a U.S. Holder as “capital assets” within the meaning of Section 1221 of the U.S. Internal Revenue Code of 1986, as amended (the “Code”) (generally, property held for investment). For purposes of this discussion, “ordinary shares” refer to Class A ordinary shares.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any alternative minimum tax, the special tax accounting rules under Section 451(b) of the Code, the Medicare contribution tax on net investment income, or any tax consequences that may be relevant to U.S. Holders that are subject to special tax rules, including, without limitation:</w:t>
      </w:r>
    </w:p>
    <w:p>
      <w:pPr>
        <w:pStyle w:val="TextBody"/>
        <w:bidi w:val="0"/>
        <w:spacing w:before="0" w:after="0"/>
        <w:ind w:left="900" w:right="0" w:hanging="45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banks or other financial institutions;</w:t>
            </w:r>
          </w:p>
        </w:tc>
      </w:tr>
    </w:tbl>
    <w:p>
      <w:pPr>
        <w:pStyle w:val="TextBody"/>
        <w:bidi w:val="0"/>
        <w:spacing w:before="0" w:after="0"/>
        <w:ind w:left="900" w:right="0" w:hanging="45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pPr>
            <w:r>
              <w:rPr/>
              <w:t>insurance companies;</w:t>
            </w:r>
          </w:p>
        </w:tc>
      </w:tr>
    </w:tbl>
    <w:p>
      <w:pPr>
        <w:pStyle w:val="TextBody"/>
        <w:bidi w:val="0"/>
        <w:spacing w:before="0" w:after="0"/>
        <w:ind w:left="900" w:right="0" w:hanging="45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pPr>
            <w:r>
              <w:rPr/>
              <w:t>mutual funds;</w:t>
            </w:r>
          </w:p>
        </w:tc>
      </w:tr>
    </w:tbl>
    <w:p>
      <w:pPr>
        <w:pStyle w:val="TextBody"/>
        <w:bidi w:val="0"/>
        <w:spacing w:before="0" w:after="0"/>
        <w:ind w:left="900" w:right="0" w:hanging="45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pension or retirement plans;</w:t>
            </w:r>
          </w:p>
        </w:tc>
      </w:tr>
    </w:tbl>
    <w:p>
      <w:pPr>
        <w:pStyle w:val="TextBody"/>
        <w:bidi w:val="0"/>
        <w:spacing w:before="0" w:after="0"/>
        <w:ind w:left="900" w:right="0" w:hanging="45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S corporations;</w:t>
            </w:r>
          </w:p>
        </w:tc>
      </w:tr>
    </w:tbl>
    <w:p>
      <w:pPr>
        <w:pStyle w:val="TextBody"/>
        <w:bidi w:val="0"/>
        <w:spacing w:before="0" w:after="0"/>
        <w:ind w:left="900" w:right="0" w:hanging="45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pPr>
            <w:r>
              <w:rPr/>
              <w:t>broker or dealers in securities or currencies;</w:t>
            </w:r>
          </w:p>
        </w:tc>
      </w:tr>
    </w:tbl>
    <w:p>
      <w:pPr>
        <w:pStyle w:val="TextBody"/>
        <w:bidi w:val="0"/>
        <w:spacing w:before="0" w:after="0"/>
        <w:ind w:left="900" w:right="0" w:hanging="45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pPr>
            <w:r>
              <w:rPr/>
              <w:t>traders in securities that elect mark-to-market treatment;</w:t>
            </w:r>
          </w:p>
        </w:tc>
      </w:tr>
    </w:tbl>
    <w:p>
      <w:pPr>
        <w:pStyle w:val="TextBody"/>
        <w:bidi w:val="0"/>
        <w:spacing w:before="0" w:after="0"/>
        <w:ind w:left="900" w:right="0" w:hanging="45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900" w:right="0" w:hanging="45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pPr>
            <w:r>
              <w:rPr/>
              <w:t>real estate investment trusts;</w:t>
            </w:r>
          </w:p>
        </w:tc>
      </w:tr>
    </w:tbl>
    <w:p>
      <w:pPr>
        <w:pStyle w:val="TextBody"/>
        <w:bidi w:val="0"/>
        <w:spacing w:before="0" w:after="0"/>
        <w:ind w:left="900" w:right="0" w:hanging="45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pPr>
            <w:r>
              <w:rPr/>
              <w:t>trusts or estates;</w:t>
            </w:r>
          </w:p>
        </w:tc>
      </w:tr>
    </w:tbl>
    <w:p>
      <w:pPr>
        <w:pStyle w:val="TextBody"/>
        <w:bidi w:val="0"/>
        <w:spacing w:before="0" w:after="0"/>
        <w:ind w:left="900" w:right="0" w:hanging="450"/>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both"/>
              <w:rPr/>
            </w:pPr>
            <w:r>
              <w:rPr/>
              <w:t>tax-exempt organizations (including private foundations);</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persons that hold Ordinary Shares as part of a “straddle,” “hedge,” “conversion,” “synthetic security,” “constructive sale,” or other integrated transaction for U.S. federal income tax purposes;</w:t>
            </w:r>
          </w:p>
        </w:tc>
      </w:tr>
    </w:tbl>
    <w:p>
      <w:pPr>
        <w:pStyle w:val="TextBody"/>
        <w:bidi w:val="0"/>
        <w:spacing w:before="0" w:after="0"/>
        <w:ind w:left="900" w:right="0" w:hanging="450"/>
        <w:jc w:val="both"/>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pPr>
            <w:r>
              <w:rPr/>
              <w:t>persons that have a functional currency other than the U.S. dollar;</w:t>
            </w:r>
          </w:p>
        </w:tc>
      </w:tr>
    </w:tbl>
    <w:p>
      <w:pPr>
        <w:pStyle w:val="TextBody"/>
        <w:bidi w:val="0"/>
        <w:spacing w:before="0" w:after="0"/>
        <w:ind w:left="900" w:right="0" w:hanging="45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pPr>
            <w:r>
              <w:rPr/>
              <w:t>certain U.S. expatriates or former long-term residents of the United States;</w:t>
            </w:r>
          </w:p>
        </w:tc>
      </w:tr>
    </w:tbl>
    <w:p>
      <w:pPr>
        <w:pStyle w:val="TextBody"/>
        <w:bidi w:val="0"/>
        <w:spacing w:before="0" w:after="0"/>
        <w:ind w:left="900" w:right="0" w:hanging="45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pPr>
            <w:r>
              <w:rPr/>
              <w:t>persons owning (directly, indirectly, or constructively) 5% (by vote or value) or more of our shares;</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persons that acquired Ordinary Shares pursuant to an exercise of employee stock options or otherwise as compensation;</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partnerships or other entities or arrangements treated as pass-through entities for U.S. federal income tax purposes and investors in such entities;</w:t>
            </w:r>
          </w:p>
        </w:tc>
      </w:tr>
    </w:tbl>
    <w:p>
      <w:pPr>
        <w:pStyle w:val="TextBody"/>
        <w:bidi w:val="0"/>
        <w:spacing w:before="0" w:after="0"/>
        <w:ind w:left="900" w:right="0" w:hanging="45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pPr>
            <w:r>
              <w:rPr/>
              <w:t>“</w:t>
            </w:r>
            <w:r>
              <w:rPr/>
              <w:t>controlled foreign corporations” within the meaning of Section 957(a) of the Code;</w:t>
            </w:r>
          </w:p>
        </w:tc>
      </w:tr>
    </w:tbl>
    <w:p>
      <w:pPr>
        <w:pStyle w:val="TextBody"/>
        <w:bidi w:val="0"/>
        <w:spacing w:before="0" w:after="0"/>
        <w:ind w:left="900" w:right="0" w:hanging="450"/>
        <w:jc w:val="both"/>
        <w:rPr>
          <w:caps w:val="false"/>
          <w:smallCaps w:val="false"/>
        </w:rPr>
      </w:pPr>
      <w:r>
        <w:rPr>
          <w:caps w:val="false"/>
          <w:smallCaps w:val="false"/>
        </w:rPr>
        <w:t> </w:t>
      </w:r>
    </w:p>
    <w:p>
      <w:pPr>
        <w:pStyle w:val="TextBody"/>
        <w:bidi w:val="0"/>
        <w:spacing w:before="0" w:after="0"/>
        <w:ind w:left="900" w:right="0" w:hanging="45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900" w:right="0" w:hanging="45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pPr>
            <w:r>
              <w:rPr/>
              <w:t>“</w:t>
            </w:r>
            <w:r>
              <w:rPr/>
              <w:t>passive foreign investment companies” within the meaning of Section 1297(a) of the Code; and</w:t>
            </w:r>
          </w:p>
        </w:tc>
      </w:tr>
    </w:tbl>
    <w:p>
      <w:pPr>
        <w:pStyle w:val="TextBody"/>
        <w:bidi w:val="0"/>
        <w:spacing w:before="0" w:after="0"/>
        <w:ind w:left="900" w:right="0" w:hanging="45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pPr>
            <w:r>
              <w:rPr/>
              <w:t>corporations that accumulate earnings to avoid U.S. federal income tax.</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ordinary shares, that is, for U.S. federal income tax purposes:</w:t>
      </w:r>
    </w:p>
    <w:p>
      <w:pPr>
        <w:pStyle w:val="TextBody"/>
        <w:bidi w:val="0"/>
        <w:spacing w:before="0" w:after="0"/>
        <w:ind w:left="900" w:right="0" w:hanging="45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pPr>
            <w:r>
              <w:rPr/>
              <w:t>an individual who is a U.S. citizen or resident of the United States;</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corporation (including an entity treated as a corporation for U.S. federal income tax purposes) created or organized in or under the laws of the United States, any state thereof, or the District of Columbia;</w:t>
            </w:r>
          </w:p>
        </w:tc>
      </w:tr>
    </w:tbl>
    <w:p>
      <w:pPr>
        <w:pStyle w:val="TextBody"/>
        <w:bidi w:val="0"/>
        <w:spacing w:before="0" w:after="0"/>
        <w:ind w:left="900" w:right="0" w:hanging="45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TAX CONSEQUENCES OF THE ACQUISITION, OWNERSHIP, AND DISPOSITION OF ORDINARY SHARES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on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(“PFIC”) rules discussed below under “––Passive Foreign Investment Company Rules,”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advisors regarding the application of such rules, including the creditability of foreign taxes,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or Other Taxable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Any such gain or loss recognized by a U.S. Holder will generally be treated as U.S. source gain or loss for foreign tax credit limitation purposes. Consequently, a U.S. Holder may not be able to use any foreign tax credit arising from any foreign tax imposed on the disposition of our ordinary shares unless such credit can be applied (subject to applicable limitations) against tax due on other income treated as derived from non-U.S. 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 However, if our ordinary shares are treated as traded on an “established securities market” and the U.S. Holder is either a cash basis taxpayer or an accrual basis taxpayer that has made a special election (which must be applied consistently from year to year and cannot be changed without the consent of the IRS), the U.S. Holder will determine the U.S. dollar value of the amount realized in a non-U.S. dollar currency by translating the amount received at the spot rate of exchange on the settlement date of the sale. Any such foreign currency gain or loss will be U.S.-source for foreign tax credit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during such year consists of assets that produce, or are held for the production of, passive income, or (ii) 75% or more of its gross income for such year consists of passive income. Passive income generally includes dividends, interest, royalties, rents, annuities,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indirectly or constructively, at least 25% by value of the stock of another corporation is treated as if it held its proportionate share of the assets of the other corporation, and received directly its proportionate share of the income of the other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analysis of our income, assets, activities, and market capitalization, we believe that we were not a PFIC, for the taxable year ended December 31, 2025. However, our PFIC status for any taxable year is a factual annual determination that can be made only after the end of that year and will depend on the composition of our income and assets and the value of our assets from time to time (including the value of our goodwill, which may be determined in large part by reference to the market price of our ordinary shares from time to time, which could be volatile). In addition, the risk of us being a PFIC for any taxable year will increase if our market capitalization declines substantially during that year. Furthermore, whether and to which extent our income and assets, including goodwill, will be characterized as active or passive will depend on various factors that are subject to uncertainty, including our future business plan and the application of laws that are subject to varying interpretation. For example, there is no authority that directly addresses the proper treatment of certain items of our income, such as income from cryptocurrency self-mining, cloud hash rate, or hosting for purposes of the PFIC rules and, although we currently treat these items of income as active, such treatment is uncertain. Moreover, certain of our business activities generate passive income and, although the amount of such income is currently small, our risk of being a PFIC will increase if the proportion of our revenue earned from such business activities increases in future taxable years. Accordingly, there can be no assurances that we will not be a PFIC for our current or any future taxable year, and our U.S. counsel expresses no opinion with respect to our PFIC status for any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PFIC status is generally determined annually, if we are determined to be a PFIC for any taxable year (or portion thereof) that is included in the holding period of a U.S. Holder in the U.S. Holder’s ordinary shares and the U.S. Holder did not make either a mark-to-market election or a qualifying electing fund (“QEF”) election,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 Under these rules:</w:t>
      </w:r>
    </w:p>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U.S. Holder’s gain or excess distribution will be allocated ratably over the U.S. Holder’s holding period in its ordinary shares;</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amount allocated to other taxable years (or portions thereof) of the U.S. Holder and included in the U.S. Holder’s holding period will be taxed at the highest tax rate in effect for that year and applicable to the U.S. Holder; and</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PFIC Elections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our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made, a mark-to-market election would be effective for the taxable year for which the election was made and for all subsequent taxable years unless our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U.S. Holder’s ordinary shares solely for purposes of the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PFIC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at any time, have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PFIC RULES ARE VERY COMPLEX AND U.S. HOLDERS SHOULD CONSULT THEIR TAX ADVISORS REGARDING THE APPLICATION OF SUCH RULES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certain entities that own “specified foreign financial assets” with an aggregate value in excess of certain thresholds generally are required to file an information report with respect to such assets with their tax returns. U.S. Holders should consult their tax advisors regarding the information reporting requirements and the application of the backup withholding rules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AND THE EFFECT OF ANY TAX TREATIES,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Cayman Islands Tax Considerations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consult their professional advisors on the possible tax consequences of buying, holding or selling any shares under the laws of their country of citizenship, residence or domicile.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Existing Cayman Islands Laws:</w:t>
      </w:r>
    </w:p>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No stamp duty is payable in respect of the issue of our securities or on an instrument of transfer in respect of our securities, except for stamp duties which may be applicable on instruments executed in, or, after execution, brought within the jurisdiction of the Cayman Islands.</w:t>
            </w:r>
          </w:p>
        </w:tc>
      </w:tr>
    </w:tbl>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Cayman Islands currently levy no taxes on individuals or corporations based upon profits, income, gains or appreciations and there is no taxation in the nature of inheritance tax or estate duty. There are no other taxes likely to be material to us levied by the Government of the Cayman Islands save certain stamp duties which may be applicable, from time to time, on certain instruments executed in or brought within the jurisdiction of the Cayman Islands.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_011"/>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being represented by Cooley LLP, New York, New York, with respect to certain legal matters as to United States federal securities and New York State law. The validity of ordinary shares has been passed on by Ogier. The Sales Agents are being represented by Goodwin Procter LLP in connection with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_012"/>
      <w:bookmarkEnd w:id="13"/>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and management’s assessment of the effectiveness of internal control over financial reporting (which is included in Management’s Annual Report on Internal Control over Financial Reporting) of Bitdeer Technologies Group incorporated in this prospectus supplement by reference to the Annual Report on Form 20-F for the year ended December 31, 2025 have been so incorporated in reliance on the report of MaloneBailey, LLP,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_013"/>
      <w:bookmarkEnd w:id="14"/>
      <w:r>
        <w:rPr>
          <w:rFonts w:ascii="Times New Roman;Times;Serif" w:hAnsi="Times New Roman;Times;Serif"/>
          <w:b/>
          <w:i w:val="false"/>
          <w:caps w:val="false"/>
          <w:smallCaps w:val="false"/>
          <w:sz w:val="20"/>
        </w:rPr>
        <w:t>ENFORCEABILITY OF CIVIL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bidi w:val="0"/>
        <w:spacing w:before="0" w:after="0"/>
        <w:ind w:left="900" w:right="0" w:hanging="45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pPr>
            <w:r>
              <w:rPr/>
              <w:t>political and economic stability;</w:t>
            </w:r>
          </w:p>
        </w:tc>
      </w:tr>
    </w:tbl>
    <w:p>
      <w:pPr>
        <w:pStyle w:val="TextBody"/>
        <w:bidi w:val="0"/>
        <w:spacing w:before="0" w:after="0"/>
        <w:ind w:left="900" w:right="0" w:hanging="45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an effective judicial system;</w:t>
            </w:r>
          </w:p>
        </w:tc>
      </w:tr>
    </w:tbl>
    <w:p>
      <w:pPr>
        <w:pStyle w:val="TextBody"/>
        <w:bidi w:val="0"/>
        <w:spacing w:before="0" w:after="0"/>
        <w:ind w:left="900" w:right="0" w:hanging="45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pPr>
            <w:r>
              <w:rPr/>
              <w:t>tax neutrality;</w:t>
            </w:r>
          </w:p>
        </w:tc>
      </w:tr>
    </w:tbl>
    <w:p>
      <w:pPr>
        <w:pStyle w:val="TextBody"/>
        <w:bidi w:val="0"/>
        <w:spacing w:before="0" w:after="0"/>
        <w:ind w:left="900" w:right="0" w:hanging="45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the absence of exchange control or currency restrictions; and</w:t>
            </w:r>
          </w:p>
        </w:tc>
      </w:tr>
    </w:tbl>
    <w:p>
      <w:pPr>
        <w:pStyle w:val="TextBody"/>
        <w:bidi w:val="0"/>
        <w:spacing w:before="0" w:after="0"/>
        <w:ind w:left="900" w:right="0" w:hanging="45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pPr>
            <w:r>
              <w:rPr/>
              <w:t>the availability of professional and support services.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90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Cayman Islands has a less developed body of securities laws as compared to the United States and these securities laws provide significantly less protection to investors as compared to those of the United States; and</w:t>
            </w:r>
          </w:p>
        </w:tc>
      </w:tr>
    </w:tbl>
    <w:p>
      <w:pPr>
        <w:pStyle w:val="TextBody"/>
        <w:bidi w:val="0"/>
        <w:spacing w:before="0" w:after="0"/>
        <w:ind w:left="900" w:right="0" w:hanging="45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constituent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our counsel as to Cayman Islands law, has advised us that there is uncertainty as to whether the courts of the Cayman Islands would (i) recognize or enforce against us judgments of courts of the United States based on certain civil liability provisions of U.S. securities laws, and (ii) entertain original actions brought in the Cayman Islands against us or our directors or officers that are predicated upon the federal securities laws of the United States or the securities laws of any state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firstLine="36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245"/>
        <w:gridCol w:w="92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(a)</w:t>
            </w:r>
          </w:p>
        </w:tc>
        <w:tc>
          <w:tcPr>
            <w:tcW w:w="9200" w:type="dxa"/>
            <w:tcBorders/>
            <w:vAlign w:val="center"/>
          </w:tcPr>
          <w:p>
            <w:pPr>
              <w:pStyle w:val="TableContents"/>
              <w:bidi w:val="0"/>
              <w:spacing w:before="0" w:after="283"/>
              <w:jc w:val="both"/>
              <w:rPr>
                <w:sz w:val="20"/>
              </w:rPr>
            </w:pPr>
            <w:r>
              <w:rPr>
                <w:sz w:val="20"/>
              </w:rPr>
              <w:t>is given by a foreign court of competent jurisdiction;</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 </w:t>
            </w:r>
          </w:p>
        </w:tc>
        <w:tc>
          <w:tcPr>
            <w:tcW w:w="92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(b)</w:t>
            </w:r>
          </w:p>
        </w:tc>
        <w:tc>
          <w:tcPr>
            <w:tcW w:w="9200" w:type="dxa"/>
            <w:tcBorders/>
            <w:vAlign w:val="center"/>
          </w:tcPr>
          <w:p>
            <w:pPr>
              <w:pStyle w:val="TableContents"/>
              <w:bidi w:val="0"/>
              <w:spacing w:before="0" w:after="283"/>
              <w:jc w:val="both"/>
              <w:rPr>
                <w:sz w:val="20"/>
              </w:rPr>
            </w:pPr>
            <w:r>
              <w:rPr>
                <w:sz w:val="20"/>
              </w:rPr>
              <w:t>imposes on the judgment debtor a liability to pay a liquidated sum for which the judgment has been given;</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 </w:t>
            </w:r>
          </w:p>
        </w:tc>
        <w:tc>
          <w:tcPr>
            <w:tcW w:w="92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(c)</w:t>
            </w:r>
          </w:p>
        </w:tc>
        <w:tc>
          <w:tcPr>
            <w:tcW w:w="9200" w:type="dxa"/>
            <w:tcBorders/>
            <w:vAlign w:val="center"/>
          </w:tcPr>
          <w:p>
            <w:pPr>
              <w:pStyle w:val="TableContents"/>
              <w:bidi w:val="0"/>
              <w:spacing w:before="0" w:after="283"/>
              <w:jc w:val="both"/>
              <w:rPr>
                <w:sz w:val="20"/>
              </w:rPr>
            </w:pPr>
            <w:r>
              <w:rPr>
                <w:sz w:val="20"/>
              </w:rPr>
              <w:t>is final and conclusive;</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 </w:t>
            </w:r>
          </w:p>
        </w:tc>
        <w:tc>
          <w:tcPr>
            <w:tcW w:w="92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(d)</w:t>
            </w:r>
          </w:p>
        </w:tc>
        <w:tc>
          <w:tcPr>
            <w:tcW w:w="9200" w:type="dxa"/>
            <w:tcBorders/>
            <w:vAlign w:val="center"/>
          </w:tcPr>
          <w:p>
            <w:pPr>
              <w:pStyle w:val="TableContents"/>
              <w:bidi w:val="0"/>
              <w:spacing w:before="0" w:after="283"/>
              <w:jc w:val="both"/>
              <w:rPr>
                <w:sz w:val="20"/>
              </w:rPr>
            </w:pPr>
            <w:r>
              <w:rPr>
                <w:sz w:val="20"/>
              </w:rPr>
              <w:t>is not in respect of taxes, a fine or a penalty;</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 </w:t>
            </w:r>
          </w:p>
        </w:tc>
        <w:tc>
          <w:tcPr>
            <w:tcW w:w="92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(e)</w:t>
            </w:r>
          </w:p>
        </w:tc>
        <w:tc>
          <w:tcPr>
            <w:tcW w:w="9200" w:type="dxa"/>
            <w:tcBorders/>
            <w:vAlign w:val="center"/>
          </w:tcPr>
          <w:p>
            <w:pPr>
              <w:pStyle w:val="TableContents"/>
              <w:bidi w:val="0"/>
              <w:spacing w:before="0" w:after="283"/>
              <w:jc w:val="both"/>
              <w:rPr>
                <w:sz w:val="20"/>
              </w:rPr>
            </w:pPr>
            <w:r>
              <w:rPr>
                <w:sz w:val="20"/>
              </w:rPr>
              <w:t>was not obtained by fraud; and</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 </w:t>
            </w:r>
          </w:p>
        </w:tc>
        <w:tc>
          <w:tcPr>
            <w:tcW w:w="92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(f)</w:t>
            </w:r>
          </w:p>
        </w:tc>
        <w:tc>
          <w:tcPr>
            <w:tcW w:w="9200" w:type="dxa"/>
            <w:tcBorders/>
            <w:vAlign w:val="center"/>
          </w:tcPr>
          <w:p>
            <w:pPr>
              <w:pStyle w:val="TableContents"/>
              <w:bidi w:val="0"/>
              <w:spacing w:before="0" w:after="283"/>
              <w:jc w:val="both"/>
              <w:rPr>
                <w:sz w:val="20"/>
              </w:rPr>
            </w:pPr>
            <w:r>
              <w:rPr>
                <w:sz w:val="20"/>
              </w:rPr>
              <w:t>is not of a kind the enforcement of which is contrary to natural justice or the public policy of the Cayman Islands.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_014"/>
      <w:bookmarkEnd w:id="15"/>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an automatic “shelf” registration statement (including amendments and exhibits to the registration statement) on Form F-3 under the Securities Act. This prospectus supplement, which is part of the registration statement,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applicable to foreign private issuers. Accordingly, we will be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 filings, including the registration statement, are available to you on the SEC’s website at http://www.sec.gov. This site contains reports, proxy and information statements and other information regarding issuers that file electronically with the SEC. We also maintain a website at https://www.bitdeer.com/.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s_015"/>
      <w:bookmarkEnd w:id="16"/>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incorporates by reference important information about the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statement contained in any document incorporated or deemed to be incorporated by reference herein shall be deemed to be modified or superseded for purposes of this prospectus supplement to the extent that a statement contained in this prospectus supplement or any accompanying prospectus,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We incorporate by reference:</w:t>
      </w:r>
    </w:p>
    <w:p>
      <w:pPr>
        <w:pStyle w:val="TextBody"/>
        <w:bidi w:val="0"/>
        <w:spacing w:before="0" w:after="0"/>
        <w:ind w:left="1134" w:right="0" w:hanging="4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for the year ended December 31, 2025 on </w:t>
            </w:r>
            <w:hyperlink r:id="rId3">
              <w:r>
                <w:rPr>
                  <w:rStyle w:val="InternetLink"/>
                </w:rPr>
                <w:t>Form 20-F</w:t>
              </w:r>
            </w:hyperlink>
            <w:r>
              <w:rPr/>
              <w:t>, filed with the SEC on April 30, 2026;</w:t>
            </w:r>
          </w:p>
        </w:tc>
      </w:tr>
    </w:tbl>
    <w:p>
      <w:pPr>
        <w:pStyle w:val="TextBody"/>
        <w:bidi w:val="0"/>
        <w:spacing w:before="0" w:after="0"/>
        <w:ind w:left="113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Reports on Form 6-K furnished to the SEC on </w:t>
            </w:r>
            <w:hyperlink r:id="rId4">
              <w:r>
                <w:rPr>
                  <w:rStyle w:val="InternetLink"/>
                </w:rPr>
                <w:t>May 27, 2026</w:t>
              </w:r>
            </w:hyperlink>
            <w:r>
              <w:rPr/>
              <w:t xml:space="preserve">, </w:t>
            </w:r>
            <w:hyperlink r:id="rId5">
              <w:r>
                <w:rPr>
                  <w:rStyle w:val="InternetLink"/>
                </w:rPr>
                <w:t>June 8, 2026</w:t>
              </w:r>
            </w:hyperlink>
            <w:r>
              <w:rPr/>
              <w:t xml:space="preserve">, </w:t>
            </w:r>
            <w:hyperlink r:id="rId6">
              <w:r>
                <w:rPr>
                  <w:rStyle w:val="InternetLink"/>
                </w:rPr>
                <w:t>July 6, 2026</w:t>
              </w:r>
            </w:hyperlink>
            <w:r>
              <w:rPr/>
              <w:t xml:space="preserve"> and </w:t>
            </w:r>
            <w:hyperlink r:id="rId7">
              <w:r>
                <w:rPr>
                  <w:rStyle w:val="InternetLink"/>
                </w:rPr>
                <w:t>August 3, 2026</w:t>
              </w:r>
            </w:hyperlink>
            <w:r>
              <w:rPr/>
              <w:t>;</w:t>
            </w:r>
          </w:p>
        </w:tc>
      </w:tr>
    </w:tbl>
    <w:p>
      <w:pPr>
        <w:pStyle w:val="TextBody"/>
        <w:bidi w:val="0"/>
        <w:spacing w:before="0" w:after="0"/>
        <w:ind w:left="113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ordinary shares contained in our registration statement on </w:t>
            </w:r>
            <w:hyperlink r:id="rId8">
              <w:r>
                <w:rPr>
                  <w:rStyle w:val="InternetLink"/>
                </w:rPr>
                <w:t>Form 8-A</w:t>
              </w:r>
            </w:hyperlink>
            <w:r>
              <w:rPr/>
              <w:t xml:space="preserve"> filed with the SEC on April 12, 2023, and any amendment or report filed for the purpose of updating such description;</w:t>
            </w:r>
          </w:p>
        </w:tc>
      </w:tr>
    </w:tbl>
    <w:p>
      <w:pPr>
        <w:pStyle w:val="TextBody"/>
        <w:bidi w:val="0"/>
        <w:spacing w:before="0" w:after="0"/>
        <w:ind w:left="113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9">
              <w:r>
                <w:rPr>
                  <w:rStyle w:val="InternetLink"/>
                </w:rPr>
                <w:t>Form 6-K</w:t>
              </w:r>
            </w:hyperlink>
            <w:r>
              <w:rPr/>
              <w:t xml:space="preserve"> furnished to the SEC on May 14, 2026 that attaches as an exhibit our Unaudited Interim Condensed Consolidated Financial Statements, for the three months ended March 31, 2026 and 2025 (other than to the extent the filing includes forward-looking guidance or projections); and</w:t>
            </w:r>
          </w:p>
        </w:tc>
      </w:tr>
    </w:tbl>
    <w:p>
      <w:pPr>
        <w:pStyle w:val="TextBody"/>
        <w:bidi w:val="0"/>
        <w:spacing w:before="0" w:after="0"/>
        <w:ind w:left="113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10">
              <w:r>
                <w:rPr>
                  <w:rStyle w:val="InternetLink"/>
                </w:rPr>
                <w:t>Form 6-K</w:t>
              </w:r>
            </w:hyperlink>
            <w:r>
              <w:rPr/>
              <w:t xml:space="preserve"> furnished to the SEC on August 10, 2026 that attaches as an exhibit our Unaudited Interim Condensed Consolidated Financial Statements, for the six months ended June 30, 2026 and 2025 (other than to the extent the filing includes forward-looking guidance or projections).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supplement forms a part, shall be incorporated by reference. We may incorporate by reference any reports on Form 6-K that we furnish to the SEC that we specifically identify in such form or in any applicable prospectus supplement as being incorporated by reference into this prospectus supplement or such prospectus supplement (i) after the filing of the registration statement of which this prospectus supplement forms a part and prior to the effectiveness of such registration statement and (ii) after the date of this prospectus supplement and prior to the completion of an offering of securities under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filings with the SEC, including annual reports on Form 20-F and current reports on Form 6-K and amendments to those reports, are available electronically on the SEC’s website at www.sec.gov.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 Kallang Avenue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Aperia tower 1, #09-03/04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339509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 62828220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S-20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0040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3200400" cy="619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b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b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any combination of our ordinary shares, preferred shares, debt securities, warrants and a combination of such securities, separately or as units, (collectively, the “securities”), in one or more offerings. We may also offer ordinary shares or preferred shares upon conversion of debt securities, ordinary shares upon conversion of preferred shares, or ordinary shares, preferred shares or debt securities upon the exercise of warrants. We may offer, issue and sell any combination of the securities described in this prospectus in different series, at times, in amounts, at prices and on terms to be determined at or prior to the time of each offering. In addition, from time to time, the selling securityholders to be named in a prospectus supplement may offer and sell Class A ordinary shares or other securities held by them, through public or private transactions at prevailing market prices or at privately negotiated prices. We will not receive any proceeds from the sale of the securities by the 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the section titled “Plan of Distribution” beginning on page 30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The Nasdaq Capital Market (“Nasdaq”) under the symbol “BTDR.” On August 7, 2026, the closing price of our Class A ordinary shares was US$10.88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section titled “Risk Factors” beginning on page 6 of this prospectus and, if applicable, any risk factors described in any applicable prospectus supplement and in our U.S. Securities and Exchange Commission (“SEC”) filings that are incorporated by reference in this prospectus. We may also include specific risk factors in supplements to this prospectus under the caption “Risk Factors.” This prospectus may not be used to sell our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 or any state securities commission has approved or disapproved of the securities or determined if this prospectus is accurate or adequate.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The date of this prospectus is August 10, 2026</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firstLine="72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8840"/>
        <w:gridCol w:w="60"/>
        <w:gridCol w:w="275"/>
      </w:tblGrid>
      <w:tr>
        <w:trPr/>
        <w:tc>
          <w:tcPr>
            <w:tcW w:w="884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ii</w:t>
            </w:r>
          </w:p>
        </w:tc>
      </w:tr>
      <w:tr>
        <w:trPr/>
        <w:tc>
          <w:tcPr>
            <w:tcW w:w="8840" w:type="dxa"/>
            <w:tcBorders/>
            <w:shd w:fill="FFFFFF" w:val="clear"/>
            <w:vAlign w:val="center"/>
          </w:tcPr>
          <w:p>
            <w:pPr>
              <w:pStyle w:val="TableContents"/>
              <w:bidi w:val="0"/>
              <w:spacing w:before="0" w:after="283"/>
              <w:jc w:val="left"/>
              <w:rPr/>
            </w:pPr>
            <w:hyperlink w:anchor="a_002">
              <w:r>
                <w:rPr>
                  <w:rStyle w:val="InternetLink"/>
                </w:rPr>
                <w:t>MARKET PRICE INFORMATION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iii</w:t>
            </w:r>
          </w:p>
        </w:tc>
      </w:tr>
      <w:tr>
        <w:trPr/>
        <w:tc>
          <w:tcPr>
            <w:tcW w:w="8840" w:type="dxa"/>
            <w:tcBorders/>
            <w:shd w:fill="CCEEFF" w:val="clear"/>
            <w:vAlign w:val="center"/>
          </w:tcPr>
          <w:p>
            <w:pPr>
              <w:pStyle w:val="TableContents"/>
              <w:bidi w:val="0"/>
              <w:spacing w:before="0" w:after="283"/>
              <w:jc w:val="left"/>
              <w:rPr/>
            </w:pPr>
            <w:hyperlink w:anchor="a_003">
              <w:r>
                <w:rPr>
                  <w:rStyle w:val="InternetLink"/>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iv</w:t>
            </w:r>
          </w:p>
        </w:tc>
      </w:tr>
      <w:tr>
        <w:trPr/>
        <w:tc>
          <w:tcPr>
            <w:tcW w:w="8840" w:type="dxa"/>
            <w:tcBorders/>
            <w:shd w:fill="FFFFFF" w:val="clear"/>
            <w:vAlign w:val="center"/>
          </w:tcPr>
          <w:p>
            <w:pPr>
              <w:pStyle w:val="TableContents"/>
              <w:bidi w:val="0"/>
              <w:spacing w:before="0" w:after="283"/>
              <w:jc w:val="left"/>
              <w:rPr/>
            </w:pPr>
            <w:hyperlink w:anchor="a_004">
              <w:r>
                <w:rPr>
                  <w:rStyle w:val="InternetLink"/>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1</w:t>
            </w:r>
          </w:p>
        </w:tc>
      </w:tr>
      <w:tr>
        <w:trPr/>
        <w:tc>
          <w:tcPr>
            <w:tcW w:w="884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6</w:t>
            </w:r>
          </w:p>
        </w:tc>
      </w:tr>
      <w:tr>
        <w:trPr/>
        <w:tc>
          <w:tcPr>
            <w:tcW w:w="884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7</w:t>
            </w:r>
          </w:p>
        </w:tc>
      </w:tr>
      <w:tr>
        <w:trPr/>
        <w:tc>
          <w:tcPr>
            <w:tcW w:w="8840" w:type="dxa"/>
            <w:tcBorders/>
            <w:shd w:fill="CCEEFF" w:val="clear"/>
            <w:vAlign w:val="center"/>
          </w:tcPr>
          <w:p>
            <w:pPr>
              <w:pStyle w:val="TableContents"/>
              <w:bidi w:val="0"/>
              <w:spacing w:before="0" w:after="283"/>
              <w:jc w:val="left"/>
              <w:rPr/>
            </w:pPr>
            <w:hyperlink w:anchor="a_019">
              <w:r>
                <w:rPr>
                  <w:rStyle w:val="InternetLink"/>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8</w:t>
            </w:r>
          </w:p>
        </w:tc>
      </w:tr>
      <w:tr>
        <w:trPr/>
        <w:tc>
          <w:tcPr>
            <w:tcW w:w="8840" w:type="dxa"/>
            <w:tcBorders/>
            <w:shd w:fill="FFFFFF" w:val="clear"/>
            <w:vAlign w:val="center"/>
          </w:tcPr>
          <w:p>
            <w:pPr>
              <w:pStyle w:val="TableContents"/>
              <w:bidi w:val="0"/>
              <w:spacing w:before="0" w:after="283"/>
              <w:jc w:val="left"/>
              <w:rPr/>
            </w:pPr>
            <w:hyperlink w:anchor="a_007">
              <w:r>
                <w:rPr>
                  <w:rStyle w:val="InternetLink"/>
                </w:rPr>
                <w:t>DIVIDEND POLICY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9</w:t>
            </w:r>
          </w:p>
        </w:tc>
      </w:tr>
      <w:tr>
        <w:trPr/>
        <w:tc>
          <w:tcPr>
            <w:tcW w:w="8840" w:type="dxa"/>
            <w:tcBorders/>
            <w:shd w:fill="CCEEFF" w:val="clear"/>
            <w:vAlign w:val="center"/>
          </w:tcPr>
          <w:p>
            <w:pPr>
              <w:pStyle w:val="TableContents"/>
              <w:bidi w:val="0"/>
              <w:spacing w:before="0" w:after="283"/>
              <w:jc w:val="left"/>
              <w:rPr/>
            </w:pPr>
            <w:hyperlink w:anchor="a_008">
              <w:r>
                <w:rPr>
                  <w:rStyle w:val="InternetLink"/>
                </w:rPr>
                <w:t>DESCRIPTION OF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10</w:t>
            </w:r>
          </w:p>
        </w:tc>
      </w:tr>
      <w:tr>
        <w:trPr/>
        <w:tc>
          <w:tcPr>
            <w:tcW w:w="8840" w:type="dxa"/>
            <w:tcBorders/>
            <w:shd w:fill="FFFFFF" w:val="clear"/>
            <w:vAlign w:val="center"/>
          </w:tcPr>
          <w:p>
            <w:pPr>
              <w:pStyle w:val="TableContents"/>
              <w:bidi w:val="0"/>
              <w:spacing w:before="0" w:after="283"/>
              <w:jc w:val="left"/>
              <w:rPr/>
            </w:pPr>
            <w:hyperlink w:anchor="a_009">
              <w:r>
                <w:rPr>
                  <w:rStyle w:val="InternetLink"/>
                </w:rPr>
                <w:t>FORMS OF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28</w:t>
            </w:r>
          </w:p>
        </w:tc>
      </w:tr>
      <w:tr>
        <w:trPr/>
        <w:tc>
          <w:tcPr>
            <w:tcW w:w="8840" w:type="dxa"/>
            <w:tcBorders/>
            <w:shd w:fill="CCEEFF" w:val="clear"/>
            <w:vAlign w:val="center"/>
          </w:tcPr>
          <w:p>
            <w:pPr>
              <w:pStyle w:val="TableContents"/>
              <w:bidi w:val="0"/>
              <w:spacing w:before="0" w:after="283"/>
              <w:jc w:val="left"/>
              <w:rPr/>
            </w:pPr>
            <w:hyperlink w:anchor="a_010">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30</w:t>
            </w:r>
          </w:p>
        </w:tc>
      </w:tr>
      <w:tr>
        <w:trPr/>
        <w:tc>
          <w:tcPr>
            <w:tcW w:w="8840" w:type="dxa"/>
            <w:tcBorders/>
            <w:shd w:fill="FFFFFF" w:val="clear"/>
            <w:vAlign w:val="center"/>
          </w:tcPr>
          <w:p>
            <w:pPr>
              <w:pStyle w:val="TableContents"/>
              <w:bidi w:val="0"/>
              <w:spacing w:before="0" w:after="283"/>
              <w:jc w:val="left"/>
              <w:rPr/>
            </w:pPr>
            <w:hyperlink w:anchor="a_011">
              <w:r>
                <w:rPr>
                  <w:rStyle w:val="InternetLink"/>
                </w:rPr>
                <w:t>EXPENSES RELATED TO THE OFFERING</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32</w:t>
            </w:r>
          </w:p>
        </w:tc>
      </w:tr>
      <w:tr>
        <w:trPr/>
        <w:tc>
          <w:tcPr>
            <w:tcW w:w="8840" w:type="dxa"/>
            <w:tcBorders/>
            <w:shd w:fill="CCEEFF" w:val="clear"/>
            <w:vAlign w:val="center"/>
          </w:tcPr>
          <w:p>
            <w:pPr>
              <w:pStyle w:val="TableContents"/>
              <w:bidi w:val="0"/>
              <w:spacing w:before="0" w:after="283"/>
              <w:jc w:val="left"/>
              <w:rPr/>
            </w:pPr>
            <w:hyperlink w:anchor="a_012">
              <w:r>
                <w:rPr>
                  <w:rStyle w:val="InternetLink"/>
                </w:rPr>
                <w:t>TAX CONSIDERATIONS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33</w:t>
            </w:r>
          </w:p>
        </w:tc>
      </w:tr>
      <w:tr>
        <w:trPr/>
        <w:tc>
          <w:tcPr>
            <w:tcW w:w="8840" w:type="dxa"/>
            <w:tcBorders/>
            <w:shd w:fill="FFFFFF" w:val="clear"/>
            <w:vAlign w:val="center"/>
          </w:tcPr>
          <w:p>
            <w:pPr>
              <w:pStyle w:val="TableContents"/>
              <w:bidi w:val="0"/>
              <w:spacing w:before="0" w:after="283"/>
              <w:jc w:val="left"/>
              <w:rPr/>
            </w:pPr>
            <w:hyperlink w:anchor="a_013">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40</w:t>
            </w:r>
          </w:p>
        </w:tc>
      </w:tr>
      <w:tr>
        <w:trPr/>
        <w:tc>
          <w:tcPr>
            <w:tcW w:w="8840" w:type="dxa"/>
            <w:tcBorders/>
            <w:shd w:fill="CCEEFF" w:val="clear"/>
            <w:vAlign w:val="center"/>
          </w:tcPr>
          <w:p>
            <w:pPr>
              <w:pStyle w:val="TableContents"/>
              <w:bidi w:val="0"/>
              <w:spacing w:before="0" w:after="283"/>
              <w:jc w:val="left"/>
              <w:rPr/>
            </w:pPr>
            <w:hyperlink w:anchor="a_014">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41</w:t>
            </w:r>
          </w:p>
        </w:tc>
      </w:tr>
      <w:tr>
        <w:trPr/>
        <w:tc>
          <w:tcPr>
            <w:tcW w:w="8840" w:type="dxa"/>
            <w:tcBorders/>
            <w:shd w:fill="FFFFFF" w:val="clear"/>
            <w:vAlign w:val="center"/>
          </w:tcPr>
          <w:p>
            <w:pPr>
              <w:pStyle w:val="TableContents"/>
              <w:bidi w:val="0"/>
              <w:spacing w:before="0" w:after="283"/>
              <w:jc w:val="left"/>
              <w:rPr/>
            </w:pPr>
            <w:hyperlink w:anchor="a_015">
              <w:r>
                <w:rPr>
                  <w:rStyle w:val="InternetLink"/>
                </w:rPr>
                <w:t>ENFORCEABILITY OF CIVIL LIABILITY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42</w:t>
            </w:r>
          </w:p>
        </w:tc>
      </w:tr>
      <w:tr>
        <w:trPr/>
        <w:tc>
          <w:tcPr>
            <w:tcW w:w="8840"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44</w:t>
            </w:r>
          </w:p>
        </w:tc>
      </w:tr>
      <w:tr>
        <w:trPr/>
        <w:tc>
          <w:tcPr>
            <w:tcW w:w="8840" w:type="dxa"/>
            <w:tcBorders/>
            <w:shd w:fill="FFFFFF" w:val="clear"/>
            <w:vAlign w:val="center"/>
          </w:tcPr>
          <w:p>
            <w:pPr>
              <w:pStyle w:val="TableContents"/>
              <w:bidi w:val="0"/>
              <w:spacing w:before="0" w:after="283"/>
              <w:jc w:val="left"/>
              <w:rPr/>
            </w:pPr>
            <w:hyperlink w:anchor="a_017">
              <w:r>
                <w:rPr>
                  <w:rStyle w:val="InternetLink"/>
                </w:rPr>
                <w:t>INFORMATION INCORPORATED BY REFERENCE</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17" w:name="a_001"/>
      <w:bookmarkEnd w:id="17"/>
      <w:r>
        <w:rPr>
          <w:rFonts w:ascii="Times New Roman;Times;Serif" w:hAnsi="Times New Roman;Times;Serif"/>
          <w:b/>
          <w:i w:val="false"/>
          <w:smallCaps/>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 part of an automatic registration statement on Form F-3 that we filed with the SEC using a “shelf” registration process, available to us as a “well-known seasoned issuer” as defined in Rule 405 under the Securities Act of 1933, as amended (the “Securities Act”). By using an automatic shelf registration statement, we or any selling securityholders may offer and sell the securities described in this prospectus and the applicable prospectus supplement, from time to time in one or more offerings on a continuous or delayed basis. There is no limit on the aggregate amount of the securities that we or selling securityholders may offer pursuant to the registration statement of which this prospectus is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that may be offered by us. Each time we or any selling securityholders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 We may also add, update or change information contained in this prospectus by incorporating by reference information that we file or furnish to the SEC. As allowed by the SEC rules, this prospectus and any accompanying prospectus supplement do not contain all of the information included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securities we are offering, you should carefully read both this prospectus and any prospectus supplement with all of the information incorporated by reference in this prospectus, as well as the additional information described in the sections titled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 – for example, a prospectus supplement or a document incorporated by reference in this prospectus – the statement in the document having the later date modifies or supersedes the earlier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underwriters, dealers or agents have authorized anyone to provide any information or to make any representations other than those contained in this prospectus, any accompanying prospectus supplement or any free writing prospectus we have prepared. Neither we nor any underwriters, dealers or agents take responsibility for, or provide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cover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proprietary rights to trademarks used in this prospectus that are important to our business, many of which are registered (or pending registration) under applicable intellectual property laws. This prospectus contains references to trademarks, trade names and service marks belonging to other entities. Solely for convenience, trademarks, trade names and service marks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18" w:name="a_002"/>
      <w:bookmarkEnd w:id="18"/>
      <w:r>
        <w:rPr>
          <w:rFonts w:ascii="Times New Roman;Times;Serif" w:hAnsi="Times New Roman;Times;Serif"/>
          <w:b/>
          <w:i w:val="false"/>
          <w:smallCaps/>
          <w:sz w:val="20"/>
        </w:rPr>
        <w:t>MARKET PRICE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Nasdaq under the symbol “BTDR.” On August 7, 2026, the closing price of our Class A ordinary shares was US$10.88 per share. The market price of Class A ordinary shares could vary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19" w:name="a_003"/>
      <w:bookmarkEnd w:id="19"/>
      <w:r>
        <w:rPr>
          <w:rFonts w:ascii="Times New Roman;Times;Serif" w:hAnsi="Times New Roman;Times;Serif"/>
          <w:b/>
          <w:i w:val="false"/>
          <w:smallCaps/>
          <w:sz w:val="20"/>
        </w:rPr>
        <w:t>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into this prospectus contain forward-looking statements that involve substantial risks and uncertainties. The Private Securities Litigation Reform Act of 1995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desire to take advantage of the safe harbor provisions of the PSLRA and are including this cautionary statement in connection with this safe harbor legislation.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the price and volatility of Bitcoin and other cryptocurrencies;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our ability to maintain competitive positions in proprietary hash rate;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procure and/or manufacture application-specific integrated circuits (“ASICs”) and mining rigs at a lower cost;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expand datacenters or begin or complete any project that is “in the pipeline,” contracted or negotiated but not yet under active construction;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pPr>
            <w:r>
              <w:rPr/>
              <w:t>our ability to sell new and existing models of mining rigs;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both"/>
              <w:rPr/>
            </w:pPr>
            <w:r>
              <w:rPr/>
              <w:t>our ability to develop and deploy new generations of mining rigs;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621" w:type="dxa"/>
            <w:tcBorders/>
            <w:vAlign w:val="center"/>
          </w:tcPr>
          <w:p>
            <w:pPr>
              <w:pStyle w:val="TableContents"/>
              <w:bidi w:val="0"/>
              <w:spacing w:before="0" w:after="283"/>
              <w:jc w:val="both"/>
              <w:rPr/>
            </w:pPr>
            <w:r>
              <w:rPr/>
              <w:t>our ability to control electricity cost;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our ability to make effective judgments regarding pricing strategy and resource allocation;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upgrade and expand product offerings and to successfully develop our AI infrastructure and AI cloud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regulatory changes or actions that may restrict the use of cryptocurrencies or the operation of cryptocurrency networks in a manner that may require us to cease certain or all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risks to our business of earthquakes, fires, floods, and other natural catastrophic events and interruptions by man-made issues such as strikes and terrorist attacks;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volatility of the market price of our Class A ordinary shares, which could cause the value of your investment to decline;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pPr>
            <w:r>
              <w:rPr/>
              <w:t>the risk that an active trading market for our Class A ordinary shares may not be sustained;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both"/>
              <w:rPr/>
            </w:pPr>
            <w:r>
              <w:rPr/>
              <w:t>our ability to maintain the listing of our Class A ordinary shares on Nasdaq;</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7"/>
        <w:gridCol w:w="9940"/>
      </w:tblGrid>
      <w:tr>
        <w:trPr/>
        <w:tc>
          <w:tcPr>
            <w:tcW w:w="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w:t>
            </w:r>
          </w:p>
        </w:tc>
        <w:tc>
          <w:tcPr>
            <w:tcW w:w="9940" w:type="dxa"/>
            <w:tcBorders/>
            <w:vAlign w:val="center"/>
          </w:tcPr>
          <w:p>
            <w:pPr>
              <w:pStyle w:val="TableContents"/>
              <w:bidi w:val="0"/>
              <w:spacing w:before="0" w:after="283"/>
              <w:jc w:val="both"/>
              <w:rPr/>
            </w:pPr>
            <w:r>
              <w:rPr/>
              <w:t>the trading price of our securities, which has been and may continue to be volatile;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564"/>
        <w:gridCol w:w="9516"/>
      </w:tblGrid>
      <w:tr>
        <w:trPr/>
        <w:tc>
          <w:tcPr>
            <w:tcW w:w="1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t>●</w:t>
            </w:r>
          </w:p>
        </w:tc>
        <w:tc>
          <w:tcPr>
            <w:tcW w:w="9516" w:type="dxa"/>
            <w:tcBorders/>
            <w:vAlign w:val="center"/>
          </w:tcPr>
          <w:p>
            <w:pPr>
              <w:pStyle w:val="TableContents"/>
              <w:bidi w:val="0"/>
              <w:spacing w:before="0" w:after="283"/>
              <w:jc w:val="both"/>
              <w:rPr/>
            </w:pPr>
            <w:r>
              <w:rPr/>
              <w:t>unexpected costs or expenses;</w:t>
            </w:r>
          </w:p>
        </w:tc>
      </w:tr>
    </w:tbl>
    <w:p>
      <w:pPr>
        <w:pStyle w:val="TextBody"/>
        <w:bidi w:val="0"/>
        <w:spacing w:before="0" w:after="0"/>
        <w:ind w:left="1080" w:right="0" w:hanging="36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pPr>
            <w:r>
              <w:rPr/>
              <w:t>the outcome of any existing or future litigation;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future issuances, sales or resales of our Class A ordinary shares;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8"/>
        <w:gridCol w:w="9915"/>
      </w:tblGrid>
      <w:tr>
        <w:trPr/>
        <w:tc>
          <w:tcPr>
            <w:tcW w:w="5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both"/>
              <w:rPr/>
            </w:pPr>
            <w:r>
              <w:rPr/>
              <w:t>our expectation regarding the use of proceeds from our financing activities;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390"/>
        <w:gridCol w:w="9728"/>
      </w:tblGrid>
      <w:tr>
        <w:trPr/>
        <w:tc>
          <w:tcPr>
            <w:tcW w:w="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w:t>
            </w:r>
          </w:p>
        </w:tc>
        <w:tc>
          <w:tcPr>
            <w:tcW w:w="9728" w:type="dxa"/>
            <w:tcBorders/>
            <w:vAlign w:val="center"/>
          </w:tcPr>
          <w:p>
            <w:pPr>
              <w:pStyle w:val="TableContents"/>
              <w:bidi w:val="0"/>
              <w:spacing w:before="0" w:after="283"/>
              <w:jc w:val="both"/>
              <w:rPr/>
            </w:pPr>
            <w:r>
              <w:rPr/>
              <w:t>our expectations regarding our cash runway;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5"/>
        <w:gridCol w:w="9857"/>
      </w:tblGrid>
      <w:tr>
        <w:trPr/>
        <w:tc>
          <w:tcPr>
            <w:tcW w:w="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857" w:type="dxa"/>
            <w:tcBorders/>
            <w:vAlign w:val="center"/>
          </w:tcPr>
          <w:p>
            <w:pPr>
              <w:pStyle w:val="TableContents"/>
              <w:bidi w:val="0"/>
              <w:spacing w:before="0" w:after="283"/>
              <w:jc w:val="both"/>
              <w:rPr/>
            </w:pPr>
            <w:r>
              <w:rPr/>
              <w:t>general economic and business conditions in our markets;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other matters described in the section titled “Item 3.D. – Risk Factors” in our most recent annual report on Form 20-F for the year ended December 31, 2025, filed with the SEC on April 30, 2026, incorporated herein by reference.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not to rely on forward-looking statements, which reflect current beliefs and are based on information currently available as of the date a forward-looking statement is made. Forward-looking statements set forth herein speak only as of the date of this prospectus.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For additional information, see the section titled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ranking and industry data used throughout this prospectus,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v</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smallCaps/>
          <w:sz w:val="20"/>
          <w:bdr w:val="single" w:sz="12" w:space="1" w:color="000000"/>
        </w:rPr>
      </w:pPr>
      <w:bookmarkStart w:id="20" w:name="a_004"/>
      <w:bookmarkEnd w:id="20"/>
      <w:r>
        <w:rPr>
          <w:rFonts w:ascii="Times New Roman;Times;Serif" w:hAnsi="Times New Roman;Times;Serif"/>
          <w:b/>
          <w:i w:val="false"/>
          <w:smallCaps/>
          <w:sz w:val="20"/>
          <w:bdr w:val="single" w:sz="12" w:space="1" w:color="000000"/>
        </w:rPr>
        <w:t>PROSPECTUS SUMMARY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discussed in the section titled “Risk Factors” beginning on page 6 of this prospectus, along with our consolidated financial statements and notes to those consolidated financial statements and the other information incorporated by reference in this prospectus. For additional information, see the section titled “Where You Can Find More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Company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world-leading technology company for AI and Bitcoin mining infrastructure. We are committed to providing comprehensive Bitcoin mining solutions for our customers and building AI computational infrastructure to support the AI revolution. We handle complex processes involved in computing, such as equipment design, procurement and manufacturing, transport logistics, datacenter design and construction, equipment management, and daily operations. We also provide advanced cloud capabilities to customers with high demand for AI.</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Headquartered in Singapore, we currently operate ten datacenters across multiple countries including the United States, Norway, Bhutan, Ethiopia and Malaysia, with an aggregate electrical capacity of 1,797 MW as of June 30, 2026, having scaled rapidly from five datacenters with an aggregate electrical capacity of 795 MW as of March 31, 2023. From these datacenters, we generate hash rate under management which is categorized into proprietary and hosting hash rate. As of June 30, 2026, our proprietary hash rate was 77.9 EH/s. Together with the 8.2 EH/s hosting hash rate generated from mining rigs hosted in our mining datacenters, we possessed a total of 86.1 EH/s of hash rate under management as of June 30, 2026. We expect to continue increasing our hash rate through 2026 and beyond through conversion of our existing hosting capacity, executing on pipeline capacity, and pursuing expansion opportunities on a global scale. As of June 30, 2026, we possessed an aggregate pipeline capacity of 1,228.2 MW in the United States, Canada, and Malaysia. We are converting a significant proportion of our existing global datacenter capacity to dedicated AI cloud and colocation use.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primarily operate five business lines - “self-mining,” “sale of mining rigs and accessories,” “cloud hash rate,” “hosting” as well as “AI infrastructure and AI cloud” business. Self-mining refers to cryptocurrency mining for our own account, which allows us to directly capture the appreciation potential of cryptocurrency.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leverage proprietary ASIC technology to develop and commercialize our SEALMINER mining rigs to support and expand our self-mining operations and to diversify our revenue streams through sales of mining rigs to third parties. We began generating revenue from our sale of SEALMINER mining rigs and accessories in 2025 and deployed proprietary rigs to our mining datacenters to expand our self-mining operations. We believe our ASIC technology platform will increase our vertical integration, enabling us to capture the upside of ASIC margins via self-mining and sales of mining rigs to third parties, and benefit from rapid hash rate development, a lower cost structure, enhanced capital efficiency, and an improved supply chain compared to the broader industry.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building out our AI infrastructure and AI cloud business, which includes AI cloud business and colocation business. Our AI infrastructure and AI cloud services offer advanced AI cloud capabilities, high performance computing services and colocation services to customers with high demand for AI and computing. We operate one of the first cloud service platforms in Asia that offers AI cloud services powered by NVIDIA DGX SuperPOD H100, H200, B200 systems and the recently deployed NVIDIA GB200 NVL72, helping customers accelerate their development of generative AI, LLMs and other AI workloads. We are also developing our colocation services business, which provides purpose-built, high-density datacenter capacity to customers seeking to deploy their own AI and computing equipment. We are in the process of converting certain of our existing mining datacenter facilities to support colocation services and are actively evaluating additional opportunities to expand our colocation capacity. While our colocation business has not yet generated any revenue, we believe our existing power assets, datacenter expertise and global operational footprint position us well to capture a share of this expanding market over time.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Through our primary cloud hash rate solution, we sell our proprietary hash rate to customers, offering hash rate subscription plans at fixed prices and sharing mining income with them under certain arrangements.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Our “self-mining,” “hosting” and “cloud hash rate” businesses are supported by our self-developed integrated intelligent software platform, which offers software support to significantly reduce time needed for daily maintenance and mining rig upgrade and substantially decrease operations and maintenance headcount.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 investment in our securities involves risks. Before you decide to buy our securities, you should consider carefully all of the information in this prospectus as well as the documents incorporated herein by reference, including the risk factors set forth in the section titled “Item 3. Key Information—D. Risk Factors” in our most recent annual report on Form 20-F for the year ended December 31, 2025, filed with the SEC on April 30, 2026, incorporated herein by reference. Any of these risks could have a material adverse effect on our business, prospects, financial condition and results of operations. In any such case, the trading price of our Class A ordinary shares and the value of the securities may decline, and you could lose all or part of your investment. See the section titled “Where You Can Find More Information” in this prospectus for information on where you can find the documents we have filed with or furnished to the SEC and which are incorporated by reference in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Business, Operations, Industry and Financial Condition</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results of operations have been and are expected to continue to be significantly impacted by Bitcoin price fluctuation.</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Delays in the expansion of existing datacenters, the conversion of mining datacenters to AI datacenters or the construction of new datacenters, as well as any significant cost overruns, could present significant risks to our business and could have a material adverse effect on our business, financial condition and results of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business is capital intensive, including in particular our mining operations and our growing AI infrastructure and AI cloud business. We may need additional capital but may not be able to obtain it in a timely manner and on favorable terms or at all.</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be able to maintain our competitive position as cryptocurrency networks are witnessing increases in the total network hash rate.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ASIC and mining rig operations currently depend on supplies from a third-party foundry partner, and any failure to obtain sufficient foundry capacity from such third-party foundry partner would significantly delay the shipment of our products.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pPr>
            <w:r>
              <w:rPr/>
              <w:t>We may be unable to execute our growth strategies or effectively maintain our rapid growth trends.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cryptocurrency industry has a limited operating history and we have limited experience operating AI infrastructure and AI cloud business, which makes it difficult to evaluate our business and future prospects.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we expand our AI infrastructure and AI cloud business, issues in the development and use of AI may result in reputational or competitive harm or liability.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succeed in the AI infrastructure and AI cloud business or other markets we seek to penetrate into, our revenues, growth prospects and financial condition could be materially and adversely affected.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Cryptocurrencies</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Because there has been limited precedent set for financial accounting for Bitcoin and other cryptocurrencies, the determinations that we have made for how to account for cryptocurrencies transactions may be subject to change.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loss or destruction of a private key required to access our cryptocurrency is irreversible. We also may temporarily lose access to our cryptocurrencies.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development of blockchain technology and cryptocurrency is in its early stage and any adverse development in the cryptocurrency or blockchain market could adversely affect our business and results of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Adverse developments in the blockchain industry could lead to a decrease in the demand for hash rate products and hosting resources, which could have a material adverse effect on our business, financial condition and results of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the regulatory landscape governing digital asset exchanges is rapidly evolving, and thus may be exposed to fraud and failure. Incorrect or fraudulent cryptocurrency transactions may be irreversible.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Regulatory Compliance and Other Legal Matters</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subject to a highly-evolving regulatory landscape and any adverse changes to, or our failure to comply with, any laws and regulations could adversely affect our business, reputation, prospects or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regulatory landscape for AI is developing rapidly across the jurisdictions in which we operate, and evolving compliance obligations could increase our costs and affect our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nature of our business requires the application of complex financial accounting rules. If financial accounting standards undergo significant changes, our operating results could be adversely affected.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mining and AI datacenter operations are energy-intensive, which may restrict the geographic locations of our operations, give rise to community opposition and have a negative environmental impact.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Securities</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issue additional Class A ordinary shares or other equity or convertible debt securities without approval of the holders of Class A ordinary shares, which would dilute existing ownership interests and may depress the market price of Class A ordinary shares.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dual-class structure of our ordinary shares may adversely affect the price and liquidity of Class A ordinary shares.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Future sales, or the possibility of future sales of, a substantial number of our ordinary shares may depress the price of such securities.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Volatility in the price of Class A ordinary shares could subject us to further securities class action litigation.</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Taxation</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We are subject to tax risks related to our multinational operations.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Future changes to tax laws could materially and adversely affect our company and reduce net returns to our shareholders.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Cryptocurrencies and transactions denominated in cryptocurrencies may be subject to further taxation in the future.</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be or become a PFIC, which could result in adverse U.S. federal income tax consequences to U.S. Holders of Class A ordinary shares.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Foreign Private Issuer</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“foreign private issuer,” we will be subject to different U.S. securities laws than domestic U.S. issuers. The rules governing the information that we must disclose differ from those governing U.S. companies pursuant to the Exchange Act. We will be exempt from the rules under the Exchange Act prescribing the furnishing and content of proxy statements to shareholders. Those proxy statements are not expected to conform to Schedule 14A of the proxy rules promulgated under the Exchange Act.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as a “foreign private issuer,” our officers and directors and holders of more than 10% of the issued and outstanding Class A ordinary shares, will be exempt from the rules under the Exchange Act requiring insiders to report purchases and sales of ordinary shares as well as from Section 16 short swing profit reporting and liability. See the section titled “Item 3.D. Key Information—Risk Factors—Risks Related to Our Securities—We are a foreign private issuer within the meaning of the rules under the Exchange Act, and as such we are exempt from certain provisions applicable to domestic public companies in the United States” in our most recent annual report on Form 20-F for the year ended December 31, 2025, filed with the SEC on April 30, 2026, incorporated herein by reference.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Controlled Company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4"/>
        <w:gridCol w:w="242"/>
        <w:gridCol w:w="9909"/>
      </w:tblGrid>
      <w:tr>
        <w:trPr/>
        <w:tc>
          <w:tcPr>
            <w:tcW w:w="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both"/>
              <w:rPr/>
            </w:pPr>
            <w:r>
              <w:rPr/>
              <w:t>that a majority of our board of directors consists of independent directors;</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that we conduct an annual performance evaluation of the nominating and corporate governance and compensation committees;</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that we have a nominating and corporate governance committee that is composed entirely of independent directors with a written charter addressing the committee’s purpose and responsibilities;</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that we have a compensation committee that is composed entirely of independent directors with a written charter addressing the committee’s purpose and responsibility; and</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we have elected not to comply with any of the requirements listed above, except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Our agent for service of process in the United States is Cogency Global Inc. located at 122 East 42nd Street, 18th Floor, New York, New York 10168. Our corporate website is www.bitdeer.com. The information contained in, or accessible through, our website is not part of, and is not incorporated into, this prospectus, and investors should not rely on any such information in deciding whether to invest in our securities.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Conventions that Apply to this Prospectus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this prospectus, except where the context otherwise requires and for purposes of this prospectus only:</w:t>
      </w:r>
    </w:p>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both"/>
              <w:rPr/>
            </w:pPr>
            <w:r>
              <w:rPr/>
              <w:t>“</w:t>
            </w:r>
            <w:r>
              <w:rPr/>
              <w:t>Cayman Companies Act” means the Companies Act (As Revised) of the Cayman Islands;</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Class A ordinary shares’’ means the Class A ordinary shares, par value US$0.0000001, in the share capital of our company;</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Class V ordinary shares’’ means the Class V ordinary shares, par value US$0.0000001, in the share capital of our company;</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9"/>
        <w:gridCol w:w="223"/>
        <w:gridCol w:w="9933"/>
      </w:tblGrid>
      <w:tr>
        <w:trPr/>
        <w:tc>
          <w:tcPr>
            <w:tcW w:w="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both"/>
              <w:rPr/>
            </w:pPr>
            <w:r>
              <w:rPr/>
              <w:t>“</w:t>
            </w:r>
            <w:r>
              <w:rPr/>
              <w:t>Exchange Act” means the U.S. Securities Exchange Act of 1934, as amended;</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t>“</w:t>
            </w:r>
            <w:r>
              <w:rPr/>
              <w:t>JOBS Act” means the Jumpstart our Business Startups Act of 2012;</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88"/>
        <w:gridCol w:w="394"/>
        <w:gridCol w:w="9723"/>
      </w:tblGrid>
      <w:tr>
        <w:trPr/>
        <w:tc>
          <w:tcPr>
            <w:tcW w:w="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w:t>
            </w:r>
          </w:p>
        </w:tc>
        <w:tc>
          <w:tcPr>
            <w:tcW w:w="9723" w:type="dxa"/>
            <w:tcBorders/>
            <w:vAlign w:val="center"/>
          </w:tcPr>
          <w:p>
            <w:pPr>
              <w:pStyle w:val="TableContents"/>
              <w:bidi w:val="0"/>
              <w:spacing w:before="0" w:after="283"/>
              <w:jc w:val="both"/>
              <w:rPr/>
            </w:pPr>
            <w:r>
              <w:rPr/>
              <w:t>“</w:t>
            </w:r>
            <w:r>
              <w:rPr/>
              <w:t>Nasdaq’’ means the Nasdaq Stock Market;</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pPr>
            <w:r>
              <w:rPr/>
              <w:t>“</w:t>
            </w:r>
            <w:r>
              <w:rPr/>
              <w:t>ordinary shares’’ means Class A ordinary shares and/or Class V ordinary shares (as appropriate);</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4"/>
        <w:gridCol w:w="289"/>
        <w:gridCol w:w="9852"/>
      </w:tblGrid>
      <w:tr>
        <w:trPr/>
        <w:tc>
          <w:tcPr>
            <w:tcW w:w="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w:t>
            </w:r>
          </w:p>
        </w:tc>
        <w:tc>
          <w:tcPr>
            <w:tcW w:w="9852" w:type="dxa"/>
            <w:tcBorders/>
            <w:vAlign w:val="center"/>
          </w:tcPr>
          <w:p>
            <w:pPr>
              <w:pStyle w:val="TableContents"/>
              <w:bidi w:val="0"/>
              <w:spacing w:before="0" w:after="283"/>
              <w:jc w:val="both"/>
              <w:rPr/>
            </w:pPr>
            <w:r>
              <w:rPr/>
              <w:t>“</w:t>
            </w:r>
            <w:r>
              <w:rPr/>
              <w:t>SEC” means the Securities and Exchange Commission; and</w:t>
            </w:r>
          </w:p>
        </w:tc>
      </w:tr>
    </w:tbl>
    <w:p>
      <w:pPr>
        <w:pStyle w:val="TextBody"/>
        <w:bidi w:val="0"/>
        <w:spacing w:before="0" w:after="0"/>
        <w:ind w:left="1134"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we,” “us,” “the company,” “our company” “our group,” “our” or “Bitdeer” refers to Bitdeer Technologies Group, a Cayman Islands exempted company, and its subsidiaries.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21" w:name="a_005"/>
      <w:bookmarkEnd w:id="21"/>
      <w:r>
        <w:rPr>
          <w:rFonts w:ascii="Times New Roman;Times;Serif" w:hAnsi="Times New Roman;Times;Serif"/>
          <w:b/>
          <w:i w:val="false"/>
          <w:smallCaps/>
          <w:sz w:val="20"/>
        </w:rPr>
        <w:t>RISK FACTORS</w:t>
      </w:r>
    </w:p>
    <w:p>
      <w:pPr>
        <w:pStyle w:val="TextBody"/>
        <w:bidi w:val="0"/>
        <w:spacing w:before="0" w:after="0"/>
        <w:ind w:left="0" w:right="0" w:firstLine="720"/>
        <w:jc w:val="both"/>
        <w:rPr>
          <w:caps w:val="false"/>
          <w:smallCaps w:val="false"/>
          <w:color w:val="231F20"/>
        </w:rPr>
      </w:pPr>
      <w:r>
        <w:rPr>
          <w:caps w:val="false"/>
          <w:smallCaps w:val="false"/>
          <w:color w:val="231F2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Investing in our securities involves risk. Before making a decision to invest in our securities, you should carefully consider the risks described in the section titled “Risk Factors” in the applicable prospectus supplement and in our then-most recent annual report on Form 20-F, and any updates to those risk factors in our reports on Form 6-K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2" w:name="a_006"/>
      <w:bookmarkEnd w:id="22"/>
      <w:r>
        <w:rPr>
          <w:rFonts w:ascii="Times New Roman;Times;Serif" w:hAnsi="Times New Roman;Times;Serif"/>
          <w:b/>
          <w:i w:val="false"/>
          <w:smallCaps/>
          <w:sz w:val="20"/>
        </w:rPr>
        <w:t>USE OF PROCEEDS</w:t>
      </w:r>
    </w:p>
    <w:p>
      <w:pPr>
        <w:pStyle w:val="TextBody"/>
        <w:bidi w:val="0"/>
        <w:spacing w:before="0" w:after="0"/>
        <w:ind w:left="0" w:right="0" w:firstLine="720"/>
        <w:jc w:val="left"/>
        <w:rPr>
          <w:caps w:val="false"/>
          <w:smallCaps w:val="false"/>
          <w:color w:val="231F20"/>
        </w:rPr>
      </w:pPr>
      <w:r>
        <w:rPr>
          <w:caps w:val="false"/>
          <w:smallCaps w:val="false"/>
          <w:color w:val="231F2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w:t>
      </w:r>
    </w:p>
    <w:p>
      <w:pPr>
        <w:pStyle w:val="TextBody"/>
        <w:bidi w:val="0"/>
        <w:spacing w:before="0" w:after="0"/>
        <w:ind w:left="0" w:right="0" w:firstLine="720"/>
        <w:jc w:val="left"/>
        <w:rPr>
          <w:caps w:val="false"/>
          <w:smallCaps w:val="false"/>
          <w:color w:val="231F20"/>
        </w:rPr>
      </w:pPr>
      <w:r>
        <w:rPr>
          <w:caps w:val="false"/>
          <w:smallCaps w:val="false"/>
          <w:color w:val="231F20"/>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will not receive any proceeds from the sale of securities by the selling securityholders.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3" w:name="a_019"/>
      <w:bookmarkEnd w:id="23"/>
      <w:r>
        <w:rPr>
          <w:rFonts w:ascii="Times New Roman;Times;Serif" w:hAnsi="Times New Roman;Times;Serif"/>
          <w:b/>
          <w:i w:val="false"/>
          <w:smallCaps/>
          <w:sz w:val="20"/>
        </w:rPr>
        <w:t>SELLING SECURITYHOLDERS</w:t>
      </w:r>
    </w:p>
    <w:p>
      <w:pPr>
        <w:pStyle w:val="TextBody"/>
        <w:bidi w:val="0"/>
        <w:spacing w:before="0" w:after="0"/>
        <w:ind w:left="0" w:right="0" w:firstLine="720"/>
        <w:jc w:val="left"/>
        <w:rPr>
          <w:caps w:val="false"/>
          <w:smallCaps w:val="false"/>
          <w:color w:val="231F20"/>
        </w:rPr>
      </w:pPr>
      <w:r>
        <w:rPr>
          <w:caps w:val="false"/>
          <w:smallCaps w:val="false"/>
          <w:color w:val="231F2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Information about any selling securityholders, where applicable, will be set forth in a prospectus supplement, in a post-effective amendment to this registration statement, or in filings we make with the SEC under the Exchange Act that are incorporated by reference.</w:t>
      </w:r>
    </w:p>
    <w:p>
      <w:pPr>
        <w:pStyle w:val="TextBody"/>
        <w:bidi w:val="0"/>
        <w:spacing w:before="0" w:after="0"/>
        <w:ind w:left="0" w:right="0" w:firstLine="720"/>
        <w:jc w:val="left"/>
        <w:rPr>
          <w:caps w:val="false"/>
          <w:smallCaps w:val="false"/>
          <w:color w:val="231F20"/>
        </w:rPr>
      </w:pPr>
      <w:r>
        <w:rPr>
          <w:caps w:val="false"/>
          <w:smallCaps w:val="false"/>
          <w:color w:val="231F2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color w:val="231F20"/>
        </w:rPr>
      </w:pPr>
      <w:r>
        <w:rPr>
          <w:caps w:val="false"/>
          <w:smallCaps w:val="false"/>
          <w:color w:val="231F20"/>
        </w:rPr>
        <w:t> </w:t>
      </w:r>
    </w:p>
    <w:p>
      <w:pPr>
        <w:pStyle w:val="TextBody"/>
        <w:bidi w:val="0"/>
        <w:spacing w:before="0" w:after="0"/>
        <w:ind w:left="0" w:right="0" w:hanging="0"/>
        <w:jc w:val="center"/>
        <w:rPr>
          <w:rFonts w:ascii="Times New Roman;Times;Serif" w:hAnsi="Times New Roman;Times;Serif"/>
          <w:b/>
          <w:i w:val="false"/>
          <w:smallCaps/>
          <w:sz w:val="20"/>
        </w:rPr>
      </w:pPr>
      <w:bookmarkStart w:id="24" w:name="a_007"/>
      <w:bookmarkEnd w:id="24"/>
      <w:r>
        <w:rPr>
          <w:rFonts w:ascii="Times New Roman;Times;Serif" w:hAnsi="Times New Roman;Times;Serif"/>
          <w:b/>
          <w:i w:val="false"/>
          <w:smallCaps/>
          <w:sz w:val="20"/>
        </w:rPr>
        <w:t>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declare dividends on our ordinary shares from time to time. The declaration, payment and amount of any future dividends will be made at the discretion of our board of directors and will depend upon, among other things, the results of operations, cash flows and financial condition, operating and capital requirements, and other factors as our board of directors considers relevant. There is no assurance that future dividends will be paid, and if dividends are paid, there is no assurance with respect to the amount of any such dividend.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dividends may also be limited by the Cayman Companies Act, which permits the distribution of dividends only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 Under our articles of association, dividend distributions may be determined by our board of directors, without the need for shareholder approval. See the sections titled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Tax Considerations</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5" w:name="a_008"/>
      <w:bookmarkEnd w:id="25"/>
      <w:r>
        <w:rPr>
          <w:rFonts w:ascii="Times New Roman;Times;Serif" w:hAnsi="Times New Roman;Times;Serif"/>
          <w:b/>
          <w:i w:val="false"/>
          <w:smallCaps/>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incorporated with limited liability, and our affairs are governed by our amended and restated memorandum and articles of association, the Cayman Companies Act and the common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Nasdaq and are registered under Section 12(b) of the Exchange Act. Set forth below is a description of the rights of the holders of Class A ordinary shares, Class V ordinary shares and preferred shares. Our authorized share capital is US$50,000.00 divided into 500,000,000,000 shares of a par value of US$0.0000001 each comprising 499,600,000,000 Class A ordinary shares, 200,000,000 Class V ordinary shares and 200,000,000 undesignated shares of a par value of US$0.0000001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Our ordinary shares are issued in registered form and are issued when registered in our register of shareholders. We may not issue shares to bearer. Our shareholders who are nonresidents of the Cayman Islands may freely hold and vote their Ordinary Shares. Our ordinary shares are divided into Class A ordinary shares and Class V ordinary shares. Holders of our Class A ordinary shares and Class V ordinary shares shall have the same rights except for voting and conversion rights. See “––Voting Rights” below for additional information. Class V ordinary shares shall only be held by (i) Mr. Jihan Wu (the “Founder”), (ii) all limited partnerships, private companies or other vehicles of which more than 50% beneficial ownership or voting power are held directly or indirectly by the Founder, and (iii) a trust controlled by the Founder for the benefit of the Founder or his family, and all limited partnership, private companies or other vehicles wholly owned by such trust, including without limitation, Victory Courage Limited (collectively, “Founder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xml:space="preserve"> Each Class V ordinary share shall automatically convert into one Class A ordinary share (as adjusted for share splits, share combinations and similar transactions) on any transfer by a Founder Entity to a person or entity that is not a Founder Entity of any beneficial ownership of, or economic interest in, such Class V ordinary share or the control over the voting rights attached to such Class V ordinary share (through any contracts, voting proxies or otherwise); provided, however, that on the grant by a Founder Entity of any lien, charge, mortgage or other encumbrance (a “Security Interest”) over the Class V ordinary shares held by it, unless and until the legal ownership of such shares is transferred pursuant to such Security Interest (including any enforcement or foreclosure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V ordinary share is convertible into one Class A ordinary share (as adjusted for share splits, share combinations and similar transactions) at any time at the option of the holder thereof. Each Class V ordinary share held by a Founder Entity shall automatically convert into one Class A ordinary share (as adjusted for share splits, share combinations and similar transactions) upon the death or incapacity of the Founder.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The holders of our ordinary shares are entitled to such dividends as may be declared by our board of directors. In addition, our shareholders may declare dividends by ordinary resolution, but no dividend shall exceed the amount recommended by our directors. Our amended and restated memorandum and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we may pay a dividend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our ordinary shares have the right to receive notice of, attend and vote at general meetings of our company. Holders of our Class A ordinary shares and Class V ordinary shares shall, at all times, vote together as one class on all matters submitted to a vote by our shareholders at any general meeting of our company. Each Class A ordinary share shall be entitled to one (1) vote and each Class V ordinary share shall be entitled to ten (10) votes on all matters subject to vote at general meetings of the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 which are present in person or by proxy at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of our ordinary shares which are cast by those of our shareholders who are entitled to do so attend and vote at the meeting, while a special resolution requires the affirmative vote of no less than two-thirds of the votes of ordinary shares which cast by those of our shareholders who are entitled to do so attend and vote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will be required for important matters such as a change of name or making changes to our amended and restated memorandum and articles of association. Holders of the ordinary shares may, among other things, divide or combine their shares by ordinary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xml:space="preserve"> As a Cayman Islands exempted company, we are not obliged by the Cayman Companies Act, to call shareholders’ annual 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the chairman of our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one or more shareholder present or by proxy, who alone or together hold not less than 50% of all votes attaching to all of our shares in issue and entitled to vote at such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does not provide shareholders with an express right to put forth any proposal before an annual meeting of the shareholders. However, the Cayman Companies Act may provide shareholders with limited rights to requisition a general meeting, but such rights must be stipulated in the articles of association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Subject to the restrictions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113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1134" w:right="0" w:hanging="36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1134" w:right="0" w:hanging="36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113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the case of a transfer to joint holders, the number of joint holders to whom the ordinary share is to be transferred does not exceed four; and</w:t>
            </w:r>
          </w:p>
        </w:tc>
      </w:tr>
    </w:tbl>
    <w:p>
      <w:pPr>
        <w:pStyle w:val="TextBody"/>
        <w:bidi w:val="0"/>
        <w:spacing w:before="0" w:after="0"/>
        <w:ind w:left="113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fee of such maximum sum as Nasdaq may determine to be payable or such lesser sum as our directors may from time to time require is paid to us in respect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xml:space="preserve">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xml:space="preserve"> 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xml:space="preserve"> Subject to the Cayman Companies Act, our amended and restated memorandum and articles of association and to any applicable requirements imposed from time to time by the Nasdaq, the SEC, or by any other recognized stock exchange on which our securities are listed, we may issue shares on terms that such shares are subject to redemption, at our option or at the option of the holders of these shares, on such terms and in such manner as may be determined by our board of directors or by a special resolution of our shareholders and we may also repurchase any of our shares on such terms and in such manner as have been approved by our board of directors or by an ordinary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redemption or repurchase of any share may be paid out of our profits or out of the proceeds of a fresh issue of shares made for the purpose of such redemption or repurchase, or out of capital (including share premium account) if our company can, immediately following on which such payment is proposed to be made,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xml:space="preserve">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such existing class of shares, or the redemption or purchase of any shares of any class by us. The rights of the holders of shares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xml:space="preserve"> Our amended and restated memorandum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596"/>
        <w:gridCol w:w="9477"/>
      </w:tblGrid>
      <w:tr>
        <w:trPr/>
        <w:tc>
          <w:tcPr>
            <w:tcW w:w="13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pPr>
            <w:r>
              <w:rPr/>
              <w:t>●</w:t>
            </w:r>
          </w:p>
        </w:tc>
        <w:tc>
          <w:tcPr>
            <w:tcW w:w="9477" w:type="dxa"/>
            <w:tcBorders/>
            <w:vAlign w:val="center"/>
          </w:tcPr>
          <w:p>
            <w:pPr>
              <w:pStyle w:val="TableContents"/>
              <w:bidi w:val="0"/>
              <w:spacing w:before="0" w:after="283"/>
              <w:jc w:val="both"/>
              <w:rPr/>
            </w:pPr>
            <w:r>
              <w:rPr/>
              <w:t>the designation of the series;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02"/>
        <w:gridCol w:w="9591"/>
      </w:tblGrid>
      <w:tr>
        <w:trPr/>
        <w:tc>
          <w:tcPr>
            <w:tcW w:w="11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pPr>
            <w:r>
              <w:rPr/>
              <w:t>●</w:t>
            </w:r>
          </w:p>
        </w:tc>
        <w:tc>
          <w:tcPr>
            <w:tcW w:w="9591" w:type="dxa"/>
            <w:tcBorders/>
            <w:vAlign w:val="center"/>
          </w:tcPr>
          <w:p>
            <w:pPr>
              <w:pStyle w:val="TableContents"/>
              <w:bidi w:val="0"/>
              <w:spacing w:before="0" w:after="283"/>
              <w:jc w:val="both"/>
              <w:rPr/>
            </w:pPr>
            <w:r>
              <w:rPr/>
              <w:t>the number of shares of the series;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pPr>
            <w:r>
              <w:rPr/>
              <w:t>the dividend rights, conversion rights, voting rights;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both"/>
              <w:rPr/>
            </w:pPr>
            <w:r>
              <w:rPr/>
              <w:t>the rights and terms of redemption and liquidation preferences;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9"/>
        <w:gridCol w:w="9962"/>
      </w:tblGrid>
      <w:tr>
        <w:trPr/>
        <w:tc>
          <w:tcPr>
            <w:tcW w:w="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w:t>
            </w:r>
          </w:p>
        </w:tc>
        <w:tc>
          <w:tcPr>
            <w:tcW w:w="9962" w:type="dxa"/>
            <w:tcBorders/>
            <w:vAlign w:val="center"/>
          </w:tcPr>
          <w:p>
            <w:pPr>
              <w:pStyle w:val="TableContents"/>
              <w:bidi w:val="0"/>
              <w:spacing w:before="0" w:after="283"/>
              <w:jc w:val="both"/>
              <w:rPr/>
            </w:pPr>
            <w:r>
              <w:rPr/>
              <w:t>any other powers, preferences and relative, participating, optional and other special rights.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xml:space="preserve"> Holders of our ordinary shares will have no general right under Cayman Islands law to inspect or obtain copies of our corporate records (other than copies of our memorandum and articles, the register of mortgages or charges, and any special resolutions passed by our shareholders). However, we will provide our shareholders with annual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xml:space="preserve"> Some provisions of our amended and restated memorandum and articles of association may discourage, delay or prevent a change of control of our company or management that shareholders may consider favorable, including provisions that:</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authorize our board of directors to issue preference shares in one or more series and to designate the price, rights, preferences, privileges and restrictions of such preference shares without any further vote or action by our shareholders;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limit the ability of shareholders to requisition and convene general meetings of shareholders.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xml:space="preserve"> We are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is not required to open its register of members for inspection;</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357"/>
        <w:gridCol w:w="9769"/>
      </w:tblGrid>
      <w:tr>
        <w:trPr/>
        <w:tc>
          <w:tcPr>
            <w:tcW w:w="7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w:t>
            </w:r>
          </w:p>
        </w:tc>
        <w:tc>
          <w:tcPr>
            <w:tcW w:w="9769" w:type="dxa"/>
            <w:tcBorders/>
            <w:vAlign w:val="center"/>
          </w:tcPr>
          <w:p>
            <w:pPr>
              <w:pStyle w:val="TableContents"/>
              <w:bidi w:val="0"/>
              <w:spacing w:before="0" w:after="283"/>
              <w:jc w:val="both"/>
              <w:rPr/>
            </w:pPr>
            <w:r>
              <w:rPr/>
              <w:t>does not have to hold an annual general meeting;</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may obtain an undertaking against the imposition of any future taxation (such undertakings are usually given for 20 years in the first instance);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4"/>
        <w:gridCol w:w="9760"/>
      </w:tblGrid>
      <w:tr>
        <w:trPr/>
        <w:tc>
          <w:tcPr>
            <w:tcW w:w="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w:t>
            </w:r>
          </w:p>
        </w:tc>
        <w:tc>
          <w:tcPr>
            <w:tcW w:w="9760" w:type="dxa"/>
            <w:tcBorders/>
            <w:vAlign w:val="center"/>
          </w:tcPr>
          <w:p>
            <w:pPr>
              <w:pStyle w:val="TableContents"/>
              <w:bidi w:val="0"/>
              <w:spacing w:before="0" w:after="283"/>
              <w:jc w:val="both"/>
              <w:rPr/>
            </w:pPr>
            <w:r>
              <w:rPr/>
              <w:t>may register as a limited duration company;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6"/>
        <w:gridCol w:w="9758"/>
      </w:tblGrid>
      <w:tr>
        <w:trPr/>
        <w:tc>
          <w:tcPr>
            <w:tcW w:w="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w:t>
            </w:r>
          </w:p>
        </w:tc>
        <w:tc>
          <w:tcPr>
            <w:tcW w:w="9758" w:type="dxa"/>
            <w:tcBorders/>
            <w:vAlign w:val="center"/>
          </w:tcPr>
          <w:p>
            <w:pPr>
              <w:pStyle w:val="TableContents"/>
              <w:bidi w:val="0"/>
              <w:spacing w:before="0" w:after="283"/>
              <w:jc w:val="both"/>
              <w:rPr/>
            </w:pPr>
            <w:r>
              <w:rPr/>
              <w:t>may register as a segregated portfolio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in Corporate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but does not follow recent English statutory enactments and accordingly there are significant differences between the Cayman Companies Act and the current Companies Act of England. In addition, the Cayman Companies Act differs from laws applicable to U.S. corporations and their shareholders. Set forth below is a summary of certain significant differences between the provisions of the Cayman Companies Act applicable to us and the comparable laws applicable to companies incorporated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The Cayman Companies Act permits mergers and consolidations between Cayman Islands companies and between Cayman Islands companies and non-Cayman Islands companies provided that the laws of the foreign jurisdiction permit such merger or consolidation.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new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or her shares (which, if not agreed between the parties, will be determined by the Cayman Islands court) upon dissenting to the merger or consolidation, provided that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Cayman Companies Act also contains statutory provisions that facilitate the reconstruction and amalgamation of companies by way of schemes of arrangement, provided that the arrangement is approved by (i) seventy-five per cent (75%) in value of shareholders or class of shareholders, as the case may be, or (ii) a majority in number representing seventy-five per cent (75%) in value of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1"/>
        <w:gridCol w:w="9898"/>
      </w:tblGrid>
      <w:tr>
        <w:trPr/>
        <w:tc>
          <w:tcPr>
            <w:tcW w:w="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8" w:type="dxa"/>
            <w:tcBorders/>
            <w:vAlign w:val="center"/>
          </w:tcPr>
          <w:p>
            <w:pPr>
              <w:pStyle w:val="TableContents"/>
              <w:bidi w:val="0"/>
              <w:spacing w:before="0" w:after="283"/>
              <w:jc w:val="both"/>
              <w:rPr/>
            </w:pPr>
            <w:r>
              <w:rPr/>
              <w:t>the statutory provisions as to the required majority vote have been met;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arrangement is not one that would more properly be sanctioned under some other provision of the Cayman Companies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also contains a statutory power of compulsory acquisition which may facilitate the “squeeze out” of dissentient minority shareholder upon a tender offer. When a tender offer is made and accepted by holders of not less than 90%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xml:space="preserve"> and the exceptions thereto) so that a non-controlling shareholder may be permitted to commence a class action against or derivative actions in the name of the company to challenge:</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act which is illegal or ultra vires with respect to the company and is therefore incapable of ratification by the shareholders ;</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act which, although not ultra vires, requires authorization by a qualified (or special) majority (that is, more than a simple majority) which has not been obtained;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act which constitutes a “fraud on the minority” where the wrongdoers are themselves in control of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an indemnified person’s own fraud, dishonesty, willful default or willful neglect or against the consequences of committing a crime. Our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Resolution.</w:t>
      </w:r>
      <w:r>
        <w:rPr>
          <w:rFonts w:ascii="Times New Roman;Times;Serif" w:hAnsi="Times New Roman;Times;Serif"/>
          <w:b w:val="false"/>
          <w:i w:val="false"/>
          <w:caps w:val="false"/>
          <w:smallCaps w:val="false"/>
          <w:sz w:val="20"/>
        </w:rPr>
        <w:t xml:space="preserve"> Under the Delaware General Corporation Law, a corporation may eliminate the right of shareholders to act by written consent by amendment to its certificate of incorporation. Cayman Islands law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provides shareholders with only limited rights to requisition a general meeting. However, these rights may be provided in a company’s articles of association. Our amended and restated articles of association provide that upon the requisition of any one or more of our shareholders who alone or together hold shares which carry in aggregate not less than one-third of the total number of votes attaching to all issued and outstanding shares of our company entitled to vote at general meetings on the date of deposit of the requisition, our board of directors will be required to convene an extraordinary general meeting. As a Cayman Islands exempted company, we may but are not obliged by law to call shareholders’ annual general meetings. See “—Description of Securities—General Meetings of Shareholders” for more information on the rights of our shareholders’ rights to put proposals before the annual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w:t>
      </w:r>
      <w:r>
        <w:rPr>
          <w:rFonts w:ascii="Times New Roman;Times;Serif" w:hAnsi="Times New Roman;Times;Serif"/>
          <w:b w:val="false"/>
          <w:i w:val="false"/>
          <w:caps w:val="false"/>
          <w:smallCaps w:val="false"/>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Cayman Islands law has no comparable statute.</w:t>
      </w:r>
      <w:r>
        <w:rPr>
          <w:rFonts w:ascii="Times New Roman;Times;Serif" w:hAnsi="Times New Roman;Times;Serif"/>
          <w:b w:val="false"/>
          <w:i w:val="false"/>
          <w:caps w:val="false"/>
          <w:smallCaps w:val="false"/>
          <w:sz w:val="20"/>
        </w:rPr>
        <w:t xml:space="preserv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w:t>
      </w:r>
      <w:r>
        <w:rPr>
          <w:rFonts w:ascii="Times New Roman;Times;Serif" w:hAnsi="Times New Roman;Times;Serif"/>
          <w:b w:val="false"/>
          <w:i w:val="false"/>
          <w:caps w:val="false"/>
          <w:smallCaps w:val="false"/>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Cayman Companies Act and our amended and restated articles of association, our company may be dissolved, liquidated or wound up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Variation of Rights of Shares. </w:t>
      </w:r>
      <w:r>
        <w:rPr>
          <w:rFonts w:ascii="Times New Roman;Times;Serif" w:hAnsi="Times New Roman;Times;Serif"/>
          <w:b w:val="false"/>
          <w:i w:val="false"/>
          <w:caps w:val="false"/>
          <w:smallCaps w:val="false"/>
          <w:sz w:val="20"/>
        </w:rPr>
        <w:t xml:space="preserve">Under the Delaware General Corporation Law, a corporation may vary the rights of a class of shares with the approval of a majority of the outstanding shares of such class, unless the certificate of incorporation provides otherwise. Under Cayman Islands law and our amended and restated articles of association, if at any time our share capital is divided into different classes of shares, the rights attached to any class of shares (unless otherwise provided by the terms of issue of the shares of that class), whether or not we are being wound-up, may be varied with the consent in writing of the holders of two-thirds of the issued shares of that class or with the sanction of a special resolution passed at a separate meeting of the holders of the shares of the class. The rights conferred upon the holders of our shares of any class issued with preferred or other rights shall not, unless otherwise expressly provided by the terms of issuance of the shares of that class, be deemed to be varied by, inter alia,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or subsequent to such existing class of shares, or the redemption or purchase of any shares of any class by the Company. The rights of the holders of our shares shall not be deemed to be varied by the creation or issue of shares with preferred or other rights including, without limitation, the creation of shares with enhanced or weighted voting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w:t>
      </w:r>
      <w:r>
        <w:rPr>
          <w:rFonts w:ascii="Times New Roman;Times;Serif" w:hAnsi="Times New Roman;Times;Serif"/>
          <w:b w:val="false"/>
          <w:i w:val="false"/>
          <w:caps w:val="false"/>
          <w:smallCaps w:val="false"/>
          <w:sz w:val="20"/>
        </w:rPr>
        <w:t xml:space="preserve"> Under the Delaware General Corporation Law, a corporation’s governing documents may be amended with the approval of a majority of the outstanding shares entitled to vote, unless the certificate of incorporation provides otherwise. Under the Cayman Companies Act and our amended and restated memorandum and articles of association, our memorandum and articles of association may only be amended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xml:space="preserve"> 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memorandum and articles of association, our board of directors may, without further action by the members, fix the rights, preferences, privileges, restrictions and payment obligations of up to an aggregate of up to 200,000,000 (being the number of authorized but undesignated shares under our amended and restated memorandum and articles of association) preferred shares of a par value of US$0.0000001 each, in one or more series and authorize their issuance. The undesignated shares authorized under our amended and restated memorandum and articles of association are available for issuance without further action by the members, unless such action is required by applicable law or the rules of any stock exchange on which our securities may be listed, provided, however, before any preferred shares of any such series are issued, our board of directors shall by resolution of directors determine, with respect to any series of preferred shares, the terms and rights of that series. These rights, preferences and privileges could include dividend rights, conversion rights, voting rights, terms of redemption, preemption rights, liquidation preferences, sinking fund terms and the number of shares constituting any series or the designation of such series, any or all of which may be greater than the rights of the Class A ordinary shares. The specific terms of any series of preferred shares offered pursuant to this prospectus will be described in the prospectus supplement relating to that series of preferred shares. Any issuance of preferred shares could adversely affect the voting power of holders of Class A ordinary shares and the likelihood that such holders would receive dividend payments and payments on liquidation. In addition, the issuance of preferred shares could have the effect of delaying, deterring or preventing a change of control or other corporate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will have the terms described below unless otherwise provided in the prospectus supplement relating to a particular series of preferred shares. You should read the prospectus supplement relating to the particular series of preferred shares being offered for specific terms, including:</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both"/>
              <w:rPr/>
            </w:pPr>
            <w:r>
              <w:rPr/>
              <w:t>the designation and stated value per share of the preferred shares and the number of shares offered;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4"/>
        <w:gridCol w:w="9748"/>
      </w:tblGrid>
      <w:tr>
        <w:trPr/>
        <w:tc>
          <w:tcPr>
            <w:tcW w:w="8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w:t>
            </w:r>
          </w:p>
        </w:tc>
        <w:tc>
          <w:tcPr>
            <w:tcW w:w="9748" w:type="dxa"/>
            <w:tcBorders/>
            <w:vAlign w:val="center"/>
          </w:tcPr>
          <w:p>
            <w:pPr>
              <w:pStyle w:val="TableContents"/>
              <w:bidi w:val="0"/>
              <w:spacing w:before="0" w:after="283"/>
              <w:jc w:val="both"/>
              <w:rPr/>
            </w:pPr>
            <w:r>
              <w:rPr/>
              <w:t>the amount of liquidation preference per share;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2"/>
        <w:gridCol w:w="9800"/>
      </w:tblGrid>
      <w:tr>
        <w:trPr/>
        <w:tc>
          <w:tcPr>
            <w:tcW w:w="7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pPr>
            <w:r>
              <w:rPr/>
              <w:t>the price at which the preferred shares will be issued;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dividend rate, or method of calculation of dividends, the dates on which dividends will be payable, whether dividends will be cumulative or noncumulative and, if cumulative, the dates from which dividends will commence to accumulate;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2"/>
        <w:gridCol w:w="9713"/>
      </w:tblGrid>
      <w:tr>
        <w:trPr/>
        <w:tc>
          <w:tcPr>
            <w:tcW w:w="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w:t>
            </w:r>
          </w:p>
        </w:tc>
        <w:tc>
          <w:tcPr>
            <w:tcW w:w="9713" w:type="dxa"/>
            <w:tcBorders/>
            <w:vAlign w:val="center"/>
          </w:tcPr>
          <w:p>
            <w:pPr>
              <w:pStyle w:val="TableContents"/>
              <w:bidi w:val="0"/>
              <w:spacing w:before="0" w:after="283"/>
              <w:jc w:val="both"/>
              <w:rPr/>
            </w:pPr>
            <w:r>
              <w:rPr/>
              <w:t>any redemption or sinking fund provisions;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other than the currency of the United States, the currency or currencies including composite currencies in which the preferred shares are denominated and/or in which payments will or may be payable;</w:t>
            </w:r>
          </w:p>
        </w:tc>
      </w:tr>
    </w:tbl>
    <w:p>
      <w:pPr>
        <w:pStyle w:val="TextBody"/>
        <w:bidi w:val="0"/>
        <w:spacing w:before="0" w:after="0"/>
        <w:ind w:left="1134"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5"/>
        <w:gridCol w:w="9539"/>
      </w:tblGrid>
      <w:tr>
        <w:trPr/>
        <w:tc>
          <w:tcPr>
            <w:tcW w:w="1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w:t>
            </w:r>
          </w:p>
        </w:tc>
        <w:tc>
          <w:tcPr>
            <w:tcW w:w="9539" w:type="dxa"/>
            <w:tcBorders/>
            <w:vAlign w:val="center"/>
          </w:tcPr>
          <w:p>
            <w:pPr>
              <w:pStyle w:val="TableContents"/>
              <w:bidi w:val="0"/>
              <w:spacing w:before="0" w:after="283"/>
              <w:jc w:val="both"/>
              <w:rPr/>
            </w:pPr>
            <w:r>
              <w:rPr/>
              <w:t>any conversion provisions;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pPr>
            <w:r>
              <w:rPr/>
              <w:t>any other rights, preferences, privileges, limitations and restrictions on the preferred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will, when issued,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subject to a 10b5-1 Stock Repurchase Agreement dated June 16, 2023, our board of directors authorized the repurchase of up to US$1,000,000 of the Class A ordinary shares (the “Repurchase Program”), effective until September 15, 2023. The Repurchase Program was subsequently extended by our board of directors to be effective until December 15, 2023. We may repurchase all or a portion of our authorized repurchase amount. The Repurchase Program does not obligate us to repurchase any specific number of the Class A ordinary shares and the Repurchase Program may be suspended or terminated at any time at our management’s discretion. On October 18, 2023, subject to a 10b5-1 Stock Repurchase Agreement dated October 18, 2023, our board of directors authorized the repurchase of up to US$2,000,000 of our Class A ordinary shares, effective until April 17, 2024. During the year ended December 31, 2023, we purchased 606,756 Class A ordinary shares for approximately US$2.6 million under these repurchase programs. These shares were cancelled during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our board of directors approved a share repurchase program under which we may repurchase up to US$10.0 million worth of our Class A ordinary shares, effective from September 9, 2024 through September 8, 2025. As of the date of this prospectus, we have fully utilized the US$10.0 million under the foregoing share repurchase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our board of directors approved a share repurchase program under which we may repurchase up to US$20.0 million worth of our Class A ordinary shares, effective from February 28, 2025 through February 28, 2026. As of the date of this prospectus, we have fully utilized the US$20.0 million under the foregoing share repurchase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our board of directors approved a new share repurchase program to repurchase up to additional US$40.0 million worth of our Class A ordinary shares, effective from May 30, 2025 and ending on May 29, 2026. As of the date of this prospectus, we have fully utilized the US$40.0 million under the foregoing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Debt Securities, Warrants and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debt securities, warrants and units does not purport to be complete and is subject to, and qualified in its entirety by reference to, the provisions of the indenture, warrant agreement or unit agreement, as applicable, that will be filed with the SEC in connection with the offering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not limit the amount of debt securities that we may issue. It will provide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will not contain any covenants or other provisions designed to give holders of any debt securities protection against changes in our operations, financial condition or transactions involving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debt securities being offered, including:</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53"/>
        <w:gridCol w:w="9651"/>
      </w:tblGrid>
      <w:tr>
        <w:trPr/>
        <w:tc>
          <w:tcPr>
            <w:tcW w:w="1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both"/>
              <w:rPr/>
            </w:pPr>
            <w:r>
              <w:rPr/>
              <w:t>the title of the series of debt securities;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limit upon the aggregate principal amount of the debt securities of the series that may be authenticated and delivered;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both"/>
              <w:rPr/>
            </w:pPr>
            <w:r>
              <w:rPr/>
              <w:t>the maturity date or dates on which the principal of the debt securities of the series is payable;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6"/>
        <w:gridCol w:w="9709"/>
      </w:tblGrid>
      <w:tr>
        <w:trPr/>
        <w:tc>
          <w:tcPr>
            <w:tcW w:w="9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both"/>
              <w:rPr/>
            </w:pPr>
            <w:r>
              <w:rPr/>
              <w:t>the form of the debt securities of the series;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492"/>
        <w:gridCol w:w="9604"/>
      </w:tblGrid>
      <w:tr>
        <w:trPr/>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pPr>
            <w:r>
              <w:rPr/>
              <w:t>●</w:t>
            </w:r>
          </w:p>
        </w:tc>
        <w:tc>
          <w:tcPr>
            <w:tcW w:w="9604" w:type="dxa"/>
            <w:tcBorders/>
            <w:vAlign w:val="center"/>
          </w:tcPr>
          <w:p>
            <w:pPr>
              <w:pStyle w:val="TableContents"/>
              <w:bidi w:val="0"/>
              <w:spacing w:before="0" w:after="283"/>
              <w:jc w:val="both"/>
              <w:rPr/>
            </w:pPr>
            <w:r>
              <w:rPr/>
              <w:t>the applicability of any guarantees;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both"/>
              <w:rPr/>
            </w:pPr>
            <w:r>
              <w:rPr/>
              <w:t>whether the debt securities will be secured or unsecured, and the terms of any secured debt;</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debt securities rank as senior debt, senior subordinated debt, subordinated debt or any combination thereof, and the terms of any subordination;</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both"/>
              <w:rPr/>
            </w:pPr>
            <w:r>
              <w:rPr/>
              <w:t>our right, if any, to defer the payment of interest and the maximum length of any such deferral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denominations in which we will issue the series of debt securities, if other than denominations of $1,000 and any integral multiple thereof;</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other than the full principal amount thereof, the portion of the principal amount of debt securities of the series which shall be payable upon declaration of acceleration of the maturity thereof;</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additions to or changes in the covenants applicable to the particular series of debt securities being issued, including, among others, the consolidation, merger or sale covenant;</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additions to or changes in the events of default with respect to the securities and any change in the right of the trustee or the holders to declare the principal, premium, if any, and interest, if any, with respect to such securities to be due and payable;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additions to or changes in or deletions of the provisions relating to covenant defeasance and legal defeasance;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0"/>
        <w:gridCol w:w="9973"/>
      </w:tblGrid>
      <w:tr>
        <w:trPr/>
        <w:tc>
          <w:tcPr>
            <w:tcW w:w="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w:t>
            </w:r>
          </w:p>
        </w:tc>
        <w:tc>
          <w:tcPr>
            <w:tcW w:w="9973" w:type="dxa"/>
            <w:tcBorders/>
            <w:vAlign w:val="center"/>
          </w:tcPr>
          <w:p>
            <w:pPr>
              <w:pStyle w:val="TableContents"/>
              <w:bidi w:val="0"/>
              <w:spacing w:before="0" w:after="283"/>
              <w:jc w:val="both"/>
              <w:rPr/>
            </w:pPr>
            <w:r>
              <w:rPr/>
              <w:t>additions to or changes in the provisions relating to satisfaction and discharge of the indenture;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additions to or changes in the provisions relating to the modification of the indenture both with and without the consent of holders of debt securities issued under the indenture;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currency of payment of debt securities if other than U.S. dollars and the manner of determining the equivalent amount in U.S. dollars;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interest will be payable in cash or additional debt securities at our or the holders’ option and the terms and conditions upon which the election may be made;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terms and conditions, if any, upon which we will pay amounts in addition to the stated interest, premium, if any and principal amounts of the debt securities of the series to any holder that is not a “United States person” for federal tax purposes;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pPr>
            <w:r>
              <w:rPr/>
              <w:t>any restrictions on transfer, sale or assignment of the debt securities of the series;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specific terms, preferences, rights or limitations of, or restrictions on, the debt securities, any other additions or changes in the provisions of the indenture, and any terms that may be required by us or advisable under applicable laws or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Conversion or Exchange Rights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the terms on which a series of debt securities may be convertible into or exchangeable for cash, our common stock or other securities. We will include provisions as to settlement upon conversion or exchange and whether conversion or exchange is mandatory, at the option of the holder or at our option. We may include provisions pursuant to which the conversion or exchange rate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Consolidation, Merger or Sale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Events of Default under the Indenture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following will be events of default under the indenture with respect to any series of debt securities that we may issue:</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default in the payment of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default in the payment of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5"/>
        <w:gridCol w:w="9955"/>
      </w:tblGrid>
      <w:tr>
        <w:trPr/>
        <w:tc>
          <w:tcPr>
            <w:tcW w:w="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w:t>
            </w:r>
          </w:p>
        </w:tc>
        <w:tc>
          <w:tcPr>
            <w:tcW w:w="9955" w:type="dxa"/>
            <w:tcBorders/>
            <w:vAlign w:val="center"/>
          </w:tcPr>
          <w:p>
            <w:pPr>
              <w:pStyle w:val="TableContents"/>
              <w:bidi w:val="0"/>
              <w:spacing w:before="0" w:after="283"/>
              <w:jc w:val="both"/>
              <w:rPr/>
            </w:pPr>
            <w:r>
              <w:rPr/>
              <w:t>if specified events of bankruptcy, insolvency or reorganization occur with respect to 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on all the debt securities of that series due and payable immediately. If an event of default specified in the last bullet point above occurs with respect to us, the principal amount of and accrued interest, if any, on all the debt securities of that series then outstanding shall be due and payable without any notice or other action on the part of the trustee or any holder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such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(and if requested, provided) the trustee security or indemnity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both"/>
              <w:rPr/>
            </w:pPr>
            <w:r>
              <w:rPr/>
              <w:t>●</w:t>
            </w:r>
          </w:p>
        </w:tc>
        <w:tc>
          <w:tcPr>
            <w:tcW w:w="9981" w:type="dxa"/>
            <w:tcBorders/>
            <w:vAlign w:val="center"/>
          </w:tcPr>
          <w:p>
            <w:pPr>
              <w:pStyle w:val="TableContents"/>
              <w:bidi w:val="0"/>
              <w:spacing w:before="0" w:after="283"/>
              <w:jc w:val="both"/>
              <w:rPr/>
            </w:pPr>
            <w:r>
              <w:rPr/>
              <w:t>the direction so given by the holder is not in conflict with any law or the applicable indenture;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subject to its duties under the Trust Indenture Act, the trustee shall have the right to decline to follow any direct if the trustee in good faith determines that the proceeding so directed would involve it in personal liability or might be unduly prejudicial to the holders not involved in the proceeding.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have the right to institute a suit, action or proceeding under the indenture or to appoint a receiver or trustee, or to seek other remedies under the indenture only if:</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holder has given written notice to the trustee of a continuing event of default with respect to that series;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holders of at least 25% in aggregate principal amount of the outstanding debt securities of that series have made written request to institute such suit, action or proceeding;</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such holders have offered to the trustee indemnity satisfactory to it against the costs, expenses and liabilities to be incurred by the trustee in compliance with the request;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trustee does not institute the proceeding, and does not receive from the holders of a majority in aggregate principal amount of the outstanding debt securities of that series other conflicting directions within 90 days after such notice, request and offer.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trustee regarding our compliance with specified covenants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Modification of Indenture; Waiver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without the consent of any holders of the debt securities of a series, amend, modify or supplement the indenture with respect to specific matters: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to cure any ambiguity, defect or inconsistency in the indenture or in the debt securities of any series;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comply with the provisions described above under “Description of Debt Securities—Consolidation, Merger or Sale;”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to provide for uncertificated debt securities in addition to or in place of certificated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add to, delete from or revise the conditions, limitations, and restrictions on the authorized amount, terms, or purposes of issue, authentication and delivery of debt securities, as set forth in the indenture;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make any change that does not adversely affect the interests of any holder of debt securities of any series in any material respect;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to evidence and provide for the acceptance of appointment under any indenture by a successor trustee;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comply with any requirements of the SEC in connection with the qualification of any indenture under the Trust Indenture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 the rights of holders of a series of debt securities may be amended, modified or supplemented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extending the fixed maturity of any debt securities of any series, or reducing the principal amount thereof, or reducing the rate of or extending the time of payment of interest thereon, or reducing any premium payable upon the redemption thereof;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reducing the percentage of debt securities, the holders of which are required to consent to any amendment, supplement, modification or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Discharge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we can elect to be discharged from our obligations with respect to one or more series of debt securities, except for specified obligations, including obligations to:</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780"/>
        <w:gridCol w:w="9251"/>
      </w:tblGrid>
      <w:tr>
        <w:trPr/>
        <w:tc>
          <w:tcPr>
            <w:tcW w:w="1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w:t>
            </w:r>
          </w:p>
        </w:tc>
        <w:tc>
          <w:tcPr>
            <w:tcW w:w="9251" w:type="dxa"/>
            <w:tcBorders/>
            <w:vAlign w:val="center"/>
          </w:tcPr>
          <w:p>
            <w:pPr>
              <w:pStyle w:val="TableContents"/>
              <w:bidi w:val="0"/>
              <w:spacing w:before="0" w:after="283"/>
              <w:jc w:val="left"/>
              <w:rPr/>
            </w:pPr>
            <w:r>
              <w:rPr/>
              <w:t>provide for payment;</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2"/>
        <w:gridCol w:w="9861"/>
      </w:tblGrid>
      <w:tr>
        <w:trPr/>
        <w:tc>
          <w:tcPr>
            <w:tcW w:w="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1" w:type="dxa"/>
            <w:tcBorders/>
            <w:vAlign w:val="center"/>
          </w:tcPr>
          <w:p>
            <w:pPr>
              <w:pStyle w:val="TableContents"/>
              <w:bidi w:val="0"/>
              <w:spacing w:before="0" w:after="283"/>
              <w:jc w:val="left"/>
              <w:rPr/>
            </w:pPr>
            <w:r>
              <w:rPr/>
              <w:t>register the transfer or exchange of debt securities of the series;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9"/>
        <w:gridCol w:w="9840"/>
      </w:tblGrid>
      <w:tr>
        <w:trPr/>
        <w:tc>
          <w:tcPr>
            <w:tcW w:w="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w:t>
            </w:r>
          </w:p>
        </w:tc>
        <w:tc>
          <w:tcPr>
            <w:tcW w:w="9840" w:type="dxa"/>
            <w:tcBorders/>
            <w:vAlign w:val="center"/>
          </w:tcPr>
          <w:p>
            <w:pPr>
              <w:pStyle w:val="TableContents"/>
              <w:bidi w:val="0"/>
              <w:spacing w:before="0" w:after="283"/>
              <w:jc w:val="left"/>
              <w:rPr/>
            </w:pPr>
            <w:r>
              <w:rPr/>
              <w:t>replace stolen, lost or mutilated debt securities of the series;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left"/>
              <w:rPr/>
            </w:pPr>
            <w:r>
              <w:rPr/>
              <w:t>pay principal of and premium and interest on any debt securities of the series;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5"/>
        <w:gridCol w:w="9416"/>
      </w:tblGrid>
      <w:tr>
        <w:trPr/>
        <w:tc>
          <w:tcPr>
            <w:tcW w:w="1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both"/>
              <w:rPr/>
            </w:pPr>
            <w:r>
              <w:rPr/>
              <w:t>●</w:t>
            </w:r>
          </w:p>
        </w:tc>
        <w:tc>
          <w:tcPr>
            <w:tcW w:w="9416" w:type="dxa"/>
            <w:tcBorders/>
            <w:vAlign w:val="center"/>
          </w:tcPr>
          <w:p>
            <w:pPr>
              <w:pStyle w:val="TableContents"/>
              <w:bidi w:val="0"/>
              <w:spacing w:before="0" w:after="283"/>
              <w:jc w:val="both"/>
              <w:rPr/>
            </w:pPr>
            <w:r>
              <w:rPr/>
              <w:t>maintain paying agencies;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both"/>
              <w:rPr/>
            </w:pPr>
            <w:r>
              <w:rPr/>
              <w:t>●</w:t>
            </w:r>
          </w:p>
        </w:tc>
        <w:tc>
          <w:tcPr>
            <w:tcW w:w="9575" w:type="dxa"/>
            <w:tcBorders/>
            <w:vAlign w:val="center"/>
          </w:tcPr>
          <w:p>
            <w:pPr>
              <w:pStyle w:val="TableContents"/>
              <w:bidi w:val="0"/>
              <w:spacing w:before="0" w:after="283"/>
              <w:jc w:val="both"/>
              <w:rPr/>
            </w:pPr>
            <w:r>
              <w:rPr/>
              <w:t>hold monies for payment in trust;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both"/>
              <w:rPr/>
            </w:pPr>
            <w:r>
              <w:rPr/>
              <w:t>●</w:t>
            </w:r>
          </w:p>
        </w:tc>
        <w:tc>
          <w:tcPr>
            <w:tcW w:w="9697" w:type="dxa"/>
            <w:tcBorders/>
            <w:vAlign w:val="center"/>
          </w:tcPr>
          <w:p>
            <w:pPr>
              <w:pStyle w:val="TableContents"/>
              <w:bidi w:val="0"/>
              <w:spacing w:before="0" w:after="283"/>
              <w:jc w:val="both"/>
              <w:rPr/>
            </w:pPr>
            <w:r>
              <w:rPr/>
              <w:t>recover excess money held by the trustee;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7"/>
        <w:gridCol w:w="9708"/>
      </w:tblGrid>
      <w:tr>
        <w:trPr/>
        <w:tc>
          <w:tcPr>
            <w:tcW w:w="9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both"/>
              <w:rPr/>
            </w:pPr>
            <w:r>
              <w:rPr/>
              <w:t>●</w:t>
            </w:r>
          </w:p>
        </w:tc>
        <w:tc>
          <w:tcPr>
            <w:tcW w:w="9708" w:type="dxa"/>
            <w:tcBorders/>
            <w:vAlign w:val="center"/>
          </w:tcPr>
          <w:p>
            <w:pPr>
              <w:pStyle w:val="TableContents"/>
              <w:bidi w:val="0"/>
              <w:spacing w:before="0" w:after="283"/>
              <w:jc w:val="both"/>
              <w:rPr/>
            </w:pPr>
            <w:r>
              <w:rPr/>
              <w:t>compensate and indemnify the trustee;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569"/>
        <w:gridCol w:w="9509"/>
      </w:tblGrid>
      <w:tr>
        <w:trPr/>
        <w:tc>
          <w:tcPr>
            <w:tcW w:w="12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both"/>
              <w:rPr/>
            </w:pPr>
            <w:r>
              <w:rPr/>
              <w:t>●</w:t>
            </w:r>
          </w:p>
        </w:tc>
        <w:tc>
          <w:tcPr>
            <w:tcW w:w="9509" w:type="dxa"/>
            <w:tcBorders/>
            <w:vAlign w:val="center"/>
          </w:tcPr>
          <w:p>
            <w:pPr>
              <w:pStyle w:val="TableContents"/>
              <w:bidi w:val="0"/>
              <w:spacing w:before="0" w:after="283"/>
              <w:jc w:val="both"/>
              <w:rPr/>
            </w:pPr>
            <w:r>
              <w:rPr/>
              <w:t>appoint any successor trustee.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Exchange and Transfer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provide otherwise in the applicable prospectus supplement, in denominations of $1,000 and any integral multiple thereof. The indenture will provide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Concerning the Trustee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(and if requested, provided) security or indemnity against the costs, expenses and liabilities that it might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Payment and Paying Agents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Governing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New York, except to the extent that the Trust Indenture Act of 1939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set forth, to the extent required and as applicable, the following terms (non-exhaustive) of the warrants in respect of which the prospectus supplement is delivered:</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664"/>
        <w:gridCol w:w="9393"/>
      </w:tblGrid>
      <w:tr>
        <w:trPr/>
        <w:tc>
          <w:tcPr>
            <w:tcW w:w="1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both"/>
              <w:rPr/>
            </w:pPr>
            <w:r>
              <w:rPr/>
              <w:t>●</w:t>
            </w:r>
          </w:p>
        </w:tc>
        <w:tc>
          <w:tcPr>
            <w:tcW w:w="9393" w:type="dxa"/>
            <w:tcBorders/>
            <w:vAlign w:val="center"/>
          </w:tcPr>
          <w:p>
            <w:pPr>
              <w:pStyle w:val="TableContents"/>
              <w:bidi w:val="0"/>
              <w:spacing w:before="0" w:after="283"/>
              <w:jc w:val="both"/>
              <w:rPr/>
            </w:pPr>
            <w:r>
              <w:rPr/>
              <w:t>the title of such warrants;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8"/>
        <w:gridCol w:w="9670"/>
      </w:tblGrid>
      <w:tr>
        <w:trPr/>
        <w:tc>
          <w:tcPr>
            <w:tcW w:w="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both"/>
              <w:rPr/>
            </w:pPr>
            <w:r>
              <w:rPr/>
              <w:t>●</w:t>
            </w:r>
          </w:p>
        </w:tc>
        <w:tc>
          <w:tcPr>
            <w:tcW w:w="9670" w:type="dxa"/>
            <w:tcBorders/>
            <w:vAlign w:val="center"/>
          </w:tcPr>
          <w:p>
            <w:pPr>
              <w:pStyle w:val="TableContents"/>
              <w:bidi w:val="0"/>
              <w:spacing w:before="0" w:after="283"/>
              <w:jc w:val="both"/>
              <w:rPr/>
            </w:pPr>
            <w:r>
              <w:rPr/>
              <w:t>the aggregate number of such warrants;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2"/>
        <w:gridCol w:w="9824"/>
      </w:tblGrid>
      <w:tr>
        <w:trPr/>
        <w:tc>
          <w:tcPr>
            <w:tcW w:w="6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both"/>
              <w:rPr/>
            </w:pPr>
            <w:r>
              <w:rPr/>
              <w:t>●</w:t>
            </w:r>
          </w:p>
        </w:tc>
        <w:tc>
          <w:tcPr>
            <w:tcW w:w="9824" w:type="dxa"/>
            <w:tcBorders/>
            <w:vAlign w:val="center"/>
          </w:tcPr>
          <w:p>
            <w:pPr>
              <w:pStyle w:val="TableContents"/>
              <w:bidi w:val="0"/>
              <w:spacing w:before="0" w:after="283"/>
              <w:jc w:val="both"/>
              <w:rPr/>
            </w:pPr>
            <w:r>
              <w:rPr/>
              <w:t>the price or prices at which such warrants will be issued;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8"/>
        <w:gridCol w:w="9927"/>
      </w:tblGrid>
      <w:tr>
        <w:trPr/>
        <w:tc>
          <w:tcPr>
            <w:tcW w:w="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w:t>
            </w:r>
          </w:p>
        </w:tc>
        <w:tc>
          <w:tcPr>
            <w:tcW w:w="9927" w:type="dxa"/>
            <w:tcBorders/>
            <w:vAlign w:val="center"/>
          </w:tcPr>
          <w:p>
            <w:pPr>
              <w:pStyle w:val="TableContents"/>
              <w:bidi w:val="0"/>
              <w:spacing w:before="0" w:after="283"/>
              <w:jc w:val="both"/>
              <w:rPr/>
            </w:pPr>
            <w:r>
              <w:rPr/>
              <w:t>the currency or currencies in which the price of such warrants will be payable;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price at which and the currency or currencies in which the securities or other rights purchasable upon exercise of such warrants may be purchased;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date on which the right to exercise such warrants shall commence and the date on which such right shall expire;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if applicable, the minimum or maximum amount of such warrants which may be exercised at any one time;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if applicable, the designation and terms of the securities with which such warrants are issued and the number of such warrants issued with each such security;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if applicable, the date on and after which such warrants and the related securities will be separately transferable;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both"/>
              <w:rPr/>
            </w:pPr>
            <w:r>
              <w:rPr/>
              <w:t>●</w:t>
            </w:r>
          </w:p>
        </w:tc>
        <w:tc>
          <w:tcPr>
            <w:tcW w:w="9833" w:type="dxa"/>
            <w:tcBorders/>
            <w:vAlign w:val="center"/>
          </w:tcPr>
          <w:p>
            <w:pPr>
              <w:pStyle w:val="TableContents"/>
              <w:bidi w:val="0"/>
              <w:spacing w:before="0" w:after="283"/>
              <w:jc w:val="both"/>
              <w:rPr/>
            </w:pPr>
            <w:r>
              <w:rPr/>
              <w:t>information with respect to book-entry procedures, if any;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0"/>
        <w:gridCol w:w="9973"/>
      </w:tblGrid>
      <w:tr>
        <w:trPr/>
        <w:tc>
          <w:tcPr>
            <w:tcW w:w="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pPr>
            <w:r>
              <w:rPr/>
              <w:t>●</w:t>
            </w:r>
          </w:p>
        </w:tc>
        <w:tc>
          <w:tcPr>
            <w:tcW w:w="9973" w:type="dxa"/>
            <w:tcBorders/>
            <w:vAlign w:val="center"/>
          </w:tcPr>
          <w:p>
            <w:pPr>
              <w:pStyle w:val="TableContents"/>
              <w:bidi w:val="0"/>
              <w:spacing w:before="0" w:after="283"/>
              <w:jc w:val="both"/>
              <w:rPr/>
            </w:pPr>
            <w:r>
              <w:rPr/>
              <w:t>if applicable, a discussion of any material United States federal income tax considerations;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any other terms of such warrants, including terms, procedures and limitations relating to the exchange and exercise of such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720" w:right="0" w:hanging="36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pPr>
            <w:r>
              <w:rPr/>
              <w:t>any unit agreement under which the units will be issued;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provisions for the issuance, payment, settlement, transfer or exchange of the units or of the securities comprising the units; and</w:t>
            </w:r>
          </w:p>
        </w:tc>
      </w:tr>
    </w:tbl>
    <w:p>
      <w:pPr>
        <w:pStyle w:val="TextBody"/>
        <w:bidi w:val="0"/>
        <w:spacing w:before="0" w:after="0"/>
        <w:ind w:left="720" w:right="0" w:hanging="360"/>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whether the units will be issued in fully registered or global form.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26" w:name="a_009"/>
      <w:bookmarkEnd w:id="26"/>
      <w:r>
        <w:rPr>
          <w:rFonts w:ascii="Times New Roman;Times;Serif" w:hAnsi="Times New Roman;Times;Serif"/>
          <w:b/>
          <w:i w:val="false"/>
          <w:smallCaps/>
          <w:sz w:val="20"/>
        </w:rPr>
        <w:t>FORMS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Bitdeer Technologies Group, the trustees, the warrant agents, the unit agents or any other agent of Bitdeer Technologies Group,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27" w:name="a_010"/>
      <w:bookmarkEnd w:id="27"/>
      <w:r>
        <w:rPr>
          <w:rFonts w:ascii="Times New Roman;Times;Serif" w:hAnsi="Times New Roman;Times;Serif"/>
          <w:b/>
          <w:i w:val="false"/>
          <w:smallCaps/>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any selling securityholder may sell the securities in one or more of the following ways (or in any combination) from time to time:</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533"/>
        <w:gridCol w:w="9554"/>
      </w:tblGrid>
      <w:tr>
        <w:trPr/>
        <w:tc>
          <w:tcPr>
            <w:tcW w:w="11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w:t>
            </w:r>
          </w:p>
        </w:tc>
        <w:tc>
          <w:tcPr>
            <w:tcW w:w="9554" w:type="dxa"/>
            <w:tcBorders/>
            <w:vAlign w:val="center"/>
          </w:tcPr>
          <w:p>
            <w:pPr>
              <w:pStyle w:val="TableContents"/>
              <w:bidi w:val="0"/>
              <w:spacing w:before="0" w:after="283"/>
              <w:jc w:val="both"/>
              <w:rPr/>
            </w:pPr>
            <w:r>
              <w:rPr/>
              <w:t>through underwriters or dealers;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9"/>
        <w:gridCol w:w="9877"/>
      </w:tblGrid>
      <w:tr>
        <w:trPr/>
        <w:tc>
          <w:tcPr>
            <w:tcW w:w="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7" w:type="dxa"/>
            <w:tcBorders/>
            <w:vAlign w:val="center"/>
          </w:tcPr>
          <w:p>
            <w:pPr>
              <w:pStyle w:val="TableContents"/>
              <w:bidi w:val="0"/>
              <w:spacing w:before="0" w:after="283"/>
              <w:jc w:val="both"/>
              <w:rPr/>
            </w:pPr>
            <w:r>
              <w:rPr/>
              <w:t>directly to a limited number of purchasers or to a single purchaser;</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block trades in which the broker-dealer will attempt to sell the ordinary shares as agent, but may position and resell a portion of the block as principal to facilitate the transaction;</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short sales and settlement of short sales entered into after the effective date of the registration statement of which this prospectus is a part;</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“at the market offerings,” within the meaning of Rule 415(a)(4) of the Securities Act, into an existing trading market on an exchange or otherwise;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888"/>
        <w:gridCol w:w="9119"/>
      </w:tblGrid>
      <w:tr>
        <w:trPr/>
        <w:tc>
          <w:tcPr>
            <w:tcW w:w="19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pPr>
            <w:r>
              <w:rPr/>
              <w:t>●</w:t>
            </w:r>
          </w:p>
        </w:tc>
        <w:tc>
          <w:tcPr>
            <w:tcW w:w="9119" w:type="dxa"/>
            <w:tcBorders/>
            <w:vAlign w:val="center"/>
          </w:tcPr>
          <w:p>
            <w:pPr>
              <w:pStyle w:val="TableContents"/>
              <w:bidi w:val="0"/>
              <w:spacing w:before="0" w:after="283"/>
              <w:jc w:val="both"/>
              <w:rPr/>
            </w:pPr>
            <w:r>
              <w:rPr/>
              <w:t>through agents; or</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through any other method permitted by applicable law and described in the applicable prospectus supplement.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state the terms of the offering of the securities, including:</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2" w:type="dxa"/>
            <w:tcBorders/>
            <w:vAlign w:val="center"/>
          </w:tcPr>
          <w:p>
            <w:pPr>
              <w:pStyle w:val="TableContents"/>
              <w:bidi w:val="0"/>
              <w:spacing w:before="0" w:after="283"/>
              <w:jc w:val="both"/>
              <w:rPr/>
            </w:pPr>
            <w:r>
              <w:rPr/>
              <w:t>the name or names of any underwriters, dealers or agents;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354"/>
        <w:gridCol w:w="9772"/>
      </w:tblGrid>
      <w:tr>
        <w:trPr/>
        <w:tc>
          <w:tcPr>
            <w:tcW w:w="7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w:t>
            </w:r>
          </w:p>
        </w:tc>
        <w:tc>
          <w:tcPr>
            <w:tcW w:w="9772" w:type="dxa"/>
            <w:tcBorders/>
            <w:vAlign w:val="center"/>
          </w:tcPr>
          <w:p>
            <w:pPr>
              <w:pStyle w:val="TableContents"/>
              <w:bidi w:val="0"/>
              <w:spacing w:before="0" w:after="283"/>
              <w:jc w:val="both"/>
              <w:rPr/>
            </w:pPr>
            <w:r>
              <w:rPr/>
              <w:t>the name or names of any selling securityholders;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8"/>
        <w:gridCol w:w="9939"/>
      </w:tblGrid>
      <w:tr>
        <w:trPr/>
        <w:tc>
          <w:tcPr>
            <w:tcW w:w="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939" w:type="dxa"/>
            <w:tcBorders/>
            <w:vAlign w:val="center"/>
          </w:tcPr>
          <w:p>
            <w:pPr>
              <w:pStyle w:val="TableContents"/>
              <w:bidi w:val="0"/>
              <w:spacing w:before="0" w:after="283"/>
              <w:jc w:val="both"/>
              <w:rPr/>
            </w:pPr>
            <w:r>
              <w:rPr/>
              <w:t>the purchase price of such securities and the proceeds to be received by us, if any;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underwriting discounts or agency fees and other items constituting underwriters’ or agents’ compensation;</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660"/>
        <w:gridCol w:w="9398"/>
      </w:tblGrid>
      <w:tr>
        <w:trPr/>
        <w:tc>
          <w:tcPr>
            <w:tcW w:w="14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pPr>
            <w:r>
              <w:rPr/>
              <w:t>●</w:t>
            </w:r>
          </w:p>
        </w:tc>
        <w:tc>
          <w:tcPr>
            <w:tcW w:w="9398" w:type="dxa"/>
            <w:tcBorders/>
            <w:vAlign w:val="center"/>
          </w:tcPr>
          <w:p>
            <w:pPr>
              <w:pStyle w:val="TableContents"/>
              <w:bidi w:val="0"/>
              <w:spacing w:before="0" w:after="283"/>
              <w:jc w:val="both"/>
              <w:rPr/>
            </w:pPr>
            <w:r>
              <w:rPr/>
              <w:t>any public offering price;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1"/>
        <w:gridCol w:w="9910"/>
      </w:tblGrid>
      <w:tr>
        <w:trPr/>
        <w:tc>
          <w:tcPr>
            <w:tcW w:w="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0" w:type="dxa"/>
            <w:tcBorders/>
            <w:vAlign w:val="center"/>
          </w:tcPr>
          <w:p>
            <w:pPr>
              <w:pStyle w:val="TableContents"/>
              <w:bidi w:val="0"/>
              <w:spacing w:before="0" w:after="283"/>
              <w:jc w:val="both"/>
              <w:rPr/>
            </w:pPr>
            <w:r>
              <w:rPr/>
              <w:t>any discounts or concessions allowed or reallowed or paid to dealers;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2"/>
        <w:gridCol w:w="9861"/>
      </w:tblGrid>
      <w:tr>
        <w:trPr/>
        <w:tc>
          <w:tcPr>
            <w:tcW w:w="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1" w:type="dxa"/>
            <w:tcBorders/>
            <w:vAlign w:val="center"/>
          </w:tcPr>
          <w:p>
            <w:pPr>
              <w:pStyle w:val="TableContents"/>
              <w:bidi w:val="0"/>
              <w:spacing w:before="0" w:after="283"/>
              <w:jc w:val="both"/>
              <w:rPr/>
            </w:pPr>
            <w:r>
              <w:rPr/>
              <w:t>any securities exchanges on which the securities may be listed.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 and any discounts or concessions allowed or reallowed or paid to dealers may be changed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securities will be acquired by the underwriters for their own account and may be resold from time to time in one or more transactions, including:</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709"/>
        <w:gridCol w:w="9338"/>
      </w:tblGrid>
      <w:tr>
        <w:trPr/>
        <w:tc>
          <w:tcPr>
            <w:tcW w:w="15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pPr>
            <w:r>
              <w:rPr/>
              <w:t>●</w:t>
            </w:r>
          </w:p>
        </w:tc>
        <w:tc>
          <w:tcPr>
            <w:tcW w:w="9338" w:type="dxa"/>
            <w:tcBorders/>
            <w:vAlign w:val="center"/>
          </w:tcPr>
          <w:p>
            <w:pPr>
              <w:pStyle w:val="TableContents"/>
              <w:bidi w:val="0"/>
              <w:spacing w:before="0" w:after="283"/>
              <w:jc w:val="both"/>
              <w:rPr/>
            </w:pPr>
            <w:r>
              <w:rPr/>
              <w:t>negotiated transactions;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pPr>
            <w:r>
              <w:rPr/>
              <w:t>at a fixed public offering price or prices, which may be changed;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5"/>
        <w:gridCol w:w="9734"/>
      </w:tblGrid>
      <w:tr>
        <w:trPr/>
        <w:tc>
          <w:tcPr>
            <w:tcW w:w="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w:t>
            </w:r>
          </w:p>
        </w:tc>
        <w:tc>
          <w:tcPr>
            <w:tcW w:w="9734" w:type="dxa"/>
            <w:tcBorders/>
            <w:vAlign w:val="center"/>
          </w:tcPr>
          <w:p>
            <w:pPr>
              <w:pStyle w:val="TableContents"/>
              <w:bidi w:val="0"/>
              <w:spacing w:before="0" w:after="283"/>
              <w:jc w:val="both"/>
              <w:rPr/>
            </w:pPr>
            <w:r>
              <w:rPr/>
              <w:t>at market prices prevailing at the time of sale;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8"/>
        <w:gridCol w:w="9743"/>
      </w:tblGrid>
      <w:tr>
        <w:trPr/>
        <w:tc>
          <w:tcPr>
            <w:tcW w:w="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w:t>
            </w:r>
          </w:p>
        </w:tc>
        <w:tc>
          <w:tcPr>
            <w:tcW w:w="9743" w:type="dxa"/>
            <w:tcBorders/>
            <w:vAlign w:val="center"/>
          </w:tcPr>
          <w:p>
            <w:pPr>
              <w:pStyle w:val="TableContents"/>
              <w:bidi w:val="0"/>
              <w:spacing w:before="0" w:after="283"/>
              <w:jc w:val="both"/>
              <w:rPr/>
            </w:pPr>
            <w:r>
              <w:rPr/>
              <w:t>at prices related to prevailing market prices; or</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820"/>
        <w:gridCol w:w="9203"/>
      </w:tblGrid>
      <w:tr>
        <w:trPr/>
        <w:tc>
          <w:tcPr>
            <w:tcW w:w="1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pPr>
            <w:r>
              <w:rPr/>
              <w:t>●</w:t>
            </w:r>
          </w:p>
        </w:tc>
        <w:tc>
          <w:tcPr>
            <w:tcW w:w="9203" w:type="dxa"/>
            <w:tcBorders/>
            <w:vAlign w:val="center"/>
          </w:tcPr>
          <w:p>
            <w:pPr>
              <w:pStyle w:val="TableContents"/>
              <w:bidi w:val="0"/>
              <w:spacing w:before="0" w:after="283"/>
              <w:jc w:val="both"/>
              <w:rPr/>
            </w:pPr>
            <w:r>
              <w:rPr/>
              <w:t>at negotiated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through agents from time to time. The prospectus supplement will name any agent involved in the offer or sale of the securities and any commissions paid to them. Generally, any agent will be acting on a best effort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customers of, engage in transactions with, or perform services for us and our affiliates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15c6-1 of the Exchange Act, trades in the secondary market generally are required to settle in one business day,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securities to be sold, the name of the selling securityholders, the respective purchase prices and public offering prices, the names of any agent, dealer or underwriter, any applicable commissions or discounts with respect to a particular offer and other relevant information will be set forth in an accompanying prospectus supplement. Selling securityholders may be deemed to be underwriters under the Securities Act in connection with the securities they resell and any profits on the sales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28" w:name="a_011"/>
      <w:bookmarkEnd w:id="28"/>
      <w:r>
        <w:rPr>
          <w:rFonts w:ascii="Times New Roman;Times;Serif" w:hAnsi="Times New Roman;Times;Serif"/>
          <w:b/>
          <w:i w:val="false"/>
          <w:smallCaps/>
          <w:sz w:val="20"/>
        </w:rPr>
        <w:t>EXPENSES RELATED TO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pStyle w:val="TextBody"/>
        <w:bidi w:val="0"/>
        <w:spacing w:before="0" w:after="0"/>
        <w:ind w:left="0" w:right="0" w:firstLine="72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4100"/>
        <w:gridCol w:w="60"/>
        <w:gridCol w:w="365"/>
        <w:gridCol w:w="120"/>
        <w:gridCol w:w="75"/>
      </w:tblGrid>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Filing Fee</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Printing and Miscellaneous Expenses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position w:val="7"/>
                <w:sz w:val="16"/>
                <w:sz w:val="20"/>
              </w:rPr>
            </w:pPr>
            <w:r>
              <w:rPr>
                <w:position w:val="7"/>
                <w:sz w:val="16"/>
                <w:sz w:val="20"/>
              </w:rPr>
              <w:t>(1)</w:t>
            </w:r>
          </w:p>
        </w:tc>
        <w:tc>
          <w:tcPr>
            <w:tcW w:w="9997" w:type="dxa"/>
            <w:tcBorders/>
            <w:vAlign w:val="center"/>
          </w:tcPr>
          <w:p>
            <w:pPr>
              <w:pStyle w:val="TableContents"/>
              <w:bidi w:val="0"/>
              <w:spacing w:before="0" w:after="283"/>
              <w:jc w:val="both"/>
              <w:rPr/>
            </w:pPr>
            <w:r>
              <w:rPr/>
              <w:t>This registration statement relates to the registration of securities having an indeterminate maximum aggregate amount. Payment of the registration fee has been deferred and will be calculated and paid in accordance with Rule 456(b) and Rule 457(r).</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osition w:val="7"/>
                <w:sz w:val="16"/>
                <w:sz w:val="20"/>
              </w:rPr>
            </w:pPr>
            <w:r>
              <w:rPr>
                <w:position w:val="7"/>
                <w:sz w:val="16"/>
                <w:sz w:val="20"/>
              </w:rPr>
              <w:t>(2)</w:t>
            </w:r>
          </w:p>
        </w:tc>
        <w:tc>
          <w:tcPr>
            <w:tcW w:w="9990" w:type="dxa"/>
            <w:tcBorders/>
            <w:vAlign w:val="center"/>
          </w:tcPr>
          <w:p>
            <w:pPr>
              <w:pStyle w:val="TableContents"/>
              <w:bidi w:val="0"/>
              <w:spacing w:before="0" w:after="283"/>
              <w:jc w:val="both"/>
              <w:rPr/>
            </w:pPr>
            <w:r>
              <w:rPr/>
              <w:t>These fees and expenses depend on the securities offered and the number of issuances, and accordingly cannot be estimated at this time and will be reflected in the applicable prospectus supplement.</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9" w:name="a_012"/>
      <w:bookmarkEnd w:id="29"/>
      <w:r>
        <w:rPr>
          <w:rFonts w:ascii="Times New Roman;Times;Serif" w:hAnsi="Times New Roman;Times;Serif"/>
          <w:b/>
          <w:i w:val="false"/>
          <w:smallCaps/>
          <w:sz w:val="20"/>
        </w:rPr>
        <w:t>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Material income tax consequences relating to the purchase, ownership and disposition of any of the securities offered by this prospectus other than Class A ordinary shares will be set forth in the applicable prospectus supplement relating to the offering of those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considerations generally applicable to the acquisition, ownership, and disposition of Class A ordinary shares by a “U.S. Holder” (as defined below). This discussion applies only to Class A ordinary shares that are held by a U.S. Holder as “capital assets” within the meaning of Section 1221 of the U.S. Internal Revenue Code of 1986, as amended (the “Code”) (generally, property held for investment). For purposes of this discussion, “ordinary shares” refer to Class A ordinary shares.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any alternative minimum tax, the special tax accounting rules under Section 451(b) of the Code, the Medicare contribution tax on net investment income, or any tax consequences that may be relevant to U.S. Holders that are subject to special tax rules, including, without limitation:</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82"/>
        <w:gridCol w:w="9616"/>
      </w:tblGrid>
      <w:tr>
        <w:trPr/>
        <w:tc>
          <w:tcPr>
            <w:tcW w:w="10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w:t>
            </w:r>
          </w:p>
        </w:tc>
        <w:tc>
          <w:tcPr>
            <w:tcW w:w="9616" w:type="dxa"/>
            <w:tcBorders/>
            <w:vAlign w:val="center"/>
          </w:tcPr>
          <w:p>
            <w:pPr>
              <w:pStyle w:val="TableContents"/>
              <w:bidi w:val="0"/>
              <w:spacing w:before="0" w:after="283"/>
              <w:jc w:val="both"/>
              <w:rPr/>
            </w:pPr>
            <w:r>
              <w:rPr/>
              <w:t>banks or other financial institutions;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765"/>
        <w:gridCol w:w="9270"/>
      </w:tblGrid>
      <w:tr>
        <w:trPr/>
        <w:tc>
          <w:tcPr>
            <w:tcW w:w="1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pPr>
            <w:r>
              <w:rPr/>
              <w:t>●</w:t>
            </w:r>
          </w:p>
        </w:tc>
        <w:tc>
          <w:tcPr>
            <w:tcW w:w="9270" w:type="dxa"/>
            <w:tcBorders/>
            <w:vAlign w:val="center"/>
          </w:tcPr>
          <w:p>
            <w:pPr>
              <w:pStyle w:val="TableContents"/>
              <w:bidi w:val="0"/>
              <w:spacing w:before="0" w:after="283"/>
              <w:jc w:val="both"/>
              <w:rPr/>
            </w:pPr>
            <w:r>
              <w:rPr/>
              <w:t>insurance companies;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w:t>
            </w:r>
          </w:p>
        </w:tc>
        <w:tc>
          <w:tcPr>
            <w:tcW w:w="8821" w:type="dxa"/>
            <w:tcBorders/>
            <w:vAlign w:val="center"/>
          </w:tcPr>
          <w:p>
            <w:pPr>
              <w:pStyle w:val="TableContents"/>
              <w:bidi w:val="0"/>
              <w:spacing w:before="0" w:after="283"/>
              <w:jc w:val="both"/>
              <w:rPr/>
            </w:pPr>
            <w:r>
              <w:rPr/>
              <w:t>mutual funds;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8"/>
        <w:gridCol w:w="9462"/>
      </w:tblGrid>
      <w:tr>
        <w:trPr/>
        <w:tc>
          <w:tcPr>
            <w:tcW w:w="13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pPr>
            <w:r>
              <w:rPr/>
              <w:t>●</w:t>
            </w:r>
          </w:p>
        </w:tc>
        <w:tc>
          <w:tcPr>
            <w:tcW w:w="9462" w:type="dxa"/>
            <w:tcBorders/>
            <w:vAlign w:val="center"/>
          </w:tcPr>
          <w:p>
            <w:pPr>
              <w:pStyle w:val="TableContents"/>
              <w:bidi w:val="0"/>
              <w:spacing w:before="0" w:after="283"/>
              <w:jc w:val="both"/>
              <w:rPr/>
            </w:pPr>
            <w:r>
              <w:rPr/>
              <w:t>pension or retirement plans;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040"/>
        <w:gridCol w:w="8933"/>
      </w:tblGrid>
      <w:tr>
        <w:trPr/>
        <w:tc>
          <w:tcPr>
            <w:tcW w:w="2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pPr>
            <w:r>
              <w:rPr/>
              <w:t>●</w:t>
            </w:r>
          </w:p>
        </w:tc>
        <w:tc>
          <w:tcPr>
            <w:tcW w:w="8933" w:type="dxa"/>
            <w:tcBorders/>
            <w:vAlign w:val="center"/>
          </w:tcPr>
          <w:p>
            <w:pPr>
              <w:pStyle w:val="TableContents"/>
              <w:bidi w:val="0"/>
              <w:spacing w:before="0" w:after="283"/>
              <w:jc w:val="both"/>
              <w:rPr/>
            </w:pPr>
            <w:r>
              <w:rPr/>
              <w:t>S corporations;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00"/>
        <w:gridCol w:w="9716"/>
      </w:tblGrid>
      <w:tr>
        <w:trPr/>
        <w:tc>
          <w:tcPr>
            <w:tcW w:w="8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w:t>
            </w:r>
          </w:p>
        </w:tc>
        <w:tc>
          <w:tcPr>
            <w:tcW w:w="9716" w:type="dxa"/>
            <w:tcBorders/>
            <w:vAlign w:val="center"/>
          </w:tcPr>
          <w:p>
            <w:pPr>
              <w:pStyle w:val="TableContents"/>
              <w:bidi w:val="0"/>
              <w:spacing w:before="0" w:after="283"/>
              <w:jc w:val="both"/>
              <w:rPr/>
            </w:pPr>
            <w:r>
              <w:rPr/>
              <w:t>broker or dealers in securities or currencies;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8"/>
        <w:gridCol w:w="9816"/>
      </w:tblGrid>
      <w:tr>
        <w:trPr/>
        <w:tc>
          <w:tcPr>
            <w:tcW w:w="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816" w:type="dxa"/>
            <w:tcBorders/>
            <w:vAlign w:val="center"/>
          </w:tcPr>
          <w:p>
            <w:pPr>
              <w:pStyle w:val="TableContents"/>
              <w:bidi w:val="0"/>
              <w:spacing w:before="0" w:after="283"/>
              <w:jc w:val="both"/>
              <w:rPr/>
            </w:pPr>
            <w:r>
              <w:rPr/>
              <w:t>traders in securities that elect mark-to-market treatment;</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pPr>
            <w:r>
              <w:rPr/>
              <w:t>●</w:t>
            </w:r>
          </w:p>
        </w:tc>
        <w:tc>
          <w:tcPr>
            <w:tcW w:w="9466" w:type="dxa"/>
            <w:tcBorders/>
            <w:vAlign w:val="center"/>
          </w:tcPr>
          <w:p>
            <w:pPr>
              <w:pStyle w:val="TableContents"/>
              <w:bidi w:val="0"/>
              <w:spacing w:before="0" w:after="283"/>
              <w:jc w:val="both"/>
              <w:rPr/>
            </w:pPr>
            <w:r>
              <w:rPr/>
              <w:t>real estate investment trusts;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004"/>
        <w:gridCol w:w="8977"/>
      </w:tblGrid>
      <w:tr>
        <w:trPr/>
        <w:tc>
          <w:tcPr>
            <w:tcW w:w="22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pPr>
            <w:r>
              <w:rPr/>
              <w:t>●</w:t>
            </w:r>
          </w:p>
        </w:tc>
        <w:tc>
          <w:tcPr>
            <w:tcW w:w="8977" w:type="dxa"/>
            <w:tcBorders/>
            <w:vAlign w:val="center"/>
          </w:tcPr>
          <w:p>
            <w:pPr>
              <w:pStyle w:val="TableContents"/>
              <w:bidi w:val="0"/>
              <w:spacing w:before="0" w:after="283"/>
              <w:jc w:val="both"/>
              <w:rPr/>
            </w:pPr>
            <w:r>
              <w:rPr/>
              <w:t>trusts or estates;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w:t>
            </w:r>
          </w:p>
        </w:tc>
        <w:tc>
          <w:tcPr>
            <w:tcW w:w="9829" w:type="dxa"/>
            <w:tcBorders/>
            <w:vAlign w:val="center"/>
          </w:tcPr>
          <w:p>
            <w:pPr>
              <w:pStyle w:val="TableContents"/>
              <w:bidi w:val="0"/>
              <w:spacing w:before="0" w:after="283"/>
              <w:jc w:val="both"/>
              <w:rPr/>
            </w:pPr>
            <w:r>
              <w:rPr/>
              <w:t>tax-exempt organizations (including private foundations);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persons that hold Ordinary Shares as part of a “straddle,” “hedge,” “conversion,” “synthetic security,” “constructive sale,” or other integrated transaction for U.S. federal income tax purposes;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6" w:type="dxa"/>
            <w:tcBorders/>
            <w:vAlign w:val="center"/>
          </w:tcPr>
          <w:p>
            <w:pPr>
              <w:pStyle w:val="TableContents"/>
              <w:bidi w:val="0"/>
              <w:spacing w:before="0" w:after="283"/>
              <w:jc w:val="both"/>
              <w:rPr/>
            </w:pPr>
            <w:r>
              <w:rPr/>
              <w:t>persons that have a functional currency other than the U.S. dollar;</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1"/>
        <w:gridCol w:w="9911"/>
      </w:tblGrid>
      <w:tr>
        <w:trPr/>
        <w:tc>
          <w:tcPr>
            <w:tcW w:w="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both"/>
              <w:rPr/>
            </w:pPr>
            <w:r>
              <w:rPr/>
              <w:t>certain U.S. expatriates or former long-term residents of the United States;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pPr>
            <w:r>
              <w:rPr/>
              <w:t>persons owning (directly, indirectly, or constructively) 5% (by vote or value) or more of our shares;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persons that acquired Ordinary Shares pursuant to an exercise of employee stock options or otherwise as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partnerships or other entities or arrangements treated as pass-through entities for U.S. federal income tax purposes and investors in such entities;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2"/>
        <w:gridCol w:w="9946"/>
      </w:tblGrid>
      <w:tr>
        <w:trPr/>
        <w:tc>
          <w:tcPr>
            <w:tcW w:w="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w:t>
            </w:r>
          </w:p>
        </w:tc>
        <w:tc>
          <w:tcPr>
            <w:tcW w:w="9946" w:type="dxa"/>
            <w:tcBorders/>
            <w:vAlign w:val="center"/>
          </w:tcPr>
          <w:p>
            <w:pPr>
              <w:pStyle w:val="TableContents"/>
              <w:bidi w:val="0"/>
              <w:spacing w:before="0" w:after="283"/>
              <w:jc w:val="both"/>
              <w:rPr/>
            </w:pPr>
            <w:r>
              <w:rPr/>
              <w:t>“</w:t>
            </w:r>
            <w:r>
              <w:rPr/>
              <w:t>controlled foreign corporations” within the meaning of Section 957(a) of the Code;</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5"/>
        <w:gridCol w:w="9979"/>
      </w:tblGrid>
      <w:tr>
        <w:trPr/>
        <w:tc>
          <w:tcPr>
            <w:tcW w:w="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w:t>
            </w:r>
          </w:p>
        </w:tc>
        <w:tc>
          <w:tcPr>
            <w:tcW w:w="9979" w:type="dxa"/>
            <w:tcBorders/>
            <w:vAlign w:val="center"/>
          </w:tcPr>
          <w:p>
            <w:pPr>
              <w:pStyle w:val="TableContents"/>
              <w:bidi w:val="0"/>
              <w:spacing w:before="0" w:after="283"/>
              <w:jc w:val="both"/>
              <w:rPr/>
            </w:pPr>
            <w:r>
              <w:rPr/>
              <w:t>“</w:t>
            </w:r>
            <w:r>
              <w:rPr/>
              <w:t>passive foreign investment companies” within the meaning of Section 1297(a) of the Code;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8"/>
        <w:gridCol w:w="9902"/>
      </w:tblGrid>
      <w:tr>
        <w:trPr/>
        <w:tc>
          <w:tcPr>
            <w:tcW w:w="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pPr>
            <w:r>
              <w:rPr/>
              <w:t>corporations that accumulate earnings to avoid U.S. federal income tax.</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ordinary shares, that is, for U.S. federal income tax purposes:</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both"/>
              <w:rPr/>
            </w:pPr>
            <w:r>
              <w:rPr/>
              <w:t>an individual who is a U.S. citizen or resident of the United States;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corporation (including an entity treated as a corporation for U.S. federal income tax purposes) created or organized in or under the laws of the United States, any state thereof, or the District of Columbia;</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TAX CONSEQUENCES OF THE ACQUISITION, OWNERSHIP, AND DISPOSITION OF ORDINARY SHARES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on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(“PFIC”) rules discussed below under “––Passive Foreign Investment Company Rules,”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advisors regarding the application of such rules, including the creditability of foreign taxes,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or Other Taxable Disposition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Any such gain or loss recognized by a U.S. Holder will generally be treated as U.S. source gain or loss for foreign tax credit limitation purposes. Consequently, a U.S. Holder may not be able to use any foreign tax credit arising from any foreign tax imposed on the disposition of our ordinary shares unless such credit can be applied (subject to applicable limitations) against tax due on other income treated as derived from non-U.S.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 However, if our ordinary shares are treated as traded on an “established securities market” and the U.S. Holder is either a cash basis taxpayer or an accrual basis taxpayer that has made a special election (which must be applied consistently from year to year and cannot be changed without the consent of the IRS), the U.S. Holder will determine the U.S. dollar value of the amount realized in a non-U.S. dollar currency by translating the amount received at the spot rate of exchange on the settlement date of the sale. Any such foreign currency gain or loss will be U.S.-source for foreign tax credit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during such year consists of assets that produce, or are held for the production of, passive income, or (ii) 75% or more of its gross income for such year consists of passive income. Passive income generally includes dividends, interest, royalties, rents, annuities,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indirectly or constructively, at least 25% by value of the stock of another corporation is treated as if it held its proportionate share of the assets of the other corporation, and received directly its proportionate share of the income of the other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analysis of our income, assets, activities, and market capitalization, we believe that we were not a PFIC, for the taxable year ended December 31, 2025. However, our PFIC status for any taxable year is a factual annual determination that can be made only after the end of that year and will depend on the composition of our income and assets and the value of our assets from time to time (including the value of our goodwill, which may be determined in large part by reference to the market price of our ordinary shares from time to time, which could be volatile). In addition, the risk of us being a PFIC for any taxable year will increase if our market capitalization declines substantially during that year. Furthermore, whether and to which extent our income and assets, including goodwill, will be characterized as active or passive will depend on various factors that are subject to uncertainty, including our future business plan and the application of laws that are subject to varying interpretation. For example, there is no authority that directly addresses the proper treatment of certain items of our income, such as income from cryptocurrency self-mining, cloud hash rate, or hosting for purposes of the PFIC rules and, although we currently treat these items of income as active, such treatment is uncertain. Moreover, certain of our business activities generate passive income and, although the amount of such income is currently small, our risk of being a PFIC will increase if the proportion of our revenue earned from such business activities increases in future taxable years. Accordingly, there can be no assurances that we will not be a PFIC for our current or any future taxable year, and our U.S. counsel expresses no opinion with respect to our PFIC status for any taxable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PFIC status is generally determined annually, if we are determined to be a PFIC for any taxable year (or portion thereof) that is included in the holding period of a U.S. Holder in the U.S. Holder’s ordinary shares and the U.S. Holder did not make either a mark-to-market election or a qualifying electing fund (“QEF”) election,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 Under these rules:</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U.S. Holder’s gain or excess distribution will be allocated ratably over the U.S. Holder’s holding period in its ordinary shares;</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tc>
      </w:tr>
    </w:tbl>
    <w:p>
      <w:pPr>
        <w:pStyle w:val="TextBody"/>
        <w:bidi w:val="0"/>
        <w:spacing w:before="0" w:after="0"/>
        <w:ind w:left="1134" w:right="0" w:hanging="360"/>
        <w:jc w:val="both"/>
        <w:rPr>
          <w:caps w:val="false"/>
          <w:smallCaps w:val="false"/>
        </w:rPr>
      </w:pPr>
      <w:r>
        <w:rPr>
          <w:caps w:val="false"/>
          <w:smallCaps w:val="false"/>
        </w:rPr>
        <w:t> </w:t>
      </w:r>
    </w:p>
    <w:p>
      <w:pPr>
        <w:pStyle w:val="TextBody"/>
        <w:bidi w:val="0"/>
        <w:spacing w:before="0" w:after="0"/>
        <w:ind w:left="1134"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amount allocated to other taxable years (or portions thereof) of the U.S. Holder and included in the U.S. Holder’s holding period will be taxed at the highest tax rate in effect for that year and applicable to the U.S. Holder;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PFIC Elections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our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made, a mark-to-market election would be effective for the taxable year for which the election was made and for all subsequent taxable years unless our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U.S. Holder’s ordinary shares solely for purposes of the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PFIC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at any time, have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PFIC RULES ARE VERY COMPLEX AND U.S. HOLDERS SHOULD CONSULT THEIR TAX ADVISORS REGARDING THE APPLICATION OF SUCH RULES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certain entities that own “specified foreign financial assets” with an aggregate value in excess of certain thresholds generally are required to file an information report with respect to such assets with their tax returns. U.S. Holders should consult their tax advisors regarding the information reporting requirements and the application of the backup withholding rules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AND THE EFFECT OF ANY TAX TREATIES,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consult their professional advisors on the possible tax consequences of buying, holding or selling any shares under the laws of their country of citizenship, residence or domicile.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Existing Cayman Islands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respect of the issue of our securities or on an instrument of transfer in respect of our securities, except for stamp duties which may be applicable on instruments executed in, or, after execution, brought within the jurisdiction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levy no taxes on individuals or corporations based upon profits, income, gains or appreciations and there is no taxation in the nature of inheritance tax or estate duty. There are no other taxes likely to be material to us levied by the Government of the Cayman Islands save certain stamp duties which may be applicable, from time to time, on certain instruments executed in or brought within the jurisdiction of the 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30" w:name="a_013"/>
      <w:bookmarkEnd w:id="30"/>
      <w:r>
        <w:rPr>
          <w:rFonts w:ascii="Times New Roman;Times;Serif" w:hAnsi="Times New Roman;Times;Serif"/>
          <w:b/>
          <w:i w:val="false"/>
          <w:smallCaps/>
          <w:sz w:val="20"/>
        </w:rPr>
        <w:t>LEGAL MATTERS</w:t>
      </w:r>
    </w:p>
    <w:p>
      <w:pPr>
        <w:pStyle w:val="TextBody"/>
        <w:bidi w:val="0"/>
        <w:spacing w:before="0" w:after="0"/>
        <w:ind w:left="0" w:right="0" w:firstLine="720"/>
        <w:jc w:val="both"/>
        <w:rPr>
          <w:caps w:val="false"/>
          <w:smallCaps w:val="false"/>
          <w:color w:val="231F20"/>
        </w:rPr>
      </w:pPr>
      <w:r>
        <w:rPr>
          <w:caps w:val="false"/>
          <w:smallCaps w:val="false"/>
          <w:color w:val="231F2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being represented by Cooley LLP with respect to certain legal matters as to United States federal securities and New York State law. The validity of the securities being registered has been passed on by Ogier.</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1" w:name="a_014"/>
      <w:bookmarkEnd w:id="31"/>
      <w:r>
        <w:rPr>
          <w:rFonts w:ascii="Times New Roman;Times;Serif" w:hAnsi="Times New Roman;Times;Serif"/>
          <w:b/>
          <w:i w:val="false"/>
          <w:smallCaps/>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management’s assessment of the effectiveness of internal control over financial reporting (which is included in Management’s Annual Report on Internal Control over Financial Reporting) of Bitdeer Technologies Group incorporated in this prospectus by reference to the Annual Report on Form 20-F for the year ended December 31, 2025 have been so incorporated in reliance on the report of MaloneBailey,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32" w:name="a_015"/>
      <w:bookmarkEnd w:id="32"/>
      <w:r>
        <w:rPr>
          <w:rFonts w:ascii="Times New Roman;Times;Serif" w:hAnsi="Times New Roman;Times;Serif"/>
          <w:b/>
          <w:i w:val="false"/>
          <w:smallCaps/>
          <w:sz w:val="20"/>
        </w:rPr>
        <w:t>ENFORCEABILITY OF CIVIL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37"/>
        <w:gridCol w:w="9548"/>
      </w:tblGrid>
      <w:tr>
        <w:trPr/>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w:t>
            </w:r>
          </w:p>
        </w:tc>
        <w:tc>
          <w:tcPr>
            <w:tcW w:w="9548" w:type="dxa"/>
            <w:tcBorders/>
            <w:vAlign w:val="center"/>
          </w:tcPr>
          <w:p>
            <w:pPr>
              <w:pStyle w:val="TableContents"/>
              <w:bidi w:val="0"/>
              <w:spacing w:before="0" w:after="283"/>
              <w:jc w:val="both"/>
              <w:rPr/>
            </w:pPr>
            <w:r>
              <w:rPr/>
              <w:t>political and economic stability;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8"/>
        <w:gridCol w:w="9462"/>
      </w:tblGrid>
      <w:tr>
        <w:trPr/>
        <w:tc>
          <w:tcPr>
            <w:tcW w:w="13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pPr>
            <w:r>
              <w:rPr/>
              <w:t>●</w:t>
            </w:r>
          </w:p>
        </w:tc>
        <w:tc>
          <w:tcPr>
            <w:tcW w:w="9462" w:type="dxa"/>
            <w:tcBorders/>
            <w:vAlign w:val="center"/>
          </w:tcPr>
          <w:p>
            <w:pPr>
              <w:pStyle w:val="TableContents"/>
              <w:bidi w:val="0"/>
              <w:spacing w:before="0" w:after="283"/>
              <w:jc w:val="both"/>
              <w:rPr/>
            </w:pPr>
            <w:r>
              <w:rPr/>
              <w:t>an effective judicial system;</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w:t>
            </w:r>
          </w:p>
        </w:tc>
        <w:tc>
          <w:tcPr>
            <w:tcW w:w="8821" w:type="dxa"/>
            <w:tcBorders/>
            <w:vAlign w:val="center"/>
          </w:tcPr>
          <w:p>
            <w:pPr>
              <w:pStyle w:val="TableContents"/>
              <w:bidi w:val="0"/>
              <w:spacing w:before="0" w:after="283"/>
              <w:jc w:val="both"/>
              <w:rPr/>
            </w:pPr>
            <w:r>
              <w:rPr/>
              <w:t>tax neutrality;</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the absence of exchange control or currency restrictions;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9"/>
        <w:gridCol w:w="9791"/>
      </w:tblGrid>
      <w:tr>
        <w:trPr/>
        <w:tc>
          <w:tcPr>
            <w:tcW w:w="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w:t>
            </w:r>
          </w:p>
        </w:tc>
        <w:tc>
          <w:tcPr>
            <w:tcW w:w="9791" w:type="dxa"/>
            <w:tcBorders/>
            <w:vAlign w:val="center"/>
          </w:tcPr>
          <w:p>
            <w:pPr>
              <w:pStyle w:val="TableContents"/>
              <w:bidi w:val="0"/>
              <w:spacing w:before="0" w:after="283"/>
              <w:jc w:val="both"/>
              <w:rPr/>
            </w:pPr>
            <w:r>
              <w:rPr/>
              <w:t>the availability of professional and support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Cayman Islands has a less developed body of securities laws as compared to the United States and these securities laws provide significantly less protection to investors as compared to those of the United States;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constituent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our counsel as to Cayman Islands law, has advised us that there is uncertainty as to whether the courts of the Cayman Islands would (i) recognize or enforce against us judgments of courts of the United States based on certain civil liability provisions of U.S. securities laws, and (ii) entertain original actions brought in the Cayman Islands against us or our directors or officers that are predicated upon the federal securities laws of the United States or the securities laws of any state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is no statutory enforcement in the Cayman Islands of judgments obtained in the United States,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1276" w:right="0" w:hanging="567"/>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75"/>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970" w:type="dxa"/>
            <w:tcBorders/>
            <w:vAlign w:val="center"/>
          </w:tcPr>
          <w:p>
            <w:pPr>
              <w:pStyle w:val="TableContents"/>
              <w:bidi w:val="0"/>
              <w:spacing w:before="0" w:after="283"/>
              <w:jc w:val="both"/>
              <w:rPr/>
            </w:pPr>
            <w:r>
              <w:rPr/>
              <w:t>is given by a foreign court of competent jurisdiction;</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both"/>
              <w:rPr/>
            </w:pPr>
            <w:r>
              <w:rPr/>
              <w:t>imposes on the judgment debtor a liability to pay a liquidated sum for which the judgment has been given;</w:t>
            </w:r>
          </w:p>
        </w:tc>
      </w:tr>
    </w:tbl>
    <w:p>
      <w:pPr>
        <w:pStyle w:val="TextBody"/>
        <w:bidi w:val="0"/>
        <w:spacing w:before="0" w:after="0"/>
        <w:ind w:left="1276" w:right="0" w:hanging="567"/>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275"/>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195" w:type="dxa"/>
            <w:tcBorders/>
            <w:vAlign w:val="center"/>
          </w:tcPr>
          <w:p>
            <w:pPr>
              <w:pStyle w:val="TableContents"/>
              <w:bidi w:val="0"/>
              <w:spacing w:before="0" w:after="283"/>
              <w:jc w:val="both"/>
              <w:rPr/>
            </w:pPr>
            <w:r>
              <w:rPr/>
              <w:t>is final and conclusive;</w:t>
            </w:r>
          </w:p>
        </w:tc>
      </w:tr>
    </w:tbl>
    <w:p>
      <w:pPr>
        <w:pStyle w:val="TextBody"/>
        <w:bidi w:val="0"/>
        <w:spacing w:before="0" w:after="0"/>
        <w:ind w:left="1276" w:right="0" w:hanging="567"/>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29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4175" w:type="dxa"/>
            <w:tcBorders/>
            <w:vAlign w:val="center"/>
          </w:tcPr>
          <w:p>
            <w:pPr>
              <w:pStyle w:val="TableContents"/>
              <w:bidi w:val="0"/>
              <w:spacing w:before="0" w:after="283"/>
              <w:jc w:val="both"/>
              <w:rPr/>
            </w:pPr>
            <w:r>
              <w:rPr/>
              <w:t>is not in respect of taxes, a fine or a penalty;</w:t>
            </w:r>
          </w:p>
        </w:tc>
      </w:tr>
    </w:tbl>
    <w:p>
      <w:pPr>
        <w:pStyle w:val="TextBody"/>
        <w:bidi w:val="0"/>
        <w:spacing w:before="0" w:after="0"/>
        <w:ind w:left="1276" w:right="0" w:hanging="567"/>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7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2960" w:type="dxa"/>
            <w:tcBorders/>
            <w:vAlign w:val="center"/>
          </w:tcPr>
          <w:p>
            <w:pPr>
              <w:pStyle w:val="TableContents"/>
              <w:bidi w:val="0"/>
              <w:spacing w:before="0" w:after="283"/>
              <w:jc w:val="both"/>
              <w:rPr/>
            </w:pPr>
            <w:r>
              <w:rPr/>
              <w:t>was not obtained by fraud; and</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(f)</w:t>
            </w:r>
          </w:p>
        </w:tc>
        <w:tc>
          <w:tcPr>
            <w:tcW w:w="9929" w:type="dxa"/>
            <w:tcBorders/>
            <w:vAlign w:val="center"/>
          </w:tcPr>
          <w:p>
            <w:pPr>
              <w:pStyle w:val="TableContents"/>
              <w:bidi w:val="0"/>
              <w:spacing w:before="0" w:after="283"/>
              <w:jc w:val="both"/>
              <w:rPr/>
            </w:pPr>
            <w:r>
              <w:rPr/>
              <w:t>is not of a kind the enforcement of which is contrary to natural justice or the public policy of the Cayman Islands.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jc w:val="left"/>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jc w:val="left"/>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3" w:name="a_016"/>
      <w:bookmarkEnd w:id="33"/>
      <w:r>
        <w:rPr>
          <w:rFonts w:ascii="Times New Roman;Times;Serif" w:hAnsi="Times New Roman;Times;Serif"/>
          <w:b/>
          <w:i w:val="false"/>
          <w:smallCaps/>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an automatic “shelf” registration statement (including amendments and exhibits to the registration statement) on Form F-3 under the Securities Act. This prospectus, which is part of the registration statement,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applicable to foreign private issuers. Accordingly, we will be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 filings, including the registration statement, are available to you on the SEC’s website at http://www.sec.gov. This site contains reports, proxy and information statements and other information regarding issuers that file electronically with the SEC. We also maintain a website at https://www.bitdeer.com/.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4" w:name="a_017"/>
      <w:bookmarkEnd w:id="34"/>
      <w:r>
        <w:rPr>
          <w:rFonts w:ascii="Times New Roman;Times;Serif" w:hAnsi="Times New Roman;Times;Serif"/>
          <w:b/>
          <w:i w:val="false"/>
          <w:smallCaps/>
          <w:sz w:val="20"/>
        </w:rPr>
        <w:t>INFORMATION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incorporates by reference important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Annual Report for the year ended December 31, 2025 on </w:t>
            </w:r>
            <w:hyperlink r:id="rId12">
              <w:r>
                <w:rPr>
                  <w:rStyle w:val="InternetLink"/>
                </w:rPr>
                <w:t>Form 20-F</w:t>
              </w:r>
            </w:hyperlink>
            <w:r>
              <w:rPr/>
              <w:t>, filed with the SEC on April 30, 2026;</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Current Reports on Form 6-K furnished to the SEC on </w:t>
            </w:r>
            <w:hyperlink r:id="rId13">
              <w:r>
                <w:rPr>
                  <w:rStyle w:val="InternetLink"/>
                </w:rPr>
                <w:t>May 27, 2026</w:t>
              </w:r>
            </w:hyperlink>
            <w:r>
              <w:rPr/>
              <w:t xml:space="preserve">, </w:t>
            </w:r>
            <w:hyperlink r:id="rId14">
              <w:r>
                <w:rPr>
                  <w:rStyle w:val="InternetLink"/>
                </w:rPr>
                <w:t>June 8, 2026</w:t>
              </w:r>
            </w:hyperlink>
            <w:r>
              <w:rPr/>
              <w:t xml:space="preserve">, </w:t>
            </w:r>
            <w:hyperlink r:id="rId15">
              <w:r>
                <w:rPr>
                  <w:rStyle w:val="InternetLink"/>
                </w:rPr>
                <w:t>July 6, 2026</w:t>
              </w:r>
            </w:hyperlink>
            <w:r>
              <w:rPr/>
              <w:t xml:space="preserve"> and </w:t>
            </w:r>
            <w:hyperlink r:id="rId16">
              <w:r>
                <w:rPr>
                  <w:rStyle w:val="InternetLink"/>
                </w:rPr>
                <w:t>August 3, 2026</w:t>
              </w:r>
            </w:hyperlink>
            <w:r>
              <w:rPr/>
              <w:t>;</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description of our ordinary shares contained in our registration statement on </w:t>
            </w:r>
            <w:hyperlink r:id="rId17">
              <w:r>
                <w:rPr>
                  <w:rStyle w:val="InternetLink"/>
                </w:rPr>
                <w:t>Form 8-A</w:t>
              </w:r>
            </w:hyperlink>
            <w:r>
              <w:rPr/>
              <w:t xml:space="preserve"> filed with the SEC on April 12, 2023, and any amendment or report filed for the purpose of updating such description;</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Current Report on </w:t>
            </w:r>
            <w:hyperlink r:id="rId18">
              <w:r>
                <w:rPr>
                  <w:rStyle w:val="InternetLink"/>
                </w:rPr>
                <w:t>Form 6-K</w:t>
              </w:r>
            </w:hyperlink>
            <w:r>
              <w:rPr/>
              <w:t xml:space="preserve"> furnished to the SEC on May 14, 2026 that attaches as an exhibit our Unaudited Interim Condensed Consolidated Financial Statements, for the three months ended March 31, 2026 and 2025 (other than to the extent the filing includes forward-looking guidance or projections); and</w:t>
            </w:r>
          </w:p>
        </w:tc>
      </w:tr>
    </w:tbl>
    <w:p>
      <w:pPr>
        <w:pStyle w:val="TextBody"/>
        <w:bidi w:val="0"/>
        <w:spacing w:before="0" w:after="0"/>
        <w:ind w:left="113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Current Report on </w:t>
            </w:r>
            <w:hyperlink r:id="rId19">
              <w:r>
                <w:rPr>
                  <w:rStyle w:val="InternetLink"/>
                </w:rPr>
                <w:t>Form 6-K</w:t>
              </w:r>
            </w:hyperlink>
            <w:r>
              <w:rPr/>
              <w:t xml:space="preserve"> furnished to the SEC on August 10, 2026 that attaches as an exhibit our Unaudited Interim Condensed Consolidated Financial Statements, for the six months ended June 30, 2026 and 2025 (other than to the extent the filing includes forward-looking guidance or projections).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forms a part and prior to the effectiveness of such registration statement and (ii) after the date of this prospectus and prior to the completion of an offering of securities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br/>
        <w:t>08 Kallang Avenue</w:t>
        <w:br/>
        <w:t>Aperia tower 1, #09-03/04</w:t>
        <w:br/>
        <w:t>Singapore 339509</w:t>
        <w:br/>
        <w:t>Tel: +65 62828220</w:t>
        <w:br/>
        <w:t>Attention: Investor Relations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any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00400"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3200400" cy="6191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US$1,000,000,000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8"/>
        <w:gridCol w:w="60"/>
        <w:gridCol w:w="2351"/>
        <w:gridCol w:w="140"/>
        <w:gridCol w:w="1472"/>
        <w:gridCol w:w="140"/>
        <w:gridCol w:w="1717"/>
        <w:gridCol w:w="140"/>
        <w:gridCol w:w="2397"/>
      </w:tblGrid>
      <w:tr>
        <w:trPr/>
        <w:tc>
          <w:tcPr>
            <w:tcW w:w="4199" w:type="dxa"/>
            <w:gridSpan w:val="3"/>
            <w:tcBorders/>
            <w:vAlign w:val="center"/>
          </w:tcPr>
          <w:p>
            <w:pPr>
              <w:pStyle w:val="TableContents"/>
              <w:bidi w:val="0"/>
              <w:spacing w:before="0" w:after="283"/>
              <w:jc w:val="center"/>
              <w:rPr>
                <w:b/>
                <w:sz w:val="24"/>
              </w:rPr>
            </w:pPr>
            <w:r>
              <w:rPr>
                <w:b/>
                <w:sz w:val="24"/>
              </w:rPr>
              <w:t>Barclays</w:t>
            </w:r>
          </w:p>
        </w:tc>
        <w:tc>
          <w:tcPr>
            <w:tcW w:w="140" w:type="dxa"/>
            <w:tcBorders/>
            <w:vAlign w:val="center"/>
          </w:tcPr>
          <w:p>
            <w:pPr>
              <w:pStyle w:val="TableContents"/>
              <w:bidi w:val="0"/>
              <w:spacing w:before="0" w:after="283"/>
              <w:jc w:val="center"/>
              <w:rPr/>
            </w:pPr>
            <w:r>
              <w:rPr/>
              <w:t> </w:t>
            </w:r>
          </w:p>
        </w:tc>
        <w:tc>
          <w:tcPr>
            <w:tcW w:w="1472"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4254" w:type="dxa"/>
            <w:gridSpan w:val="3"/>
            <w:tcBorders/>
            <w:vAlign w:val="center"/>
          </w:tcPr>
          <w:p>
            <w:pPr>
              <w:pStyle w:val="TableContents"/>
              <w:bidi w:val="0"/>
              <w:spacing w:before="0" w:after="283"/>
              <w:jc w:val="center"/>
              <w:rPr>
                <w:b/>
                <w:sz w:val="24"/>
              </w:rPr>
            </w:pPr>
            <w:r>
              <w:rPr>
                <w:b/>
                <w:sz w:val="24"/>
              </w:rPr>
              <w:t>Cantor</w:t>
            </w:r>
          </w:p>
        </w:tc>
      </w:tr>
      <w:tr>
        <w:trPr/>
        <w:tc>
          <w:tcPr>
            <w:tcW w:w="1788" w:type="dxa"/>
            <w:tcBorders/>
            <w:vAlign w:val="center"/>
          </w:tcPr>
          <w:p>
            <w:pPr>
              <w:pStyle w:val="TableContents"/>
              <w:bidi w:val="0"/>
              <w:spacing w:before="0" w:after="283"/>
              <w:jc w:val="center"/>
              <w:rPr>
                <w:b/>
                <w:sz w:val="20"/>
              </w:rPr>
            </w:pPr>
            <w:r>
              <w:rPr>
                <w:b/>
                <w:sz w:val="20"/>
              </w:rPr>
              <w:t>A.G.P.</w:t>
            </w:r>
          </w:p>
        </w:tc>
        <w:tc>
          <w:tcPr>
            <w:tcW w:w="60"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center"/>
              <w:rPr>
                <w:b/>
                <w:sz w:val="20"/>
              </w:rPr>
            </w:pPr>
            <w:r>
              <w:rPr>
                <w:b/>
                <w:sz w:val="20"/>
              </w:rPr>
              <w:t>Benchmark, StoneX Company</w:t>
            </w:r>
          </w:p>
        </w:tc>
        <w:tc>
          <w:tcPr>
            <w:tcW w:w="140" w:type="dxa"/>
            <w:tcBorders/>
            <w:vAlign w:val="center"/>
          </w:tcPr>
          <w:p>
            <w:pPr>
              <w:pStyle w:val="TableContents"/>
              <w:bidi w:val="0"/>
              <w:spacing w:before="0" w:after="283"/>
              <w:jc w:val="center"/>
              <w:rPr/>
            </w:pPr>
            <w:r>
              <w:rPr/>
              <w:t> </w:t>
            </w:r>
          </w:p>
        </w:tc>
        <w:tc>
          <w:tcPr>
            <w:tcW w:w="1472" w:type="dxa"/>
            <w:tcBorders/>
            <w:vAlign w:val="center"/>
          </w:tcPr>
          <w:p>
            <w:pPr>
              <w:pStyle w:val="TableContents"/>
              <w:bidi w:val="0"/>
              <w:spacing w:before="0" w:after="283"/>
              <w:jc w:val="center"/>
              <w:rPr>
                <w:b/>
                <w:sz w:val="20"/>
              </w:rPr>
            </w:pPr>
            <w:r>
              <w:rPr>
                <w:b/>
                <w:sz w:val="20"/>
              </w:rPr>
              <w:t>B. Riley Securities</w:t>
            </w:r>
          </w:p>
        </w:tc>
        <w:tc>
          <w:tcPr>
            <w:tcW w:w="140" w:type="dxa"/>
            <w:tcBorders/>
            <w:vAlign w:val="center"/>
          </w:tcPr>
          <w:p>
            <w:pPr>
              <w:pStyle w:val="TableContents"/>
              <w:bidi w:val="0"/>
              <w:spacing w:before="0" w:after="283"/>
              <w:jc w:val="center"/>
              <w:rPr/>
            </w:pPr>
            <w:r>
              <w:rPr/>
              <w:t> </w:t>
            </w:r>
          </w:p>
        </w:tc>
        <w:tc>
          <w:tcPr>
            <w:tcW w:w="1717" w:type="dxa"/>
            <w:tcBorders/>
            <w:vAlign w:val="center"/>
          </w:tcPr>
          <w:p>
            <w:pPr>
              <w:pStyle w:val="TableContents"/>
              <w:bidi w:val="0"/>
              <w:spacing w:before="0" w:after="283"/>
              <w:jc w:val="center"/>
              <w:rPr>
                <w:b/>
                <w:sz w:val="20"/>
              </w:rPr>
            </w:pPr>
            <w:r>
              <w:rPr>
                <w:b/>
                <w:sz w:val="20"/>
              </w:rPr>
              <w:t>BTIG</w:t>
            </w:r>
          </w:p>
        </w:tc>
        <w:tc>
          <w:tcPr>
            <w:tcW w:w="140" w:type="dxa"/>
            <w:tcBorders/>
            <w:vAlign w:val="center"/>
          </w:tcPr>
          <w:p>
            <w:pPr>
              <w:pStyle w:val="TableContents"/>
              <w:bidi w:val="0"/>
              <w:spacing w:before="0" w:after="283"/>
              <w:jc w:val="center"/>
              <w:rPr/>
            </w:pPr>
            <w:r>
              <w:rPr/>
              <w:t> </w:t>
            </w:r>
          </w:p>
        </w:tc>
        <w:tc>
          <w:tcPr>
            <w:tcW w:w="2397" w:type="dxa"/>
            <w:tcBorders/>
            <w:vAlign w:val="center"/>
          </w:tcPr>
          <w:p>
            <w:pPr>
              <w:pStyle w:val="TableContents"/>
              <w:bidi w:val="0"/>
              <w:jc w:val="center"/>
              <w:rPr>
                <w:b/>
              </w:rPr>
            </w:pPr>
            <w:r>
              <w:rPr>
                <w:b/>
              </w:rPr>
              <w:t>Keefe, Bruyette &amp; Woods</w:t>
            </w:r>
          </w:p>
          <w:p>
            <w:pPr>
              <w:pStyle w:val="TableContents"/>
              <w:bidi w:val="0"/>
              <w:spacing w:before="0" w:after="283"/>
              <w:jc w:val="right"/>
              <w:rPr/>
            </w:pPr>
            <w:r>
              <w:rPr/>
              <w:t> </w:t>
            </w:r>
            <w:r>
              <w:rPr>
                <w:i/>
              </w:rPr>
              <w:t xml:space="preserve">A Stifel Company </w:t>
            </w:r>
          </w:p>
        </w:tc>
      </w:tr>
      <w:tr>
        <w:trPr/>
        <w:tc>
          <w:tcPr>
            <w:tcW w:w="17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1472"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1717"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2397" w:type="dxa"/>
            <w:tcBorders/>
            <w:vAlign w:val="center"/>
          </w:tcPr>
          <w:p>
            <w:pPr>
              <w:pStyle w:val="TableContents"/>
              <w:bidi w:val="0"/>
              <w:spacing w:before="0" w:after="283"/>
              <w:jc w:val="center"/>
              <w:rPr/>
            </w:pPr>
            <w:r>
              <w:rPr/>
              <w:t> </w:t>
            </w:r>
          </w:p>
        </w:tc>
      </w:tr>
      <w:tr>
        <w:trPr/>
        <w:tc>
          <w:tcPr>
            <w:tcW w:w="1788" w:type="dxa"/>
            <w:tcBorders/>
            <w:vAlign w:val="center"/>
          </w:tcPr>
          <w:p>
            <w:pPr>
              <w:pStyle w:val="TableContents"/>
              <w:bidi w:val="0"/>
              <w:spacing w:before="0" w:after="283"/>
              <w:jc w:val="center"/>
              <w:rPr>
                <w:b/>
                <w:sz w:val="20"/>
              </w:rPr>
            </w:pPr>
            <w:r>
              <w:rPr>
                <w:b/>
                <w:sz w:val="20"/>
              </w:rPr>
              <w:t>Needham &amp; Company</w:t>
            </w:r>
          </w:p>
        </w:tc>
        <w:tc>
          <w:tcPr>
            <w:tcW w:w="60"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center"/>
              <w:rPr>
                <w:b/>
                <w:sz w:val="20"/>
              </w:rPr>
            </w:pPr>
            <w:r>
              <w:rPr>
                <w:b/>
                <w:sz w:val="20"/>
              </w:rPr>
              <w:t>Northland Capital Markets</w:t>
            </w:r>
          </w:p>
        </w:tc>
        <w:tc>
          <w:tcPr>
            <w:tcW w:w="140" w:type="dxa"/>
            <w:tcBorders/>
            <w:vAlign w:val="center"/>
          </w:tcPr>
          <w:p>
            <w:pPr>
              <w:pStyle w:val="TableContents"/>
              <w:bidi w:val="0"/>
              <w:spacing w:before="0" w:after="283"/>
              <w:jc w:val="center"/>
              <w:rPr/>
            </w:pPr>
            <w:r>
              <w:rPr/>
              <w:t> </w:t>
            </w:r>
          </w:p>
        </w:tc>
        <w:tc>
          <w:tcPr>
            <w:tcW w:w="1472" w:type="dxa"/>
            <w:tcBorders/>
            <w:vAlign w:val="center"/>
          </w:tcPr>
          <w:p>
            <w:pPr>
              <w:pStyle w:val="TableContents"/>
              <w:bidi w:val="0"/>
              <w:spacing w:before="0" w:after="283"/>
              <w:jc w:val="center"/>
              <w:rPr>
                <w:b/>
                <w:sz w:val="20"/>
              </w:rPr>
            </w:pPr>
            <w:r>
              <w:rPr>
                <w:b/>
                <w:sz w:val="20"/>
              </w:rPr>
              <w:t>Rosenblatt</w:t>
            </w:r>
          </w:p>
        </w:tc>
        <w:tc>
          <w:tcPr>
            <w:tcW w:w="140" w:type="dxa"/>
            <w:tcBorders/>
            <w:vAlign w:val="center"/>
          </w:tcPr>
          <w:p>
            <w:pPr>
              <w:pStyle w:val="TableContents"/>
              <w:bidi w:val="0"/>
              <w:spacing w:before="0" w:after="283"/>
              <w:jc w:val="center"/>
              <w:rPr/>
            </w:pPr>
            <w:r>
              <w:rPr/>
              <w:t> </w:t>
            </w:r>
          </w:p>
        </w:tc>
        <w:tc>
          <w:tcPr>
            <w:tcW w:w="1717" w:type="dxa"/>
            <w:tcBorders/>
            <w:vAlign w:val="center"/>
          </w:tcPr>
          <w:p>
            <w:pPr>
              <w:pStyle w:val="TableContents"/>
              <w:bidi w:val="0"/>
              <w:spacing w:before="0" w:after="283"/>
              <w:jc w:val="center"/>
              <w:rPr>
                <w:b/>
                <w:sz w:val="20"/>
              </w:rPr>
            </w:pPr>
            <w:r>
              <w:rPr>
                <w:b/>
                <w:sz w:val="20"/>
              </w:rPr>
              <w:t>Roth Capital Partners</w:t>
            </w:r>
          </w:p>
        </w:tc>
        <w:tc>
          <w:tcPr>
            <w:tcW w:w="140" w:type="dxa"/>
            <w:tcBorders/>
            <w:vAlign w:val="center"/>
          </w:tcPr>
          <w:p>
            <w:pPr>
              <w:pStyle w:val="TableContents"/>
              <w:bidi w:val="0"/>
              <w:spacing w:before="0" w:after="283"/>
              <w:jc w:val="center"/>
              <w:rPr/>
            </w:pPr>
            <w:r>
              <w:rPr/>
              <w:t> </w:t>
            </w:r>
          </w:p>
        </w:tc>
        <w:tc>
          <w:tcPr>
            <w:tcW w:w="2397" w:type="dxa"/>
            <w:tcBorders/>
            <w:vAlign w:val="center"/>
          </w:tcPr>
          <w:p>
            <w:pPr>
              <w:pStyle w:val="TableContents"/>
              <w:bidi w:val="0"/>
              <w:spacing w:before="0" w:after="283"/>
              <w:jc w:val="center"/>
              <w:rPr>
                <w:b/>
                <w:sz w:val="20"/>
              </w:rPr>
            </w:pPr>
            <w:r>
              <w:rPr>
                <w:b/>
                <w:sz w:val="20"/>
              </w:rPr>
              <w:t>StockBlock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40"/>
        <w:jc w:val="right"/>
        <w:rPr>
          <w:rFonts w:ascii="Times New Roman;Times;Serif" w:hAnsi="Times New Roman;Times;Serif"/>
          <w:b/>
          <w:i w:val="false"/>
          <w:caps w:val="false"/>
          <w:smallCaps w:val="false"/>
          <w:sz w:val="24"/>
        </w:rPr>
      </w:pPr>
      <w:bookmarkStart w:id="35" w:name="ea030073702ex-fee.htm"/>
      <w:bookmarkStart w:id="36" w:name="ksea030073702exfee"/>
      <w:bookmarkEnd w:id="35"/>
      <w:bookmarkEnd w:id="36"/>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BITDEER TECHNOLOGIES GROUP</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740" w:type="dxa"/>
        <w:jc w:val="left"/>
        <w:tblInd w:w="0" w:type="dxa"/>
        <w:tblLayout w:type="fixed"/>
        <w:tblCellMar>
          <w:top w:w="0" w:type="dxa"/>
          <w:left w:w="0" w:type="dxa"/>
          <w:bottom w:w="0" w:type="dxa"/>
          <w:right w:w="0" w:type="dxa"/>
        </w:tblCellMar>
      </w:tblPr>
      <w:tblGrid>
        <w:gridCol w:w="530"/>
        <w:gridCol w:w="60"/>
        <w:gridCol w:w="800"/>
        <w:gridCol w:w="60"/>
        <w:gridCol w:w="1040"/>
        <w:gridCol w:w="60"/>
        <w:gridCol w:w="575"/>
        <w:gridCol w:w="60"/>
        <w:gridCol w:w="1100"/>
        <w:gridCol w:w="60"/>
        <w:gridCol w:w="1025"/>
        <w:gridCol w:w="60"/>
        <w:gridCol w:w="696"/>
        <w:gridCol w:w="299"/>
        <w:gridCol w:w="60"/>
        <w:gridCol w:w="140"/>
        <w:gridCol w:w="1700"/>
        <w:gridCol w:w="60"/>
        <w:gridCol w:w="1040"/>
        <w:gridCol w:w="60"/>
        <w:gridCol w:w="140"/>
        <w:gridCol w:w="1115"/>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8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1074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Ordinary shares, par value US$0.0000001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right"/>
              <w:rPr/>
            </w:pPr>
            <w:r>
              <w:rPr/>
              <w:t>1,000,000,000.00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138,100.00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2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right"/>
              <w:rPr/>
            </w:pPr>
            <w:r>
              <w:rPr/>
              <w:t>1,000,000,000.00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138,100.00</w:t>
            </w:r>
          </w:p>
        </w:tc>
      </w:tr>
      <w:tr>
        <w:trPr/>
        <w:tc>
          <w:tcPr>
            <w:tcW w:w="642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0.00</w:t>
            </w:r>
          </w:p>
        </w:tc>
      </w:tr>
      <w:tr>
        <w:trPr/>
        <w:tc>
          <w:tcPr>
            <w:tcW w:w="642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right"/>
              <w:rPr/>
            </w:pPr>
            <w:r>
              <w:rPr/>
              <w:t>8,495.25</w:t>
            </w:r>
          </w:p>
        </w:tc>
      </w:tr>
      <w:tr>
        <w:trPr/>
        <w:tc>
          <w:tcPr>
            <w:tcW w:w="642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w:t>
            </w:r>
          </w:p>
        </w:tc>
        <w:tc>
          <w:tcPr>
            <w:tcW w:w="1115" w:type="dxa"/>
            <w:tcBorders>
              <w:bottom w:val="double" w:sz="8" w:space="0" w:color="000000"/>
            </w:tcBorders>
            <w:tcMar>
              <w:bottom w:w="28" w:type="dxa"/>
            </w:tcMar>
            <w:vAlign w:val="center"/>
          </w:tcPr>
          <w:p>
            <w:pPr>
              <w:pStyle w:val="TableContents"/>
              <w:bidi w:val="0"/>
              <w:spacing w:before="0" w:after="283"/>
              <w:jc w:val="right"/>
              <w:rPr/>
            </w:pPr>
            <w:r>
              <w:rPr/>
              <w:t>129,604.75</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80"/>
        <w:gridCol w:w="23"/>
        <w:gridCol w:w="9902"/>
      </w:tblGrid>
      <w:tr>
        <w:trPr/>
        <w:tc>
          <w:tcPr>
            <w:tcW w:w="280"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02" w:type="dxa"/>
            <w:tcBorders/>
            <w:vAlign w:val="center"/>
          </w:tcPr>
          <w:p>
            <w:pPr>
              <w:pStyle w:val="TableContents"/>
              <w:bidi w:val="0"/>
              <w:spacing w:before="0" w:after="283"/>
              <w:jc w:val="both"/>
              <w:rPr/>
            </w:pPr>
            <w:r>
              <w:rPr/>
              <w:t>The registration fee is calculated in accordance with Rule 457(o) under the Securities Act, based on the proposed maximum aggregate offering price.</w:t>
            </w:r>
          </w:p>
        </w:tc>
      </w:tr>
    </w:tbl>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2: Fee Offset Claims and Sources</w:t>
      </w:r>
    </w:p>
    <w:tbl>
      <w:tblPr>
        <w:tblW w:w="13430" w:type="dxa"/>
        <w:jc w:val="left"/>
        <w:tblInd w:w="0" w:type="dxa"/>
        <w:tblLayout w:type="fixed"/>
        <w:tblCellMar>
          <w:top w:w="0" w:type="dxa"/>
          <w:left w:w="0" w:type="dxa"/>
          <w:bottom w:w="0" w:type="dxa"/>
          <w:right w:w="0" w:type="dxa"/>
        </w:tblCellMar>
      </w:tblPr>
      <w:tblGrid>
        <w:gridCol w:w="785"/>
        <w:gridCol w:w="60"/>
        <w:gridCol w:w="1895"/>
        <w:gridCol w:w="60"/>
        <w:gridCol w:w="575"/>
        <w:gridCol w:w="60"/>
        <w:gridCol w:w="575"/>
        <w:gridCol w:w="60"/>
        <w:gridCol w:w="800"/>
        <w:gridCol w:w="60"/>
        <w:gridCol w:w="575"/>
        <w:gridCol w:w="60"/>
        <w:gridCol w:w="575"/>
        <w:gridCol w:w="60"/>
        <w:gridCol w:w="140"/>
        <w:gridCol w:w="860"/>
        <w:gridCol w:w="60"/>
        <w:gridCol w:w="1160"/>
        <w:gridCol w:w="60"/>
        <w:gridCol w:w="1160"/>
        <w:gridCol w:w="60"/>
        <w:gridCol w:w="527"/>
        <w:gridCol w:w="528"/>
        <w:gridCol w:w="60"/>
        <w:gridCol w:w="140"/>
        <w:gridCol w:w="1400"/>
        <w:gridCol w:w="60"/>
        <w:gridCol w:w="140"/>
        <w:gridCol w:w="875"/>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785"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left"/>
              <w:rPr/>
            </w:pPr>
            <w:r>
              <w:rPr/>
              <w:t xml:space="preserve">Registrant or Filer Name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 xml:space="preserve">Form or Filing Type </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 xml:space="preserve">File Number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Initial Filing Date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Filing Date</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left"/>
              <w:rPr/>
            </w:pPr>
            <w:r>
              <w:rPr/>
              <w:t>Fee Offset Claimed</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 Associated with Fee Offset Claimed</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Title Associated with Fee Offset Claimed</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left"/>
              <w:rPr/>
            </w:pPr>
            <w:r>
              <w:rPr/>
              <w:t>Unsold Securities Associated with Fee Offset Claimed</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Unsold Aggregate Offering Amount Associated with Fee Offset Claimed</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left"/>
              <w:rPr/>
            </w:pPr>
            <w:r>
              <w:rPr/>
              <w:t>Fee Paid with Fee Offset Source</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3430" w:type="dxa"/>
            <w:gridSpan w:val="29"/>
            <w:tcBorders/>
            <w:vAlign w:val="center"/>
          </w:tcPr>
          <w:p>
            <w:pPr>
              <w:pStyle w:val="TableContents"/>
              <w:bidi w:val="0"/>
              <w:spacing w:before="0" w:after="283"/>
              <w:jc w:val="center"/>
              <w:rPr>
                <w:i/>
              </w:rPr>
            </w:pPr>
            <w:r>
              <w:rPr>
                <w:i/>
              </w:rPr>
              <w:t>Rule 457(p)</w:t>
            </w:r>
          </w:p>
        </w:tc>
      </w:tr>
      <w:tr>
        <w:trPr/>
        <w:tc>
          <w:tcPr>
            <w:tcW w:w="785" w:type="dxa"/>
            <w:tcBorders/>
            <w:vAlign w:val="center"/>
          </w:tcPr>
          <w:p>
            <w:pPr>
              <w:pStyle w:val="TableContents"/>
              <w:bidi w:val="0"/>
              <w:spacing w:before="0" w:after="283"/>
              <w:jc w:val="left"/>
              <w:rPr/>
            </w:pPr>
            <w:r>
              <w:rPr/>
              <w:t>Fee Offset Claims</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BITDEER TECHNOLOGIES GROUP</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(1)</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F-3</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333-283732</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12/11/2024</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8,495.25</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55,488,270.00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r>
      <w:tr>
        <w:trPr/>
        <w:tc>
          <w:tcPr>
            <w:tcW w:w="785" w:type="dxa"/>
            <w:tcBorders/>
            <w:vAlign w:val="center"/>
          </w:tcPr>
          <w:p>
            <w:pPr>
              <w:pStyle w:val="TableContents"/>
              <w:bidi w:val="0"/>
              <w:spacing w:before="0" w:after="283"/>
              <w:jc w:val="left"/>
              <w:rPr/>
            </w:pPr>
            <w:r>
              <w:rPr/>
              <w:t>Fee Offset Sources</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BITDEER TECHNOLOGIES GROUP</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(2)</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F-3</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333-283732</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12/11/2024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8,495.25</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Rule 457(p) Statement of Withdrawal, Termination, or Completion:</w:t>
      </w:r>
    </w:p>
    <w:tbl>
      <w:tblPr>
        <w:tblW w:w="10205" w:type="dxa"/>
        <w:jc w:val="left"/>
        <w:tblInd w:w="0" w:type="dxa"/>
        <w:tblLayout w:type="fixed"/>
        <w:tblCellMar>
          <w:top w:w="0" w:type="dxa"/>
          <w:left w:w="0" w:type="dxa"/>
          <w:bottom w:w="0" w:type="dxa"/>
          <w:right w:w="0" w:type="dxa"/>
        </w:tblCellMar>
      </w:tblPr>
      <w:tblGrid>
        <w:gridCol w:w="234"/>
        <w:gridCol w:w="23"/>
        <w:gridCol w:w="9948"/>
      </w:tblGrid>
      <w:tr>
        <w:trPr/>
        <w:tc>
          <w:tcPr>
            <w:tcW w:w="23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8" w:type="dxa"/>
            <w:tcBorders/>
            <w:vAlign w:val="center"/>
          </w:tcPr>
          <w:p>
            <w:pPr>
              <w:pStyle w:val="TableContents"/>
              <w:bidi w:val="0"/>
              <w:spacing w:before="0" w:after="283"/>
              <w:jc w:val="both"/>
              <w:rPr/>
            </w:pPr>
            <w:r>
              <w:rPr/>
              <w:t>The registrant previously filed a registration statement on Form F-3 (File No. 333-283732) with the Securities and Exchange Commission on December 11, 2024 (the "Prior Registration Statement"), which registered the issuance and sale of up to $1,000,000,000 of securities on an unallocated (universal) shelf basis (the “Shelf Securities”). A fee of $153,100.00 was previously paid in connection with the registration of the Shelf Securities. As of the date hereof, $55,488,270 in aggregate principal amount of Shelf Securities remain unsold under the Prior Registration Statement. Pursuant to Rule 457(p), $8,495.25 of the registration fees paid in connection with unsold Shelf Securities registered under the Prior Registration Statements (the offering of which unsold securities is deemed to have been terminated) can be applied to registration fees under subsequent registration statements. Pursuant to Rule 457(p), the Shelf Securities were carried forward to the registrant's automatic registration statement on Form F-3ASR (File No. 333-[•]) filed with the SEC on August 10, 2026, to which this prospectus supplement relates. $8,495.25 of such registration fee previously paid with respect to the Shelf Securities will be applied to the ordinary shares registered pursuant to this prospectus supplement. No fee offsets in connection with the Prior Registration Statement remains available for future fee offsets.</w:t>
              <w:br/>
              <w:br/>
              <w:t>Pursuant to Rule 415(a)(6) the offering of securities on the earlier registration statement will be deemed terminated as of the date of effectiveness of this new registration statement.</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Rule 457(p) Statement of Withdrawal, Termination, or Completion:</w:t>
      </w:r>
    </w:p>
    <w:tbl>
      <w:tblPr>
        <w:tblW w:w="10205" w:type="dxa"/>
        <w:jc w:val="left"/>
        <w:tblInd w:w="0" w:type="dxa"/>
        <w:tblLayout w:type="fixed"/>
        <w:tblCellMar>
          <w:top w:w="0" w:type="dxa"/>
          <w:left w:w="0" w:type="dxa"/>
          <w:bottom w:w="0" w:type="dxa"/>
          <w:right w:w="0" w:type="dxa"/>
        </w:tblCellMar>
      </w:tblPr>
      <w:tblGrid>
        <w:gridCol w:w="271"/>
        <w:gridCol w:w="23"/>
        <w:gridCol w:w="9911"/>
      </w:tblGrid>
      <w:tr>
        <w:trPr/>
        <w:tc>
          <w:tcPr>
            <w:tcW w:w="271"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11" w:type="dxa"/>
            <w:tcBorders/>
            <w:vAlign w:val="center"/>
          </w:tcPr>
          <w:p>
            <w:pPr>
              <w:pStyle w:val="TableContents"/>
              <w:bidi w:val="0"/>
              <w:spacing w:before="0" w:after="283"/>
              <w:jc w:val="both"/>
              <w:rPr/>
            </w:pPr>
            <w:r>
              <w:rPr/>
              <w:t>Pursuant to Rule 415(a)(6) the offering of securities on the earlier registration statement will be deemed terminated as of the date of effectiveness of this new registration statement.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99123/000121390026049770/ea0282628-20f_bitdeer.htm" TargetMode="External"/><Relationship Id="rId4" Type="http://schemas.openxmlformats.org/officeDocument/2006/relationships/hyperlink" Target="https://www.sec.gov/Archives/edgar/data/1899123/000121390026061170/ea0291988-6k_bitdeer.htm" TargetMode="External"/><Relationship Id="rId5" Type="http://schemas.openxmlformats.org/officeDocument/2006/relationships/hyperlink" Target="https://www.sec.gov/Archives/edgar/data/1899123/000121390026066075/ea0293912-6k_bitdeer.htm" TargetMode="External"/><Relationship Id="rId6" Type="http://schemas.openxmlformats.org/officeDocument/2006/relationships/hyperlink" Target="https://www.sec.gov/Archives/edgar/data/1899123/000121390026075191/ea0297089-6k_bitdeer.htm" TargetMode="External"/><Relationship Id="rId7" Type="http://schemas.openxmlformats.org/officeDocument/2006/relationships/hyperlink" Target="https://www.sec.gov/Archives/edgar/data/1899123/000121390026084288/ea0299664-6k_bitdeer.htm" TargetMode="External"/><Relationship Id="rId8" Type="http://schemas.openxmlformats.org/officeDocument/2006/relationships/hyperlink" Target="https://www.sec.gov/Archives/edgar/data/1899123/000110465923044314/tm2312555d1_8a12b.htm" TargetMode="External"/><Relationship Id="rId9" Type="http://schemas.openxmlformats.org/officeDocument/2006/relationships/hyperlink" Target="https://www.sec.gov/Archives/edgar/data/1899123/000121390026056587/ea0290297-6k_bitdeer.htm" TargetMode="External"/><Relationship Id="rId10" Type="http://schemas.openxmlformats.org/officeDocument/2006/relationships/hyperlink" Target="https://www.sec.gov/Archives/edgar/data/1899123/000121390026086938/ea0301313-6k_bitdeer.htm" TargetMode="External"/><Relationship Id="rId11" Type="http://schemas.openxmlformats.org/officeDocument/2006/relationships/image" Target="media/image1.jpeg"/><Relationship Id="rId12" Type="http://schemas.openxmlformats.org/officeDocument/2006/relationships/hyperlink" Target="https://www.sec.gov/ix?doc=/Archives/edgar/data/1899123/000121390026049770/ea0282628-20f_bitdeer.htm" TargetMode="External"/><Relationship Id="rId13" Type="http://schemas.openxmlformats.org/officeDocument/2006/relationships/hyperlink" Target="https://www.sec.gov/Archives/edgar/data/1899123/000121390026061170/ea0291988-6k_bitdeer.htm" TargetMode="External"/><Relationship Id="rId14" Type="http://schemas.openxmlformats.org/officeDocument/2006/relationships/hyperlink" Target="https://www.sec.gov/Archives/edgar/data/1899123/000121390026066075/ea0293912-6k_bitdeer.htm" TargetMode="External"/><Relationship Id="rId15" Type="http://schemas.openxmlformats.org/officeDocument/2006/relationships/hyperlink" Target="https://www.sec.gov/Archives/edgar/data/1899123/000121390026075191/ea0297089-6k_bitdeer.htm" TargetMode="External"/><Relationship Id="rId16" Type="http://schemas.openxmlformats.org/officeDocument/2006/relationships/hyperlink" Target="https://www.sec.gov/Archives/edgar/data/1899123/000121390026084288/ea0299664-6k_bitdeer.htm" TargetMode="External"/><Relationship Id="rId17" Type="http://schemas.openxmlformats.org/officeDocument/2006/relationships/hyperlink" Target="https://www.sec.gov/Archives/edgar/data/1899123/000110465923044314/tm2312555d1_8a12b.htm" TargetMode="External"/><Relationship Id="rId18" Type="http://schemas.openxmlformats.org/officeDocument/2006/relationships/hyperlink" Target="https://www.sec.gov/Archives/edgar/data/1899123/000121390026056587/ea0290297-6k_bitdeer.htm" TargetMode="External"/><Relationship Id="rId19" Type="http://schemas.openxmlformats.org/officeDocument/2006/relationships/hyperlink" Target="https://www.sec.gov/Archives/edgar/data/1899123/000121390026086938/ea0301313-6k_bitdeer.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40412</Words>
  <Characters>211379</Characters>
  <CharactersWithSpaces>251799</CharactersWithSpaces>
  <Paragraphs>2822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