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298527-6k_bitdeer.htm"/>
      <w:bookmarkStart w:id="1" w:name="ksea02985276k_bitdeer"/>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July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001-41687</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BITDEER TECHNOLOGIES GROUP</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08 Kallang Avenue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Aperia tower 1, #09-03/04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Singapore 339509</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 Form 20-F ☒     Form 40-F ☐</w:t>
      </w:r>
    </w:p>
    <w:p>
      <w:pPr>
        <w:pStyle w:val="TextBody"/>
        <w:bidi w:val="0"/>
        <w:spacing w:before="0" w:after="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EXHIBITS</w:t>
      </w:r>
    </w:p>
    <w:p>
      <w:pPr>
        <w:pStyle w:val="TextBody"/>
        <w:bidi w:val="0"/>
        <w:spacing w:before="0" w:after="0"/>
        <w:jc w:val="center"/>
        <w:rPr>
          <w:caps w:val="false"/>
          <w:smallCaps w:val="false"/>
        </w:rPr>
      </w:pPr>
      <w:r>
        <w:rPr>
          <w:caps w:val="false"/>
          <w:smallCaps w:val="false"/>
        </w:rPr>
        <w:t> </w:t>
      </w:r>
    </w:p>
    <w:tbl>
      <w:tblPr>
        <w:tblW w:w="7660" w:type="dxa"/>
        <w:jc w:val="left"/>
        <w:tblInd w:w="0" w:type="dxa"/>
        <w:tblLayout w:type="fixed"/>
        <w:tblCellMar>
          <w:top w:w="0" w:type="dxa"/>
          <w:left w:w="0" w:type="dxa"/>
          <w:bottom w:w="28" w:type="dxa"/>
          <w:right w:w="0" w:type="dxa"/>
        </w:tblCellMar>
      </w:tblPr>
      <w:tblGrid>
        <w:gridCol w:w="995"/>
        <w:gridCol w:w="60"/>
        <w:gridCol w:w="6605"/>
      </w:tblGrid>
      <w:tr>
        <w:trPr/>
        <w:tc>
          <w:tcPr>
            <w:tcW w:w="99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660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05" w:type="dxa"/>
            <w:tcBorders/>
            <w:shd w:fill="CCEEFF" w:val="clear"/>
            <w:tcMar>
              <w:bottom w:w="0" w:type="dxa"/>
            </w:tcMar>
            <w:vAlign w:val="center"/>
          </w:tcPr>
          <w:p>
            <w:pPr>
              <w:pStyle w:val="TableContents"/>
              <w:bidi w:val="0"/>
              <w:spacing w:before="0" w:after="283"/>
              <w:jc w:val="left"/>
              <w:rPr/>
            </w:pPr>
            <w:hyperlink w:anchor="ea029852701ex99-1.htm">
              <w:r>
                <w:rPr>
                  <w:rStyle w:val="InternetLink"/>
                  <w:rFonts w:ascii="Times New Roman;Times;Serif" w:hAnsi="Times New Roman;Times;Serif"/>
                  <w:sz w:val="20"/>
                </w:rPr>
                <w:t>Press Release – Bitdeer Announces June 2026 Production and Operations Update</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rPr>
      </w:pPr>
      <w:r>
        <w:rPr>
          <w:caps/>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Signature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caps w:val="false"/>
          <w:smallCaps w:val="false"/>
        </w:rPr>
      </w:pPr>
      <w:r>
        <w:rPr>
          <w:caps w:val="false"/>
          <w:smallCaps w:val="false"/>
        </w:rPr>
        <w:t> </w:t>
      </w:r>
    </w:p>
    <w:tbl>
      <w:tblPr>
        <w:tblW w:w="2575" w:type="dxa"/>
        <w:jc w:val="left"/>
        <w:tblInd w:w="0" w:type="dxa"/>
        <w:tblLayout w:type="fixed"/>
        <w:tblCellMar>
          <w:top w:w="0" w:type="dxa"/>
          <w:left w:w="0" w:type="dxa"/>
          <w:bottom w:w="0" w:type="dxa"/>
          <w:right w:w="0" w:type="dxa"/>
        </w:tblCellMar>
      </w:tblPr>
      <w:tblGrid>
        <w:gridCol w:w="75"/>
        <w:gridCol w:w="545"/>
        <w:gridCol w:w="1955"/>
      </w:tblGrid>
      <w:tr>
        <w:trPr/>
        <w:tc>
          <w:tcPr>
            <w:tcW w:w="75" w:type="dxa"/>
            <w:tcBorders/>
            <w:vAlign w:val="center"/>
          </w:tcPr>
          <w:p>
            <w:pPr>
              <w:pStyle w:val="TableContents"/>
              <w:bidi w:val="0"/>
              <w:spacing w:before="0" w:after="283"/>
              <w:jc w:val="left"/>
              <w:rPr/>
            </w:pPr>
            <w:r>
              <w:rPr/>
              <w:t> </w:t>
            </w:r>
          </w:p>
        </w:tc>
        <w:tc>
          <w:tcPr>
            <w:tcW w:w="250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Bitdeer Technologies Group</w:t>
            </w:r>
          </w:p>
        </w:tc>
      </w:tr>
      <w:tr>
        <w:trPr/>
        <w:tc>
          <w:tcPr>
            <w:tcW w:w="75" w:type="dxa"/>
            <w:tcBorders/>
            <w:vAlign w:val="center"/>
          </w:tcPr>
          <w:p>
            <w:pPr>
              <w:pStyle w:val="TableContents"/>
              <w:bidi w:val="0"/>
              <w:spacing w:before="0" w:after="283"/>
              <w:jc w:val="left"/>
              <w:rPr/>
            </w:pPr>
            <w:r>
              <w:rPr/>
              <w:t> </w:t>
            </w:r>
          </w:p>
        </w:tc>
        <w:tc>
          <w:tcPr>
            <w:tcW w:w="250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95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Jihan Wu</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Jihan Wu</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21,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29852701ex99-1.htm"/>
      <w:bookmarkStart w:id="3" w:name="ksea029852701ex991"/>
      <w:bookmarkEnd w:id="2"/>
      <w:bookmarkEnd w:id="3"/>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1047750" cy="6953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47750" cy="6953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Bitdeer Announces June 2026 Production and Operations Update</w:t>
      </w:r>
    </w:p>
    <w:p>
      <w:pPr>
        <w:pStyle w:val="TextBody"/>
        <w:bidi w:val="0"/>
        <w:spacing w:before="0" w:after="0"/>
        <w:ind w:left="0" w:right="0" w:hanging="0"/>
        <w:jc w:val="center"/>
        <w:rPr>
          <w:caps w:val="false"/>
          <w:smallCaps w:val="false"/>
        </w:rPr>
      </w:pPr>
      <w:r>
        <w:rPr>
          <w:caps w:val="false"/>
          <w:smallCaps w:val="false"/>
        </w:rPr>
        <w:t> </w:t>
      </w:r>
    </w:p>
    <w:tbl>
      <w:tblPr>
        <w:tblW w:w="1700" w:type="dxa"/>
        <w:jc w:val="left"/>
        <w:tblInd w:w="0" w:type="dxa"/>
        <w:tblLayout w:type="fixed"/>
        <w:tblCellMar>
          <w:top w:w="0" w:type="dxa"/>
          <w:left w:w="0" w:type="dxa"/>
          <w:bottom w:w="0" w:type="dxa"/>
          <w:right w:w="0" w:type="dxa"/>
        </w:tblCellMar>
      </w:tblPr>
      <w:tblGrid>
        <w:gridCol w:w="1700"/>
      </w:tblGrid>
      <w:tr>
        <w:trPr/>
        <w:tc>
          <w:tcPr>
            <w:tcW w:w="170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Monthly Highlights</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9"/>
        <w:gridCol w:w="311"/>
        <w:gridCol w:w="9825"/>
      </w:tblGrid>
      <w:tr>
        <w:trPr/>
        <w:tc>
          <w:tcPr>
            <w:tcW w:w="6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pPr>
            <w:r>
              <w:rPr/>
              <w:t>●</w:t>
            </w:r>
          </w:p>
        </w:tc>
        <w:tc>
          <w:tcPr>
            <w:tcW w:w="9825" w:type="dxa"/>
            <w:tcBorders/>
            <w:vAlign w:val="center"/>
          </w:tcPr>
          <w:p>
            <w:pPr>
              <w:pStyle w:val="TableContents"/>
              <w:bidi w:val="0"/>
              <w:spacing w:before="0" w:after="283"/>
              <w:jc w:val="both"/>
              <w:rPr/>
            </w:pPr>
            <w:r>
              <w:rPr>
                <w:b/>
              </w:rPr>
              <w:t>Bitcoin:</w:t>
            </w:r>
            <w:r>
              <w:rPr/>
              <w:t xml:space="preserve"> Production increased 388% Y/Y to 990 Bitcoin</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 xml:space="preserve">SEALMINERs: </w:t>
            </w:r>
            <w:r>
              <w:rPr/>
              <w:t>Recently announced groundbreaking of Sealminer manufacturing facility in Sparks, Nevada, slated for completion by the end of 2026</w:t>
            </w:r>
          </w:p>
        </w:tc>
      </w:tr>
    </w:tbl>
    <w:tbl>
      <w:tblPr>
        <w:tblW w:w="5000" w:type="pct"/>
        <w:jc w:val="left"/>
        <w:tblInd w:w="0" w:type="dxa"/>
        <w:tblLayout w:type="fixed"/>
        <w:tblCellMar>
          <w:top w:w="0" w:type="dxa"/>
          <w:left w:w="0" w:type="dxa"/>
          <w:bottom w:w="0" w:type="dxa"/>
          <w:right w:w="0" w:type="dxa"/>
        </w:tblCellMar>
      </w:tblPr>
      <w:tblGrid>
        <w:gridCol w:w="43"/>
        <w:gridCol w:w="193"/>
        <w:gridCol w:w="9969"/>
      </w:tblGrid>
      <w:tr>
        <w:trPr/>
        <w:tc>
          <w:tcPr>
            <w:tcW w:w="4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pPr>
            <w:r>
              <w:rPr/>
              <w:t>●</w:t>
            </w:r>
          </w:p>
        </w:tc>
        <w:tc>
          <w:tcPr>
            <w:tcW w:w="9969" w:type="dxa"/>
            <w:tcBorders/>
            <w:vAlign w:val="center"/>
          </w:tcPr>
          <w:p>
            <w:pPr>
              <w:pStyle w:val="TableContents"/>
              <w:bidi w:val="0"/>
              <w:spacing w:before="0" w:after="283"/>
              <w:jc w:val="both"/>
              <w:rPr/>
            </w:pPr>
            <w:r>
              <w:rPr>
                <w:b/>
              </w:rPr>
              <w:t>Colocation:</w:t>
            </w:r>
            <w:r>
              <w:rPr/>
              <w:t xml:space="preserve"> Tydal, Norway lease has been executed, subject to certain conditions precedent</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AI Cloud:</w:t>
            </w:r>
            <w:r>
              <w:rPr/>
              <w:t xml:space="preserve"> Signed a new 10-year lease agreement for 21.7 IT MW of capacity in Malaysia, with handover to Bitdeer planned for Q1 2027</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78"/>
        <w:gridCol w:w="1455"/>
        <w:gridCol w:w="1380"/>
        <w:gridCol w:w="1196"/>
        <w:gridCol w:w="759"/>
        <w:gridCol w:w="892"/>
        <w:gridCol w:w="3145"/>
      </w:tblGrid>
      <w:tr>
        <w:trPr/>
        <w:tc>
          <w:tcPr>
            <w:tcW w:w="10205" w:type="dxa"/>
            <w:gridSpan w:val="7"/>
            <w:tcBorders/>
            <w:shd w:fill="38D1A2" w:val="cle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Key Metrics Summary</w:t>
            </w:r>
          </w:p>
        </w:tc>
      </w:tr>
      <w:tr>
        <w:trPr/>
        <w:tc>
          <w:tcPr>
            <w:tcW w:w="1378" w:type="dxa"/>
            <w:tcBorders/>
            <w:shd w:fill="F2F2F2"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Global Energy Capacity</w:t>
            </w:r>
          </w:p>
        </w:tc>
        <w:tc>
          <w:tcPr>
            <w:tcW w:w="1455" w:type="dxa"/>
            <w:tcBorders/>
            <w:shd w:fill="F2F2F2"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Self-Mining Hash Rate</w:t>
            </w:r>
            <w:r>
              <w:rPr>
                <w:rFonts w:ascii="Times New Roman;Times;Serif" w:hAnsi="Times New Roman;Times;Serif"/>
                <w:b/>
                <w:position w:val="7"/>
                <w:sz w:val="16"/>
                <w:sz w:val="20"/>
              </w:rPr>
              <w:t>1</w:t>
            </w:r>
          </w:p>
        </w:tc>
        <w:tc>
          <w:tcPr>
            <w:tcW w:w="1380" w:type="dxa"/>
            <w:tcBorders/>
            <w:shd w:fill="F2F2F2"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Co-Mining Hash Rate</w:t>
            </w:r>
            <w:r>
              <w:rPr>
                <w:rFonts w:ascii="Times New Roman;Times;Serif" w:hAnsi="Times New Roman;Times;Serif"/>
                <w:b/>
                <w:position w:val="7"/>
                <w:sz w:val="16"/>
                <w:sz w:val="20"/>
              </w:rPr>
              <w:t>2</w:t>
            </w:r>
          </w:p>
        </w:tc>
        <w:tc>
          <w:tcPr>
            <w:tcW w:w="1196" w:type="dxa"/>
            <w:tcBorders/>
            <w:shd w:fill="F2F2F2"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Self-Mining Rigs</w:t>
            </w:r>
          </w:p>
        </w:tc>
        <w:tc>
          <w:tcPr>
            <w:tcW w:w="759" w:type="dxa"/>
            <w:tcBorders/>
            <w:shd w:fill="F2F2F2"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BTC Mined</w:t>
            </w:r>
          </w:p>
        </w:tc>
        <w:tc>
          <w:tcPr>
            <w:tcW w:w="892" w:type="dxa"/>
            <w:tcBorders/>
            <w:shd w:fill="F2F2F2"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AI Cloud ARR</w:t>
            </w:r>
          </w:p>
        </w:tc>
        <w:tc>
          <w:tcPr>
            <w:tcW w:w="3145" w:type="dxa"/>
            <w:tcBorders/>
            <w:shd w:fill="F2F2F2"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Colocation AI Data Center</w:t>
            </w:r>
          </w:p>
        </w:tc>
      </w:tr>
      <w:tr>
        <w:trPr/>
        <w:tc>
          <w:tcPr>
            <w:tcW w:w="1378"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3.0 GW</w:t>
            </w:r>
          </w:p>
        </w:tc>
        <w:tc>
          <w:tcPr>
            <w:tcW w:w="14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73.0 (EH/s)</w:t>
            </w:r>
          </w:p>
        </w:tc>
        <w:tc>
          <w:tcPr>
            <w:tcW w:w="138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15.9 (EH/s)</w:t>
            </w:r>
          </w:p>
        </w:tc>
        <w:tc>
          <w:tcPr>
            <w:tcW w:w="1196"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243K</w:t>
            </w:r>
          </w:p>
        </w:tc>
        <w:tc>
          <w:tcPr>
            <w:tcW w:w="759"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990</w:t>
            </w:r>
          </w:p>
        </w:tc>
        <w:tc>
          <w:tcPr>
            <w:tcW w:w="892"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~$76M</w:t>
            </w:r>
          </w:p>
        </w:tc>
        <w:tc>
          <w:tcPr>
            <w:tcW w:w="314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Tydal, Norway lease executed, subject to certain conditions precedent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SINGAPORE, July 21, 2026 (GLOBE NEWSWIRE) </w:t>
      </w:r>
      <w:r>
        <w:rPr>
          <w:rFonts w:ascii="Times New Roman;Times;Serif" w:hAnsi="Times New Roman;Times;Serif"/>
          <w:b w:val="false"/>
          <w:i w:val="false"/>
          <w:caps w:val="false"/>
          <w:smallCaps w:val="false"/>
          <w:sz w:val="20"/>
        </w:rPr>
        <w:t>-- Bitdeer Technologies Group (NASDAQ: BTDR) (“</w:t>
      </w:r>
      <w:r>
        <w:rPr>
          <w:rFonts w:ascii="Times New Roman;Times;Serif" w:hAnsi="Times New Roman;Times;Serif"/>
          <w:b/>
          <w:i w:val="false"/>
          <w:caps w:val="false"/>
          <w:smallCaps w:val="false"/>
          <w:sz w:val="20"/>
        </w:rPr>
        <w:t>Bitdeer</w:t>
      </w:r>
      <w:r>
        <w:rPr>
          <w:rFonts w:ascii="Times New Roman;Times;Serif" w:hAnsi="Times New Roman;Times;Serif"/>
          <w:b w:val="false"/>
          <w:i w:val="false"/>
          <w:caps w:val="false"/>
          <w:smallCaps w:val="false"/>
          <w:sz w:val="20"/>
        </w:rPr>
        <w:t>” or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 world-leading technology company for AI and Bitcoin mining infrastructure, today announced its unaudited operations updates for June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 Commentary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June reflected continued execution across Bitdeer’s AI infrastructure platform. AI Cloud ARR grew to approximately $76 million at 95% utilization, with GB300 NVL72 customer deliveries reinforcing our enterprise-grade capabilities,” said Michael G. Potter, Chief Financial Officer of Bitdeer. “Bitcoin production of 990 BTC, up 388% year-over-year, and self-mining hashrate of 73.0 EH/s reflect continued strength across our mining platform.” Mr. Potter continued, “We believe we have been making good progress at expanding powered land under our control. We look forward to sharing some of this at our upcoming Q2 earnings call. We also are encouraged by the interest being shown for our existing and planned AI Cloud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1047750" cy="6953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047750" cy="6953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tbl>
      <w:tblPr>
        <w:tblW w:w="2465" w:type="dxa"/>
        <w:jc w:val="left"/>
        <w:tblInd w:w="0" w:type="dxa"/>
        <w:tblLayout w:type="fixed"/>
        <w:tblCellMar>
          <w:top w:w="0" w:type="dxa"/>
          <w:left w:w="0" w:type="dxa"/>
          <w:bottom w:w="0" w:type="dxa"/>
          <w:right w:w="0" w:type="dxa"/>
        </w:tblCellMar>
      </w:tblPr>
      <w:tblGrid>
        <w:gridCol w:w="2465"/>
      </w:tblGrid>
      <w:tr>
        <w:trPr/>
        <w:tc>
          <w:tcPr>
            <w:tcW w:w="2465"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Crypto Mining Update: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CRYPTO Mining, R&amp;D, Manufacturing:</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Mined 990 Bitcoins</w:t>
            </w:r>
            <w:r>
              <w:rPr>
                <w:rFonts w:ascii="Times New Roman;Times;Serif" w:hAnsi="Times New Roman;Times;Serif"/>
                <w:position w:val="8"/>
                <w:sz w:val="19"/>
              </w:rPr>
              <w:t>3</w:t>
            </w:r>
            <w:r>
              <w:rPr>
                <w:rFonts w:ascii="Times New Roman;Times;Serif" w:hAnsi="Times New Roman;Times;Serif"/>
              </w:rPr>
              <w:t>, an increase of 388% Y/Y; we continue to expect momentum in our mining results over the coming months.</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Self-mining hash rate reached ~73.0 EH/s. Co-mining hashrate of 15.9 EH/s driven by Co-Mining collaboration, using Bitdeer’s mining rigs operated by 3</w:t>
            </w:r>
            <w:r>
              <w:rPr>
                <w:rFonts w:ascii="Times New Roman;Times;Serif" w:hAnsi="Times New Roman;Times;Serif"/>
                <w:position w:val="8"/>
                <w:sz w:val="19"/>
              </w:rPr>
              <w:t>rd</w:t>
            </w:r>
            <w:r>
              <w:rPr>
                <w:rFonts w:ascii="Times New Roman;Times;Serif" w:hAnsi="Times New Roman;Times;Serif"/>
              </w:rPr>
              <w:t xml:space="preserve"> party datacenters.</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Recently announced groundbreaking of Sealminer manufacturing facility in Sparks, Nevada, slated for completion by the end of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Crypto Metrics:</w:t>
      </w:r>
    </w:p>
    <w:p>
      <w:pPr>
        <w:pStyle w:val="TextBody"/>
        <w:bidi w:val="0"/>
        <w:spacing w:before="0" w:after="0"/>
        <w:ind w:left="0" w:right="0" w:hanging="0"/>
        <w:jc w:val="both"/>
        <w:rPr>
          <w:caps w:val="false"/>
          <w:smallCaps w:val="false"/>
        </w:rPr>
      </w:pPr>
      <w:r>
        <w:rPr>
          <w:caps w:val="false"/>
          <w:smallCaps w:val="false"/>
        </w:rPr>
        <w:t> </w:t>
      </w:r>
    </w:p>
    <w:tbl>
      <w:tblPr>
        <w:tblW w:w="6695" w:type="dxa"/>
        <w:jc w:val="left"/>
        <w:tblInd w:w="0" w:type="dxa"/>
        <w:tblLayout w:type="fixed"/>
        <w:tblCellMar>
          <w:top w:w="0" w:type="dxa"/>
          <w:left w:w="0" w:type="dxa"/>
          <w:bottom w:w="0" w:type="dxa"/>
          <w:right w:w="0" w:type="dxa"/>
        </w:tblCellMar>
      </w:tblPr>
      <w:tblGrid>
        <w:gridCol w:w="4025"/>
        <w:gridCol w:w="890"/>
        <w:gridCol w:w="875"/>
        <w:gridCol w:w="905"/>
      </w:tblGrid>
      <w:tr>
        <w:trPr/>
        <w:tc>
          <w:tcPr>
            <w:tcW w:w="4025" w:type="dxa"/>
            <w:tcBorders/>
            <w:shd w:fill="38D1A2" w:val="cle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Metric</w:t>
            </w:r>
          </w:p>
        </w:tc>
        <w:tc>
          <w:tcPr>
            <w:tcW w:w="890" w:type="dxa"/>
            <w:tcBorders/>
            <w:shd w:fill="38D1A2"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June 2026</w:t>
            </w:r>
          </w:p>
        </w:tc>
        <w:tc>
          <w:tcPr>
            <w:tcW w:w="875" w:type="dxa"/>
            <w:tcBorders/>
            <w:shd w:fill="38D1A2"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May 2026</w:t>
            </w:r>
          </w:p>
        </w:tc>
        <w:tc>
          <w:tcPr>
            <w:tcW w:w="905" w:type="dxa"/>
            <w:tcBorders/>
            <w:shd w:fill="38D1A2"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June 2025</w:t>
            </w:r>
          </w:p>
        </w:tc>
      </w:tr>
      <w:tr>
        <w:trPr/>
        <w:tc>
          <w:tcPr>
            <w:tcW w:w="6695" w:type="dxa"/>
            <w:gridSpan w:val="4"/>
            <w:tcBorders/>
            <w:shd w:fill="F2F2F2" w:val="cle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Hash Rate Metrics:</w:t>
            </w:r>
          </w:p>
        </w:tc>
      </w:tr>
      <w:tr>
        <w:trPr/>
        <w:tc>
          <w:tcPr>
            <w:tcW w:w="40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Self-Mining (Operated in self-owned datacenters)</w:t>
            </w:r>
          </w:p>
        </w:tc>
        <w:tc>
          <w:tcPr>
            <w:tcW w:w="89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73.0</w:t>
            </w:r>
          </w:p>
        </w:tc>
        <w:tc>
          <w:tcPr>
            <w:tcW w:w="8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70.2</w:t>
            </w:r>
          </w:p>
        </w:tc>
        <w:tc>
          <w:tcPr>
            <w:tcW w:w="90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16.5</w:t>
            </w:r>
          </w:p>
        </w:tc>
      </w:tr>
      <w:tr>
        <w:trPr/>
        <w:tc>
          <w:tcPr>
            <w:tcW w:w="4025" w:type="dxa"/>
            <w:tcBorders/>
            <w:shd w:fill="F2F2F2"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 Proprietary Hash Rate</w:t>
            </w:r>
            <w:r>
              <w:rPr>
                <w:rFonts w:ascii="Times New Roman;Times;Serif" w:hAnsi="Times New Roman;Times;Serif"/>
                <w:position w:val="7"/>
                <w:sz w:val="16"/>
                <w:sz w:val="20"/>
              </w:rPr>
              <w:t>4</w:t>
            </w:r>
          </w:p>
        </w:tc>
        <w:tc>
          <w:tcPr>
            <w:tcW w:w="890" w:type="dxa"/>
            <w:tcBorders/>
            <w:shd w:fill="F2F2F2"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4.9</w:t>
            </w:r>
          </w:p>
        </w:tc>
        <w:tc>
          <w:tcPr>
            <w:tcW w:w="875" w:type="dxa"/>
            <w:tcBorders/>
            <w:shd w:fill="F2F2F2"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4.7</w:t>
            </w:r>
          </w:p>
        </w:tc>
        <w:tc>
          <w:tcPr>
            <w:tcW w:w="905" w:type="dxa"/>
            <w:tcBorders/>
            <w:shd w:fill="F2F2F2"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0.2</w:t>
            </w:r>
          </w:p>
        </w:tc>
      </w:tr>
      <w:tr>
        <w:trPr/>
        <w:tc>
          <w:tcPr>
            <w:tcW w:w="40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Hosting</w:t>
            </w:r>
            <w:r>
              <w:rPr>
                <w:rFonts w:ascii="Times New Roman;Times;Serif" w:hAnsi="Times New Roman;Times;Serif"/>
                <w:position w:val="7"/>
                <w:sz w:val="16"/>
                <w:sz w:val="20"/>
              </w:rPr>
              <w:t>5</w:t>
            </w:r>
          </w:p>
        </w:tc>
        <w:tc>
          <w:tcPr>
            <w:tcW w:w="89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8.2</w:t>
            </w:r>
          </w:p>
        </w:tc>
        <w:tc>
          <w:tcPr>
            <w:tcW w:w="87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8.2</w:t>
            </w:r>
          </w:p>
        </w:tc>
        <w:tc>
          <w:tcPr>
            <w:tcW w:w="90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13.9</w:t>
            </w:r>
          </w:p>
        </w:tc>
      </w:tr>
      <w:tr>
        <w:trPr/>
        <w:tc>
          <w:tcPr>
            <w:tcW w:w="4025" w:type="dxa"/>
            <w:tcBorders/>
            <w:shd w:fill="F2F2F2" w:val="cle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Total Hash Rate under Mgmt.</w:t>
            </w:r>
            <w:r>
              <w:rPr>
                <w:rFonts w:ascii="Times New Roman;Times;Serif" w:hAnsi="Times New Roman;Times;Serif"/>
                <w:b/>
                <w:position w:val="7"/>
                <w:sz w:val="16"/>
                <w:sz w:val="20"/>
              </w:rPr>
              <w:t>6</w:t>
            </w:r>
            <w:r>
              <w:rPr>
                <w:rFonts w:ascii="Times New Roman;Times;Serif" w:hAnsi="Times New Roman;Times;Serif"/>
                <w:b/>
                <w:sz w:val="20"/>
              </w:rPr>
              <w:t xml:space="preserve"> (EH/s)</w:t>
            </w:r>
          </w:p>
        </w:tc>
        <w:tc>
          <w:tcPr>
            <w:tcW w:w="890" w:type="dxa"/>
            <w:tcBorders>
              <w:bottom w:val="single" w:sz="8" w:space="0" w:color="000000"/>
            </w:tcBorders>
            <w:shd w:fill="F2F2F2"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86.1</w:t>
            </w:r>
          </w:p>
        </w:tc>
        <w:tc>
          <w:tcPr>
            <w:tcW w:w="875" w:type="dxa"/>
            <w:tcBorders>
              <w:bottom w:val="single" w:sz="8" w:space="0" w:color="000000"/>
            </w:tcBorders>
            <w:shd w:fill="F2F2F2"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83.1</w:t>
            </w:r>
          </w:p>
        </w:tc>
        <w:tc>
          <w:tcPr>
            <w:tcW w:w="905" w:type="dxa"/>
            <w:tcBorders>
              <w:bottom w:val="single" w:sz="8" w:space="0" w:color="000000"/>
            </w:tcBorders>
            <w:shd w:fill="F2F2F2"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30.6</w:t>
            </w:r>
          </w:p>
        </w:tc>
      </w:tr>
      <w:tr>
        <w:trPr/>
        <w:tc>
          <w:tcPr>
            <w:tcW w:w="4025" w:type="dxa"/>
            <w:tcBorders/>
            <w:shd w:fill="FFFFFF" w:val="clear"/>
            <w:vAlign w:val="center"/>
          </w:tcPr>
          <w:p>
            <w:pPr>
              <w:pStyle w:val="TableContents"/>
              <w:bidi w:val="0"/>
              <w:spacing w:before="0" w:after="283"/>
              <w:jc w:val="both"/>
              <w:rPr/>
            </w:pPr>
            <w:r>
              <w:rPr/>
              <w:t> </w:t>
            </w:r>
          </w:p>
        </w:tc>
        <w:tc>
          <w:tcPr>
            <w:tcW w:w="890" w:type="dxa"/>
            <w:tcBorders/>
            <w:shd w:fill="FFFFFF" w:val="clear"/>
            <w:vAlign w:val="center"/>
          </w:tcPr>
          <w:p>
            <w:pPr>
              <w:pStyle w:val="TableContents"/>
              <w:bidi w:val="0"/>
              <w:spacing w:before="0" w:after="283"/>
              <w:jc w:val="both"/>
              <w:rPr/>
            </w:pPr>
            <w:r>
              <w:rPr/>
              <w:t> </w:t>
            </w:r>
          </w:p>
        </w:tc>
        <w:tc>
          <w:tcPr>
            <w:tcW w:w="875" w:type="dxa"/>
            <w:tcBorders/>
            <w:shd w:fill="FFFFFF" w:val="clear"/>
            <w:vAlign w:val="center"/>
          </w:tcPr>
          <w:p>
            <w:pPr>
              <w:pStyle w:val="TableContents"/>
              <w:bidi w:val="0"/>
              <w:spacing w:before="0" w:after="283"/>
              <w:jc w:val="both"/>
              <w:rPr/>
            </w:pPr>
            <w:r>
              <w:rPr/>
              <w:t> </w:t>
            </w:r>
          </w:p>
        </w:tc>
        <w:tc>
          <w:tcPr>
            <w:tcW w:w="905" w:type="dxa"/>
            <w:tcBorders/>
            <w:shd w:fill="FFFFFF" w:val="clear"/>
            <w:vAlign w:val="center"/>
          </w:tcPr>
          <w:p>
            <w:pPr>
              <w:pStyle w:val="TableContents"/>
              <w:bidi w:val="0"/>
              <w:spacing w:before="0" w:after="283"/>
              <w:jc w:val="both"/>
              <w:rPr/>
            </w:pPr>
            <w:r>
              <w:rPr/>
              <w:t> </w:t>
            </w:r>
          </w:p>
        </w:tc>
      </w:tr>
      <w:tr>
        <w:trPr/>
        <w:tc>
          <w:tcPr>
            <w:tcW w:w="4025" w:type="dxa"/>
            <w:tcBorders/>
            <w:shd w:fill="F2F2F2"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Co-Mining (Operated by 3</w:t>
            </w:r>
            <w:r>
              <w:rPr>
                <w:rFonts w:ascii="Times New Roman;Times;Serif" w:hAnsi="Times New Roman;Times;Serif"/>
                <w:position w:val="7"/>
                <w:sz w:val="16"/>
                <w:sz w:val="20"/>
              </w:rPr>
              <w:t>rd</w:t>
            </w:r>
            <w:r>
              <w:rPr>
                <w:rFonts w:ascii="Times New Roman;Times;Serif" w:hAnsi="Times New Roman;Times;Serif"/>
                <w:sz w:val="20"/>
              </w:rPr>
              <w:t xml:space="preserve"> party datacenters)</w:t>
            </w:r>
          </w:p>
        </w:tc>
        <w:tc>
          <w:tcPr>
            <w:tcW w:w="890" w:type="dxa"/>
            <w:tcBorders/>
            <w:shd w:fill="F2F2F2"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15.9</w:t>
            </w:r>
          </w:p>
        </w:tc>
        <w:tc>
          <w:tcPr>
            <w:tcW w:w="875" w:type="dxa"/>
            <w:tcBorders/>
            <w:shd w:fill="F2F2F2"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w:t>
            </w:r>
          </w:p>
        </w:tc>
        <w:tc>
          <w:tcPr>
            <w:tcW w:w="905" w:type="dxa"/>
            <w:tcBorders/>
            <w:shd w:fill="F2F2F2"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r>
      <w:tr>
        <w:trPr/>
        <w:tc>
          <w:tcPr>
            <w:tcW w:w="4025" w:type="dxa"/>
            <w:tcBorders/>
            <w:shd w:fill="FFFFFF" w:val="clear"/>
            <w:vAlign w:val="center"/>
          </w:tcPr>
          <w:p>
            <w:pPr>
              <w:pStyle w:val="TableContents"/>
              <w:bidi w:val="0"/>
              <w:spacing w:before="0" w:after="283"/>
              <w:jc w:val="both"/>
              <w:rPr/>
            </w:pPr>
            <w:r>
              <w:rPr/>
              <w:t> </w:t>
            </w:r>
          </w:p>
        </w:tc>
        <w:tc>
          <w:tcPr>
            <w:tcW w:w="890" w:type="dxa"/>
            <w:tcBorders/>
            <w:shd w:fill="FFFFFF" w:val="clear"/>
            <w:vAlign w:val="center"/>
          </w:tcPr>
          <w:p>
            <w:pPr>
              <w:pStyle w:val="TableContents"/>
              <w:bidi w:val="0"/>
              <w:spacing w:before="0" w:after="283"/>
              <w:jc w:val="center"/>
              <w:rPr/>
            </w:pPr>
            <w:r>
              <w:rPr/>
              <w:t> </w:t>
            </w:r>
          </w:p>
        </w:tc>
        <w:tc>
          <w:tcPr>
            <w:tcW w:w="875" w:type="dxa"/>
            <w:tcBorders/>
            <w:shd w:fill="FFFFFF" w:val="clear"/>
            <w:vAlign w:val="center"/>
          </w:tcPr>
          <w:p>
            <w:pPr>
              <w:pStyle w:val="TableContents"/>
              <w:bidi w:val="0"/>
              <w:spacing w:before="0" w:after="283"/>
              <w:jc w:val="center"/>
              <w:rPr/>
            </w:pPr>
            <w:r>
              <w:rPr/>
              <w:t> </w:t>
            </w:r>
          </w:p>
        </w:tc>
        <w:tc>
          <w:tcPr>
            <w:tcW w:w="905" w:type="dxa"/>
            <w:tcBorders/>
            <w:shd w:fill="FFFFFF" w:val="clear"/>
            <w:vAlign w:val="center"/>
          </w:tcPr>
          <w:p>
            <w:pPr>
              <w:pStyle w:val="TableContents"/>
              <w:bidi w:val="0"/>
              <w:spacing w:before="0" w:after="283"/>
              <w:jc w:val="center"/>
              <w:rPr/>
            </w:pPr>
            <w:r>
              <w:rPr/>
              <w:t> </w:t>
            </w:r>
          </w:p>
        </w:tc>
      </w:tr>
      <w:tr>
        <w:trPr/>
        <w:tc>
          <w:tcPr>
            <w:tcW w:w="6695" w:type="dxa"/>
            <w:gridSpan w:val="4"/>
            <w:tcBorders/>
            <w:shd w:fill="F2F2F2" w:val="cle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Mining Rig Metrics:</w:t>
            </w:r>
          </w:p>
        </w:tc>
      </w:tr>
      <w:tr>
        <w:trPr/>
        <w:tc>
          <w:tcPr>
            <w:tcW w:w="40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Self-Mining</w:t>
            </w:r>
          </w:p>
        </w:tc>
        <w:tc>
          <w:tcPr>
            <w:tcW w:w="89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243,000</w:t>
            </w:r>
          </w:p>
        </w:tc>
        <w:tc>
          <w:tcPr>
            <w:tcW w:w="8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231,000</w:t>
            </w:r>
          </w:p>
        </w:tc>
        <w:tc>
          <w:tcPr>
            <w:tcW w:w="90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114,000</w:t>
            </w:r>
          </w:p>
        </w:tc>
      </w:tr>
      <w:tr>
        <w:trPr/>
        <w:tc>
          <w:tcPr>
            <w:tcW w:w="4025" w:type="dxa"/>
            <w:tcBorders/>
            <w:shd w:fill="F2F2F2"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Hosted</w:t>
            </w:r>
          </w:p>
        </w:tc>
        <w:tc>
          <w:tcPr>
            <w:tcW w:w="890" w:type="dxa"/>
            <w:tcBorders>
              <w:bottom w:val="single" w:sz="8" w:space="0" w:color="000000"/>
            </w:tcBorders>
            <w:shd w:fill="F2F2F2" w:val="clear"/>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46,000</w:t>
            </w:r>
          </w:p>
        </w:tc>
        <w:tc>
          <w:tcPr>
            <w:tcW w:w="875" w:type="dxa"/>
            <w:tcBorders>
              <w:bottom w:val="single" w:sz="8" w:space="0" w:color="000000"/>
            </w:tcBorders>
            <w:shd w:fill="F2F2F2" w:val="clear"/>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46,000</w:t>
            </w:r>
          </w:p>
        </w:tc>
        <w:tc>
          <w:tcPr>
            <w:tcW w:w="905" w:type="dxa"/>
            <w:tcBorders>
              <w:bottom w:val="single" w:sz="8" w:space="0" w:color="000000"/>
            </w:tcBorders>
            <w:shd w:fill="F2F2F2" w:val="clear"/>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86,000</w:t>
            </w:r>
          </w:p>
        </w:tc>
      </w:tr>
      <w:tr>
        <w:trPr/>
        <w:tc>
          <w:tcPr>
            <w:tcW w:w="402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Total Mining Rigs under Mgmt.</w:t>
            </w:r>
          </w:p>
        </w:tc>
        <w:tc>
          <w:tcPr>
            <w:tcW w:w="89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289,000</w:t>
            </w:r>
          </w:p>
        </w:tc>
        <w:tc>
          <w:tcPr>
            <w:tcW w:w="87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277,000</w:t>
            </w:r>
          </w:p>
        </w:tc>
        <w:tc>
          <w:tcPr>
            <w:tcW w:w="90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200,000</w:t>
            </w:r>
          </w:p>
        </w:tc>
      </w:tr>
      <w:tr>
        <w:trPr/>
        <w:tc>
          <w:tcPr>
            <w:tcW w:w="4025" w:type="dxa"/>
            <w:tcBorders/>
            <w:shd w:fill="F2F2F2" w:val="clear"/>
            <w:vAlign w:val="center"/>
          </w:tcPr>
          <w:p>
            <w:pPr>
              <w:pStyle w:val="TableContents"/>
              <w:bidi w:val="0"/>
              <w:spacing w:before="0" w:after="283"/>
              <w:jc w:val="both"/>
              <w:rPr/>
            </w:pPr>
            <w:r>
              <w:rPr/>
              <w:t> </w:t>
            </w:r>
          </w:p>
        </w:tc>
        <w:tc>
          <w:tcPr>
            <w:tcW w:w="890" w:type="dxa"/>
            <w:tcBorders/>
            <w:shd w:fill="F2F2F2" w:val="clear"/>
            <w:vAlign w:val="center"/>
          </w:tcPr>
          <w:p>
            <w:pPr>
              <w:pStyle w:val="TableContents"/>
              <w:bidi w:val="0"/>
              <w:spacing w:before="0" w:after="283"/>
              <w:jc w:val="both"/>
              <w:rPr/>
            </w:pPr>
            <w:r>
              <w:rPr/>
              <w:t> </w:t>
            </w:r>
          </w:p>
        </w:tc>
        <w:tc>
          <w:tcPr>
            <w:tcW w:w="875" w:type="dxa"/>
            <w:tcBorders/>
            <w:shd w:fill="F2F2F2" w:val="clear"/>
            <w:vAlign w:val="center"/>
          </w:tcPr>
          <w:p>
            <w:pPr>
              <w:pStyle w:val="TableContents"/>
              <w:bidi w:val="0"/>
              <w:spacing w:before="0" w:after="283"/>
              <w:jc w:val="both"/>
              <w:rPr/>
            </w:pPr>
            <w:r>
              <w:rPr/>
              <w:t> </w:t>
            </w:r>
          </w:p>
        </w:tc>
        <w:tc>
          <w:tcPr>
            <w:tcW w:w="905" w:type="dxa"/>
            <w:tcBorders/>
            <w:shd w:fill="F2F2F2" w:val="clear"/>
            <w:vAlign w:val="center"/>
          </w:tcPr>
          <w:p>
            <w:pPr>
              <w:pStyle w:val="TableContents"/>
              <w:bidi w:val="0"/>
              <w:spacing w:before="0" w:after="283"/>
              <w:jc w:val="both"/>
              <w:rPr/>
            </w:pPr>
            <w:r>
              <w:rPr/>
              <w:t> </w:t>
            </w:r>
          </w:p>
        </w:tc>
      </w:tr>
      <w:tr>
        <w:trPr/>
        <w:tc>
          <w:tcPr>
            <w:tcW w:w="40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Co-Mining</w:t>
            </w:r>
          </w:p>
        </w:tc>
        <w:tc>
          <w:tcPr>
            <w:tcW w:w="89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56,000</w:t>
            </w:r>
          </w:p>
        </w:tc>
        <w:tc>
          <w:tcPr>
            <w:tcW w:w="8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39,000</w:t>
            </w:r>
          </w:p>
        </w:tc>
        <w:tc>
          <w:tcPr>
            <w:tcW w:w="90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r>
      <w:tr>
        <w:trPr/>
        <w:tc>
          <w:tcPr>
            <w:tcW w:w="6695" w:type="dxa"/>
            <w:gridSpan w:val="4"/>
            <w:tcBorders/>
            <w:shd w:fill="F2F2F2" w:val="clear"/>
            <w:vAlign w:val="center"/>
          </w:tcPr>
          <w:p>
            <w:pPr>
              <w:pStyle w:val="TableContents"/>
              <w:bidi w:val="0"/>
              <w:spacing w:before="0" w:after="283"/>
              <w:jc w:val="both"/>
              <w:rPr/>
            </w:pPr>
            <w:r>
              <w:rPr/>
              <w:t> </w:t>
            </w:r>
          </w:p>
        </w:tc>
      </w:tr>
      <w:tr>
        <w:trPr/>
        <w:tc>
          <w:tcPr>
            <w:tcW w:w="40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BTC Mined</w:t>
            </w:r>
            <w:r>
              <w:rPr>
                <w:rFonts w:ascii="Times New Roman;Times;Serif" w:hAnsi="Times New Roman;Times;Serif"/>
                <w:position w:val="7"/>
                <w:sz w:val="16"/>
                <w:sz w:val="20"/>
              </w:rPr>
              <w:t>3</w:t>
            </w:r>
          </w:p>
        </w:tc>
        <w:tc>
          <w:tcPr>
            <w:tcW w:w="89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990</w:t>
            </w:r>
          </w:p>
        </w:tc>
        <w:tc>
          <w:tcPr>
            <w:tcW w:w="8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921</w:t>
            </w:r>
          </w:p>
        </w:tc>
        <w:tc>
          <w:tcPr>
            <w:tcW w:w="90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203</w:t>
            </w:r>
          </w:p>
        </w:tc>
      </w:tr>
      <w:tr>
        <w:trPr/>
        <w:tc>
          <w:tcPr>
            <w:tcW w:w="4025" w:type="dxa"/>
            <w:tcBorders/>
            <w:shd w:fill="F2F2F2"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BTC Held</w:t>
            </w:r>
            <w:r>
              <w:rPr>
                <w:rFonts w:ascii="Times New Roman;Times;Serif" w:hAnsi="Times New Roman;Times;Serif"/>
                <w:position w:val="7"/>
                <w:sz w:val="16"/>
                <w:sz w:val="20"/>
              </w:rPr>
              <w:t>7</w:t>
            </w:r>
          </w:p>
        </w:tc>
        <w:tc>
          <w:tcPr>
            <w:tcW w:w="890" w:type="dxa"/>
            <w:tcBorders/>
            <w:shd w:fill="F2F2F2"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150</w:t>
            </w:r>
          </w:p>
        </w:tc>
        <w:tc>
          <w:tcPr>
            <w:tcW w:w="875" w:type="dxa"/>
            <w:tcBorders/>
            <w:shd w:fill="F2F2F2"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171</w:t>
            </w:r>
          </w:p>
        </w:tc>
        <w:tc>
          <w:tcPr>
            <w:tcW w:w="905" w:type="dxa"/>
            <w:tcBorders/>
            <w:shd w:fill="F2F2F2"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1,502</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1047750" cy="6953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047750" cy="69532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tbl>
      <w:tblPr>
        <w:tblW w:w="2015" w:type="dxa"/>
        <w:jc w:val="left"/>
        <w:tblInd w:w="0" w:type="dxa"/>
        <w:tblLayout w:type="fixed"/>
        <w:tblCellMar>
          <w:top w:w="0" w:type="dxa"/>
          <w:left w:w="0" w:type="dxa"/>
          <w:bottom w:w="0" w:type="dxa"/>
          <w:right w:w="0" w:type="dxa"/>
        </w:tblCellMar>
      </w:tblPr>
      <w:tblGrid>
        <w:gridCol w:w="2015"/>
      </w:tblGrid>
      <w:tr>
        <w:trPr/>
        <w:tc>
          <w:tcPr>
            <w:tcW w:w="2015"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Bitdeer AI Update: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Colocation AI Data Center: </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Tydal, Norway lease executed, subject to certain conditions precedent. Bitdeer remains in active dialogue at several additional sites.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AI Cloud Key Metrics: </w:t>
      </w:r>
    </w:p>
    <w:p>
      <w:pPr>
        <w:pStyle w:val="TextBody"/>
        <w:bidi w:val="0"/>
        <w:spacing w:before="0" w:after="0"/>
        <w:ind w:left="0" w:right="0" w:hanging="0"/>
        <w:jc w:val="both"/>
        <w:rPr>
          <w:caps w:val="false"/>
          <w:smallCaps w:val="false"/>
        </w:rPr>
      </w:pPr>
      <w:r>
        <w:rPr>
          <w:caps w:val="false"/>
          <w:smallCaps w:val="false"/>
        </w:rPr>
        <w:t> </w:t>
      </w:r>
    </w:p>
    <w:tbl>
      <w:tblPr>
        <w:tblW w:w="8655" w:type="dxa"/>
        <w:jc w:val="left"/>
        <w:tblInd w:w="0" w:type="dxa"/>
        <w:tblLayout w:type="fixed"/>
        <w:tblCellMar>
          <w:top w:w="0" w:type="dxa"/>
          <w:left w:w="0" w:type="dxa"/>
          <w:bottom w:w="0" w:type="dxa"/>
          <w:right w:w="0" w:type="dxa"/>
        </w:tblCellMar>
      </w:tblPr>
      <w:tblGrid>
        <w:gridCol w:w="2840"/>
        <w:gridCol w:w="2900"/>
        <w:gridCol w:w="2915"/>
      </w:tblGrid>
      <w:tr>
        <w:trPr/>
        <w:tc>
          <w:tcPr>
            <w:tcW w:w="2840" w:type="dxa"/>
            <w:tcBorders/>
            <w:shd w:fill="38D1A2" w:val="cle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Metric</w:t>
            </w:r>
          </w:p>
        </w:tc>
        <w:tc>
          <w:tcPr>
            <w:tcW w:w="2900" w:type="dxa"/>
            <w:tcBorders/>
            <w:shd w:fill="38D1A2"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June 2026</w:t>
            </w:r>
          </w:p>
        </w:tc>
        <w:tc>
          <w:tcPr>
            <w:tcW w:w="2915" w:type="dxa"/>
            <w:tcBorders/>
            <w:shd w:fill="38D1A2"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May 2026</w:t>
            </w:r>
          </w:p>
        </w:tc>
      </w:tr>
      <w:tr>
        <w:trPr/>
        <w:tc>
          <w:tcPr>
            <w:tcW w:w="2840" w:type="dxa"/>
            <w:tcBorders/>
            <w:shd w:fill="F2F2F2"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GPU Amount Deployed</w:t>
            </w:r>
          </w:p>
        </w:tc>
        <w:tc>
          <w:tcPr>
            <w:tcW w:w="2900" w:type="dxa"/>
            <w:tcBorders/>
            <w:shd w:fill="F2F2F2"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4,248</w:t>
            </w:r>
          </w:p>
        </w:tc>
        <w:tc>
          <w:tcPr>
            <w:tcW w:w="2915" w:type="dxa"/>
            <w:tcBorders/>
            <w:shd w:fill="F2F2F2"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4,248</w:t>
            </w:r>
          </w:p>
        </w:tc>
      </w:tr>
      <w:tr>
        <w:trPr/>
        <w:tc>
          <w:tcPr>
            <w:tcW w:w="28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GPU Types</w:t>
            </w:r>
          </w:p>
        </w:tc>
        <w:tc>
          <w:tcPr>
            <w:tcW w:w="290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H100, H200, B200, GB200, GB300</w:t>
            </w:r>
          </w:p>
        </w:tc>
        <w:tc>
          <w:tcPr>
            <w:tcW w:w="29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H100, H200, B200, GB200, GB300</w:t>
            </w:r>
          </w:p>
        </w:tc>
      </w:tr>
      <w:tr>
        <w:trPr/>
        <w:tc>
          <w:tcPr>
            <w:tcW w:w="2840" w:type="dxa"/>
            <w:tcBorders/>
            <w:shd w:fill="F2F2F2"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Utilization Rate</w:t>
            </w:r>
            <w:r>
              <w:rPr>
                <w:rFonts w:ascii="Times New Roman;Times;Serif" w:hAnsi="Times New Roman;Times;Serif"/>
                <w:position w:val="7"/>
                <w:sz w:val="16"/>
                <w:sz w:val="20"/>
              </w:rPr>
              <w:t>8</w:t>
            </w:r>
          </w:p>
        </w:tc>
        <w:tc>
          <w:tcPr>
            <w:tcW w:w="2900" w:type="dxa"/>
            <w:tcBorders/>
            <w:shd w:fill="F2F2F2"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95%</w:t>
            </w:r>
          </w:p>
        </w:tc>
        <w:tc>
          <w:tcPr>
            <w:tcW w:w="2915" w:type="dxa"/>
            <w:tcBorders/>
            <w:shd w:fill="F2F2F2"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90%</w:t>
            </w:r>
          </w:p>
        </w:tc>
      </w:tr>
      <w:tr>
        <w:trPr/>
        <w:tc>
          <w:tcPr>
            <w:tcW w:w="28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GPUs Under External Subscription</w:t>
            </w:r>
          </w:p>
        </w:tc>
        <w:tc>
          <w:tcPr>
            <w:tcW w:w="290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3,517</w:t>
            </w:r>
          </w:p>
        </w:tc>
        <w:tc>
          <w:tcPr>
            <w:tcW w:w="29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3,305</w:t>
            </w:r>
          </w:p>
        </w:tc>
      </w:tr>
      <w:tr>
        <w:trPr/>
        <w:tc>
          <w:tcPr>
            <w:tcW w:w="2840" w:type="dxa"/>
            <w:tcBorders>
              <w:bottom w:val="single" w:sz="8" w:space="0" w:color="000000"/>
            </w:tcBorders>
            <w:shd w:fill="F2F2F2" w:val="clear"/>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ARR</w:t>
            </w:r>
            <w:r>
              <w:rPr>
                <w:rFonts w:ascii="Times New Roman;Times;Serif" w:hAnsi="Times New Roman;Times;Serif"/>
                <w:position w:val="7"/>
                <w:sz w:val="16"/>
                <w:sz w:val="20"/>
              </w:rPr>
              <w:t>9</w:t>
            </w:r>
          </w:p>
        </w:tc>
        <w:tc>
          <w:tcPr>
            <w:tcW w:w="2900" w:type="dxa"/>
            <w:tcBorders>
              <w:bottom w:val="single" w:sz="8" w:space="0" w:color="000000"/>
            </w:tcBorders>
            <w:shd w:fill="F2F2F2" w:val="clear"/>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~$76M</w:t>
            </w:r>
          </w:p>
        </w:tc>
        <w:tc>
          <w:tcPr>
            <w:tcW w:w="2915" w:type="dxa"/>
            <w:tcBorders>
              <w:bottom w:val="single" w:sz="8" w:space="0" w:color="000000"/>
            </w:tcBorders>
            <w:shd w:fill="F2F2F2" w:val="clear"/>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~$69M</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 xml:space="preserve">GB300 Customer Delivery: </w:t>
            </w:r>
            <w:r>
              <w:rPr/>
              <w:t>5-year GPU cloud sales contract executed and successfully completed customer deliveries following the deployment and production launch of 2 units of  NVIDIA GB300 NVL72 clusters, demonstrating strong technical execution and rapid delivery capabilities. </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10-year lease agreement signed</w:t>
            </w:r>
            <w:r>
              <w:rPr/>
              <w:t xml:space="preserve"> for new data center in Malaysia to provide 21.7 IT MW of capacity, with handover to Bitdeer expected Q1 2027. Facility planned to support deployment of 128 NVIDIA GB300 NVL72 systems.</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Named “AI Cloud Platform of the Year”</w:t>
            </w:r>
            <w:r>
              <w:rPr/>
              <w:t xml:space="preserve"> in the 2026 AI Breakthrough Awards, recognizing Bitdeer AI Cloud’s full-stack capabilities, scalable GPU compute, and streamlined model deployment.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1047750" cy="6953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047750" cy="6953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Infrastructure Summary: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5"/>
        <w:gridCol w:w="1163"/>
        <w:gridCol w:w="661"/>
        <w:gridCol w:w="1284"/>
        <w:gridCol w:w="1611"/>
        <w:gridCol w:w="5231"/>
      </w:tblGrid>
      <w:tr>
        <w:trPr/>
        <w:tc>
          <w:tcPr>
            <w:tcW w:w="1418" w:type="dxa"/>
            <w:gridSpan w:val="2"/>
            <w:tcBorders/>
            <w:shd w:fill="38D1A2" w:val="cle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Site</w:t>
            </w:r>
          </w:p>
        </w:tc>
        <w:tc>
          <w:tcPr>
            <w:tcW w:w="661" w:type="dxa"/>
            <w:tcBorders/>
            <w:shd w:fill="38D1A2"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(MW) Capacity</w:t>
            </w:r>
          </w:p>
        </w:tc>
        <w:tc>
          <w:tcPr>
            <w:tcW w:w="1284" w:type="dxa"/>
            <w:tcBorders/>
            <w:shd w:fill="38D1A2"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Energization Timing</w:t>
            </w:r>
            <w:r>
              <w:rPr>
                <w:rFonts w:ascii="Times New Roman;Times;Serif" w:hAnsi="Times New Roman;Times;Serif"/>
                <w:b/>
                <w:position w:val="7"/>
                <w:sz w:val="16"/>
                <w:sz w:val="20"/>
              </w:rPr>
              <w:t>10</w:t>
            </w:r>
          </w:p>
        </w:tc>
        <w:tc>
          <w:tcPr>
            <w:tcW w:w="1611" w:type="dxa"/>
            <w:tcBorders/>
            <w:shd w:fill="38D1A2"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Planned Usage</w:t>
            </w:r>
          </w:p>
        </w:tc>
        <w:tc>
          <w:tcPr>
            <w:tcW w:w="5231" w:type="dxa"/>
            <w:tcBorders/>
            <w:shd w:fill="38D1A2"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Construction Update</w:t>
            </w:r>
          </w:p>
        </w:tc>
      </w:tr>
      <w:tr>
        <w:trPr/>
        <w:tc>
          <w:tcPr>
            <w:tcW w:w="10205" w:type="dxa"/>
            <w:gridSpan w:val="6"/>
            <w:tcBorders/>
            <w:shd w:fill="F2F2F2" w:val="cle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Online Electrical Capacity:</w:t>
            </w:r>
          </w:p>
        </w:tc>
      </w:tr>
      <w:tr>
        <w:trPr/>
        <w:tc>
          <w:tcPr>
            <w:tcW w:w="25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1)</w:t>
            </w:r>
          </w:p>
        </w:tc>
        <w:tc>
          <w:tcPr>
            <w:tcW w:w="11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Rockdale, TX</w:t>
            </w:r>
          </w:p>
        </w:tc>
        <w:tc>
          <w:tcPr>
            <w:tcW w:w="66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563</w:t>
            </w:r>
          </w:p>
        </w:tc>
        <w:tc>
          <w:tcPr>
            <w:tcW w:w="1284" w:type="dxa"/>
            <w:tcBorders/>
            <w:vAlign w:val="center"/>
          </w:tcPr>
          <w:p>
            <w:pPr>
              <w:pStyle w:val="TableContents"/>
              <w:bidi w:val="0"/>
              <w:spacing w:before="0" w:after="283"/>
              <w:jc w:val="both"/>
              <w:rPr>
                <w:rFonts w:ascii="Times New Roman;Times;Serif" w:hAnsi="Times New Roman;Times;Serif"/>
                <w:color w:val="4EA72E"/>
                <w:sz w:val="20"/>
              </w:rPr>
            </w:pPr>
            <w:r>
              <w:rPr>
                <w:rFonts w:ascii="Times New Roman;Times;Serif" w:hAnsi="Times New Roman;Times;Serif"/>
                <w:color w:val="4EA72E"/>
                <w:sz w:val="20"/>
              </w:rPr>
              <w:t>Online</w:t>
            </w:r>
          </w:p>
        </w:tc>
        <w:tc>
          <w:tcPr>
            <w:tcW w:w="16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Crypto to Colocation / AI Cloud</w:t>
            </w:r>
          </w:p>
        </w:tc>
        <w:tc>
          <w:tcPr>
            <w:tcW w:w="52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 active evaluation of AI transition</w:t>
            </w:r>
          </w:p>
        </w:tc>
      </w:tr>
      <w:tr>
        <w:trPr/>
        <w:tc>
          <w:tcPr>
            <w:tcW w:w="255" w:type="dxa"/>
            <w:tcBorders/>
            <w:shd w:fill="F2F2F2" w:val="cle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2)</w:t>
            </w:r>
          </w:p>
        </w:tc>
        <w:tc>
          <w:tcPr>
            <w:tcW w:w="1163" w:type="dxa"/>
            <w:tcBorders/>
            <w:shd w:fill="F2F2F2"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Knoxville, TN – phase 1</w:t>
            </w:r>
          </w:p>
        </w:tc>
        <w:tc>
          <w:tcPr>
            <w:tcW w:w="661" w:type="dxa"/>
            <w:tcBorders/>
            <w:shd w:fill="F2F2F2"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37</w:t>
            </w:r>
          </w:p>
        </w:tc>
        <w:tc>
          <w:tcPr>
            <w:tcW w:w="1284" w:type="dxa"/>
            <w:tcBorders/>
            <w:shd w:fill="F2F2F2"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Q4 ’26</w:t>
            </w:r>
          </w:p>
        </w:tc>
        <w:tc>
          <w:tcPr>
            <w:tcW w:w="1611" w:type="dxa"/>
            <w:vMerge w:val="restart"/>
            <w:tcBorders/>
            <w:shd w:fill="F2F2F2"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Crypto to AI Cloud</w:t>
            </w:r>
          </w:p>
        </w:tc>
        <w:tc>
          <w:tcPr>
            <w:tcW w:w="5231" w:type="dxa"/>
            <w:vMerge w:val="restart"/>
            <w:tcBorders/>
            <w:shd w:fill="F2F2F2"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Phase 1 AI data center conversion design work initiated, targeting to complete by Q4 ’26.</w:t>
            </w:r>
          </w:p>
        </w:tc>
      </w:tr>
      <w:tr>
        <w:trPr/>
        <w:tc>
          <w:tcPr>
            <w:tcW w:w="255" w:type="dxa"/>
            <w:tcBorders/>
            <w:shd w:fill="F2F2F2" w:val="cle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3)</w:t>
            </w:r>
          </w:p>
        </w:tc>
        <w:tc>
          <w:tcPr>
            <w:tcW w:w="1163" w:type="dxa"/>
            <w:tcBorders/>
            <w:shd w:fill="F2F2F2"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Knoxville, TN – phase 2</w:t>
            </w:r>
          </w:p>
        </w:tc>
        <w:tc>
          <w:tcPr>
            <w:tcW w:w="661" w:type="dxa"/>
            <w:tcBorders/>
            <w:shd w:fill="F2F2F2"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49</w:t>
            </w:r>
          </w:p>
        </w:tc>
        <w:tc>
          <w:tcPr>
            <w:tcW w:w="1284" w:type="dxa"/>
            <w:tcBorders/>
            <w:shd w:fill="F2F2F2"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Q1 ’27</w:t>
            </w:r>
          </w:p>
        </w:tc>
        <w:tc>
          <w:tcPr>
            <w:tcW w:w="1611" w:type="dxa"/>
            <w:vMerge w:val="continue"/>
            <w:tcBorders/>
            <w:shd w:fill="F2F2F2" w:val="clear"/>
            <w:vAlign w:val="center"/>
          </w:tcPr>
          <w:p>
            <w:pPr>
              <w:pStyle w:val="Normal"/>
              <w:bidi w:val="0"/>
              <w:jc w:val="left"/>
              <w:rPr/>
            </w:pPr>
            <w:r>
              <w:rPr/>
            </w:r>
          </w:p>
        </w:tc>
        <w:tc>
          <w:tcPr>
            <w:tcW w:w="5231" w:type="dxa"/>
            <w:vMerge w:val="continue"/>
            <w:tcBorders/>
            <w:shd w:fill="F2F2F2" w:val="clear"/>
            <w:vAlign w:val="center"/>
          </w:tcPr>
          <w:p>
            <w:pPr>
              <w:pStyle w:val="Normal"/>
              <w:bidi w:val="0"/>
              <w:jc w:val="left"/>
              <w:rPr/>
            </w:pPr>
            <w:r>
              <w:rPr/>
            </w:r>
          </w:p>
        </w:tc>
      </w:tr>
      <w:tr>
        <w:trPr/>
        <w:tc>
          <w:tcPr>
            <w:tcW w:w="255" w:type="dxa"/>
            <w:tcBorders/>
            <w:shd w:fill="FFFFFF" w:val="cle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4)</w:t>
            </w:r>
          </w:p>
        </w:tc>
        <w:tc>
          <w:tcPr>
            <w:tcW w:w="1163"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Wenatchee, WA</w:t>
            </w:r>
          </w:p>
        </w:tc>
        <w:tc>
          <w:tcPr>
            <w:tcW w:w="661"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13</w:t>
            </w:r>
          </w:p>
        </w:tc>
        <w:tc>
          <w:tcPr>
            <w:tcW w:w="1284"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Q4 ’26</w:t>
            </w:r>
          </w:p>
        </w:tc>
        <w:tc>
          <w:tcPr>
            <w:tcW w:w="161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Crypto to AI Cloud</w:t>
            </w:r>
          </w:p>
        </w:tc>
        <w:tc>
          <w:tcPr>
            <w:tcW w:w="523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AI data center design documents and building permit application submitted for approval. Core equipment is being delivered in succession; we plan to begin with a GB300 cluster. Dismantling of the crypto mining datacenter started in March 2026. Completion targeted by Q4 ’26 – early 2027. </w:t>
            </w:r>
          </w:p>
        </w:tc>
      </w:tr>
      <w:tr>
        <w:trPr/>
        <w:tc>
          <w:tcPr>
            <w:tcW w:w="255" w:type="dxa"/>
            <w:tcBorders/>
            <w:shd w:fill="F2F2F2" w:val="cle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5)</w:t>
            </w:r>
          </w:p>
        </w:tc>
        <w:tc>
          <w:tcPr>
            <w:tcW w:w="1163" w:type="dxa"/>
            <w:tcBorders/>
            <w:shd w:fill="F2F2F2"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Molde, Norway</w:t>
            </w:r>
          </w:p>
        </w:tc>
        <w:tc>
          <w:tcPr>
            <w:tcW w:w="661" w:type="dxa"/>
            <w:tcBorders/>
            <w:shd w:fill="F2F2F2"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84</w:t>
            </w:r>
          </w:p>
        </w:tc>
        <w:tc>
          <w:tcPr>
            <w:tcW w:w="1284" w:type="dxa"/>
            <w:tcBorders/>
            <w:shd w:fill="F2F2F2" w:val="clear"/>
            <w:vAlign w:val="center"/>
          </w:tcPr>
          <w:p>
            <w:pPr>
              <w:pStyle w:val="TableContents"/>
              <w:bidi w:val="0"/>
              <w:spacing w:before="0" w:after="283"/>
              <w:jc w:val="both"/>
              <w:rPr>
                <w:rFonts w:ascii="Times New Roman;Times;Serif" w:hAnsi="Times New Roman;Times;Serif"/>
                <w:color w:val="4EA72E"/>
                <w:sz w:val="20"/>
              </w:rPr>
            </w:pPr>
            <w:r>
              <w:rPr>
                <w:rFonts w:ascii="Times New Roman;Times;Serif" w:hAnsi="Times New Roman;Times;Serif"/>
                <w:color w:val="4EA72E"/>
                <w:sz w:val="20"/>
              </w:rPr>
              <w:t>Online</w:t>
            </w:r>
          </w:p>
        </w:tc>
        <w:tc>
          <w:tcPr>
            <w:tcW w:w="1611" w:type="dxa"/>
            <w:tcBorders/>
            <w:shd w:fill="F2F2F2"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Crypto and in early assessment of converting to AI Cloud</w:t>
            </w:r>
          </w:p>
        </w:tc>
        <w:tc>
          <w:tcPr>
            <w:tcW w:w="5231" w:type="dxa"/>
            <w:tcBorders/>
            <w:shd w:fill="F2F2F2" w:val="clear"/>
            <w:vAlign w:val="center"/>
          </w:tcPr>
          <w:p>
            <w:pPr>
              <w:pStyle w:val="TableContents"/>
              <w:bidi w:val="0"/>
              <w:spacing w:before="0" w:after="283"/>
              <w:jc w:val="left"/>
              <w:rPr/>
            </w:pPr>
            <w:r>
              <w:rPr/>
              <w:t> </w:t>
            </w:r>
          </w:p>
        </w:tc>
      </w:tr>
      <w:tr>
        <w:trPr/>
        <w:tc>
          <w:tcPr>
            <w:tcW w:w="255" w:type="dxa"/>
            <w:tcBorders/>
            <w:shd w:fill="FFFFFF" w:val="cle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6)</w:t>
            </w:r>
          </w:p>
        </w:tc>
        <w:tc>
          <w:tcPr>
            <w:tcW w:w="1163"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Tydal, Norway – phase 1</w:t>
            </w:r>
          </w:p>
        </w:tc>
        <w:tc>
          <w:tcPr>
            <w:tcW w:w="661"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50</w:t>
            </w:r>
          </w:p>
        </w:tc>
        <w:tc>
          <w:tcPr>
            <w:tcW w:w="1284"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Q4 ’26</w:t>
            </w:r>
          </w:p>
        </w:tc>
        <w:tc>
          <w:tcPr>
            <w:tcW w:w="1611" w:type="dxa"/>
            <w:vMerge w:val="restart"/>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Crypto to Colocation</w:t>
            </w:r>
          </w:p>
        </w:tc>
        <w:tc>
          <w:tcPr>
            <w:tcW w:w="5231" w:type="dxa"/>
            <w:vMerge w:val="restart"/>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Planning and design continue to advance. Orders for critical long-lead equipment have been placed on an ongoing basis. Engaged Data Center Installations AS as Bitdeer’s design and construction partner for Tydal AI datacenter conversion.</w:t>
            </w:r>
          </w:p>
        </w:tc>
      </w:tr>
      <w:tr>
        <w:trPr/>
        <w:tc>
          <w:tcPr>
            <w:tcW w:w="25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7)</w:t>
            </w:r>
          </w:p>
        </w:tc>
        <w:tc>
          <w:tcPr>
            <w:tcW w:w="11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Tydal, Norway – phase 2</w:t>
            </w:r>
          </w:p>
        </w:tc>
        <w:tc>
          <w:tcPr>
            <w:tcW w:w="66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175</w:t>
            </w:r>
          </w:p>
        </w:tc>
        <w:tc>
          <w:tcPr>
            <w:tcW w:w="128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Q4 ’26</w:t>
            </w:r>
          </w:p>
        </w:tc>
        <w:tc>
          <w:tcPr>
            <w:tcW w:w="1611" w:type="dxa"/>
            <w:vMerge w:val="continue"/>
            <w:tcBorders/>
            <w:vAlign w:val="center"/>
          </w:tcPr>
          <w:p>
            <w:pPr>
              <w:pStyle w:val="Normal"/>
              <w:bidi w:val="0"/>
              <w:jc w:val="left"/>
              <w:rPr/>
            </w:pPr>
            <w:r>
              <w:rPr/>
            </w:r>
          </w:p>
        </w:tc>
        <w:tc>
          <w:tcPr>
            <w:tcW w:w="5231" w:type="dxa"/>
            <w:vMerge w:val="continue"/>
            <w:tcBorders/>
            <w:vAlign w:val="center"/>
          </w:tcPr>
          <w:p>
            <w:pPr>
              <w:pStyle w:val="Normal"/>
              <w:bidi w:val="0"/>
              <w:jc w:val="left"/>
              <w:rPr/>
            </w:pPr>
            <w:r>
              <w:rPr/>
            </w:r>
          </w:p>
        </w:tc>
      </w:tr>
      <w:tr>
        <w:trPr/>
        <w:tc>
          <w:tcPr>
            <w:tcW w:w="255" w:type="dxa"/>
            <w:tcBorders/>
            <w:shd w:fill="F2F2F2" w:val="cle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8)</w:t>
            </w:r>
          </w:p>
        </w:tc>
        <w:tc>
          <w:tcPr>
            <w:tcW w:w="1163" w:type="dxa"/>
            <w:tcBorders/>
            <w:shd w:fill="F2F2F2"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Gedu, Bhutan</w:t>
            </w:r>
          </w:p>
        </w:tc>
        <w:tc>
          <w:tcPr>
            <w:tcW w:w="661" w:type="dxa"/>
            <w:tcBorders/>
            <w:shd w:fill="F2F2F2"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100</w:t>
            </w:r>
          </w:p>
        </w:tc>
        <w:tc>
          <w:tcPr>
            <w:tcW w:w="1284" w:type="dxa"/>
            <w:tcBorders/>
            <w:shd w:fill="F2F2F2" w:val="clear"/>
            <w:vAlign w:val="center"/>
          </w:tcPr>
          <w:p>
            <w:pPr>
              <w:pStyle w:val="TableContents"/>
              <w:bidi w:val="0"/>
              <w:spacing w:before="0" w:after="283"/>
              <w:jc w:val="both"/>
              <w:rPr>
                <w:rFonts w:ascii="Times New Roman;Times;Serif" w:hAnsi="Times New Roman;Times;Serif"/>
                <w:color w:val="4EA72E"/>
                <w:sz w:val="20"/>
              </w:rPr>
            </w:pPr>
            <w:r>
              <w:rPr>
                <w:rFonts w:ascii="Times New Roman;Times;Serif" w:hAnsi="Times New Roman;Times;Serif"/>
                <w:color w:val="4EA72E"/>
                <w:sz w:val="20"/>
              </w:rPr>
              <w:t>Online</w:t>
            </w:r>
          </w:p>
        </w:tc>
        <w:tc>
          <w:tcPr>
            <w:tcW w:w="1611" w:type="dxa"/>
            <w:tcBorders/>
            <w:shd w:fill="F2F2F2"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Crypto</w:t>
            </w:r>
          </w:p>
        </w:tc>
        <w:tc>
          <w:tcPr>
            <w:tcW w:w="5231" w:type="dxa"/>
            <w:tcBorders/>
            <w:shd w:fill="F2F2F2" w:val="clear"/>
            <w:vAlign w:val="center"/>
          </w:tcPr>
          <w:p>
            <w:pPr>
              <w:pStyle w:val="TableContents"/>
              <w:bidi w:val="0"/>
              <w:spacing w:before="0" w:after="283"/>
              <w:jc w:val="left"/>
              <w:rPr/>
            </w:pPr>
            <w:r>
              <w:rPr/>
              <w:t> </w:t>
            </w:r>
          </w:p>
        </w:tc>
      </w:tr>
      <w:tr>
        <w:trPr/>
        <w:tc>
          <w:tcPr>
            <w:tcW w:w="25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9)</w:t>
            </w:r>
          </w:p>
        </w:tc>
        <w:tc>
          <w:tcPr>
            <w:tcW w:w="11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Jigmeling, Bhutan</w:t>
            </w:r>
          </w:p>
        </w:tc>
        <w:tc>
          <w:tcPr>
            <w:tcW w:w="66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500</w:t>
            </w:r>
          </w:p>
        </w:tc>
        <w:tc>
          <w:tcPr>
            <w:tcW w:w="1284" w:type="dxa"/>
            <w:tcBorders/>
            <w:vAlign w:val="center"/>
          </w:tcPr>
          <w:p>
            <w:pPr>
              <w:pStyle w:val="TableContents"/>
              <w:bidi w:val="0"/>
              <w:spacing w:before="0" w:after="283"/>
              <w:jc w:val="both"/>
              <w:rPr>
                <w:rFonts w:ascii="Times New Roman;Times;Serif" w:hAnsi="Times New Roman;Times;Serif"/>
                <w:color w:val="4EA72E"/>
                <w:sz w:val="20"/>
              </w:rPr>
            </w:pPr>
            <w:r>
              <w:rPr>
                <w:rFonts w:ascii="Times New Roman;Times;Serif" w:hAnsi="Times New Roman;Times;Serif"/>
                <w:color w:val="4EA72E"/>
                <w:sz w:val="20"/>
              </w:rPr>
              <w:t>Online</w:t>
            </w:r>
          </w:p>
        </w:tc>
        <w:tc>
          <w:tcPr>
            <w:tcW w:w="16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Crypto</w:t>
            </w:r>
          </w:p>
        </w:tc>
        <w:tc>
          <w:tcPr>
            <w:tcW w:w="5231" w:type="dxa"/>
            <w:tcBorders/>
            <w:vAlign w:val="center"/>
          </w:tcPr>
          <w:p>
            <w:pPr>
              <w:pStyle w:val="TableContents"/>
              <w:bidi w:val="0"/>
              <w:spacing w:before="0" w:after="283"/>
              <w:jc w:val="left"/>
              <w:rPr/>
            </w:pPr>
            <w:r>
              <w:rPr/>
              <w:t> </w:t>
            </w:r>
          </w:p>
        </w:tc>
      </w:tr>
      <w:tr>
        <w:trPr/>
        <w:tc>
          <w:tcPr>
            <w:tcW w:w="255" w:type="dxa"/>
            <w:tcBorders/>
            <w:shd w:fill="F2F2F2" w:val="cle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10)</w:t>
            </w:r>
          </w:p>
        </w:tc>
        <w:tc>
          <w:tcPr>
            <w:tcW w:w="1163" w:type="dxa"/>
            <w:tcBorders/>
            <w:shd w:fill="F2F2F2"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Oromia Region, Ethiopia</w:t>
            </w:r>
          </w:p>
        </w:tc>
        <w:tc>
          <w:tcPr>
            <w:tcW w:w="661" w:type="dxa"/>
            <w:tcBorders/>
            <w:shd w:fill="F2F2F2"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50</w:t>
            </w:r>
          </w:p>
        </w:tc>
        <w:tc>
          <w:tcPr>
            <w:tcW w:w="1284" w:type="dxa"/>
            <w:tcBorders/>
            <w:shd w:fill="F2F2F2" w:val="clear"/>
            <w:vAlign w:val="center"/>
          </w:tcPr>
          <w:p>
            <w:pPr>
              <w:pStyle w:val="TableContents"/>
              <w:bidi w:val="0"/>
              <w:spacing w:before="0" w:after="283"/>
              <w:jc w:val="both"/>
              <w:rPr>
                <w:rFonts w:ascii="Times New Roman;Times;Serif" w:hAnsi="Times New Roman;Times;Serif"/>
                <w:color w:val="4EA72E"/>
                <w:sz w:val="20"/>
              </w:rPr>
            </w:pPr>
            <w:r>
              <w:rPr>
                <w:rFonts w:ascii="Times New Roman;Times;Serif" w:hAnsi="Times New Roman;Times;Serif"/>
                <w:color w:val="4EA72E"/>
                <w:sz w:val="20"/>
              </w:rPr>
              <w:t>Online</w:t>
            </w:r>
          </w:p>
        </w:tc>
        <w:tc>
          <w:tcPr>
            <w:tcW w:w="1611" w:type="dxa"/>
            <w:tcBorders/>
            <w:shd w:fill="F2F2F2"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Crypto</w:t>
            </w:r>
          </w:p>
        </w:tc>
        <w:tc>
          <w:tcPr>
            <w:tcW w:w="5231" w:type="dxa"/>
            <w:tcBorders/>
            <w:shd w:fill="F2F2F2" w:val="clear"/>
            <w:vAlign w:val="center"/>
          </w:tcPr>
          <w:p>
            <w:pPr>
              <w:pStyle w:val="TableContents"/>
              <w:bidi w:val="0"/>
              <w:spacing w:before="0" w:after="283"/>
              <w:jc w:val="left"/>
              <w:rPr/>
            </w:pPr>
            <w:r>
              <w:rPr/>
              <w:t> </w:t>
            </w:r>
          </w:p>
        </w:tc>
      </w:tr>
      <w:tr>
        <w:trPr/>
        <w:tc>
          <w:tcPr>
            <w:tcW w:w="25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11)</w:t>
            </w:r>
          </w:p>
        </w:tc>
        <w:tc>
          <w:tcPr>
            <w:tcW w:w="11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Massillon, OH</w:t>
            </w:r>
          </w:p>
        </w:tc>
        <w:tc>
          <w:tcPr>
            <w:tcW w:w="66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174</w:t>
            </w:r>
          </w:p>
        </w:tc>
        <w:tc>
          <w:tcPr>
            <w:tcW w:w="1284" w:type="dxa"/>
            <w:tcBorders/>
            <w:vAlign w:val="center"/>
          </w:tcPr>
          <w:p>
            <w:pPr>
              <w:pStyle w:val="TableContents"/>
              <w:bidi w:val="0"/>
              <w:spacing w:before="0" w:after="283"/>
              <w:jc w:val="both"/>
              <w:rPr>
                <w:rFonts w:ascii="Times New Roman;Times;Serif" w:hAnsi="Times New Roman;Times;Serif"/>
                <w:color w:val="4EA72E"/>
                <w:sz w:val="20"/>
              </w:rPr>
            </w:pPr>
            <w:r>
              <w:rPr>
                <w:rFonts w:ascii="Times New Roman;Times;Serif" w:hAnsi="Times New Roman;Times;Serif"/>
                <w:color w:val="4EA72E"/>
                <w:sz w:val="20"/>
              </w:rPr>
              <w:t>Online</w:t>
            </w:r>
          </w:p>
        </w:tc>
        <w:tc>
          <w:tcPr>
            <w:tcW w:w="16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Crypto</w:t>
            </w:r>
          </w:p>
        </w:tc>
        <w:tc>
          <w:tcPr>
            <w:tcW w:w="5231" w:type="dxa"/>
            <w:tcBorders/>
            <w:vAlign w:val="center"/>
          </w:tcPr>
          <w:p>
            <w:pPr>
              <w:pStyle w:val="TableContents"/>
              <w:bidi w:val="0"/>
              <w:spacing w:before="0" w:after="283"/>
              <w:jc w:val="left"/>
              <w:rPr/>
            </w:pPr>
            <w:r>
              <w:rPr/>
              <w:t> </w:t>
            </w:r>
          </w:p>
        </w:tc>
      </w:tr>
      <w:tr>
        <w:trPr/>
        <w:tc>
          <w:tcPr>
            <w:tcW w:w="255" w:type="dxa"/>
            <w:tcBorders/>
            <w:shd w:fill="F2F2F2" w:val="cle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12)</w:t>
            </w:r>
          </w:p>
        </w:tc>
        <w:tc>
          <w:tcPr>
            <w:tcW w:w="1163" w:type="dxa"/>
            <w:tcBorders/>
            <w:shd w:fill="F2F2F2"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Cyberjaya, Malaysia</w:t>
            </w:r>
            <w:r>
              <w:rPr>
                <w:rFonts w:ascii="Times New Roman;Times;Serif" w:hAnsi="Times New Roman;Times;Serif"/>
                <w:position w:val="7"/>
                <w:sz w:val="16"/>
                <w:sz w:val="20"/>
              </w:rPr>
              <w:t>11</w:t>
            </w:r>
          </w:p>
        </w:tc>
        <w:tc>
          <w:tcPr>
            <w:tcW w:w="661" w:type="dxa"/>
            <w:tcBorders/>
            <w:shd w:fill="F2F2F2"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w:t>
            </w:r>
          </w:p>
        </w:tc>
        <w:tc>
          <w:tcPr>
            <w:tcW w:w="1284" w:type="dxa"/>
            <w:tcBorders/>
            <w:shd w:fill="F2F2F2" w:val="clear"/>
            <w:vAlign w:val="center"/>
          </w:tcPr>
          <w:p>
            <w:pPr>
              <w:pStyle w:val="TableContents"/>
              <w:bidi w:val="0"/>
              <w:spacing w:before="0" w:after="283"/>
              <w:jc w:val="both"/>
              <w:rPr>
                <w:rFonts w:ascii="Times New Roman;Times;Serif" w:hAnsi="Times New Roman;Times;Serif"/>
                <w:color w:val="4EA72E"/>
                <w:sz w:val="20"/>
              </w:rPr>
            </w:pPr>
            <w:r>
              <w:rPr>
                <w:rFonts w:ascii="Times New Roman;Times;Serif" w:hAnsi="Times New Roman;Times;Serif"/>
                <w:color w:val="4EA72E"/>
                <w:sz w:val="20"/>
              </w:rPr>
              <w:t>Online</w:t>
            </w:r>
          </w:p>
        </w:tc>
        <w:tc>
          <w:tcPr>
            <w:tcW w:w="1611" w:type="dxa"/>
            <w:tcBorders/>
            <w:shd w:fill="F2F2F2"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AI Cloud</w:t>
            </w:r>
          </w:p>
        </w:tc>
        <w:tc>
          <w:tcPr>
            <w:tcW w:w="5231" w:type="dxa"/>
            <w:tcBorders/>
            <w:shd w:fill="F2F2F2" w:val="clear"/>
            <w:vAlign w:val="center"/>
          </w:tcPr>
          <w:p>
            <w:pPr>
              <w:pStyle w:val="TableContents"/>
              <w:bidi w:val="0"/>
              <w:spacing w:before="0" w:after="283"/>
              <w:jc w:val="both"/>
              <w:rPr/>
            </w:pPr>
            <w:r>
              <w:rPr/>
              <w:t> </w:t>
            </w:r>
          </w:p>
        </w:tc>
      </w:tr>
      <w:tr>
        <w:trPr/>
        <w:tc>
          <w:tcPr>
            <w:tcW w:w="1418" w:type="dxa"/>
            <w:gridSpan w:val="2"/>
            <w:tcBorders>
              <w:bottom w:val="single" w:sz="8" w:space="0" w:color="000000"/>
            </w:tcBorders>
            <w:shd w:fill="FFFFFF" w:val="clear"/>
            <w:tcMar>
              <w:bottom w:w="28"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Online Electrical Subtotal:</w:t>
            </w:r>
          </w:p>
        </w:tc>
        <w:tc>
          <w:tcPr>
            <w:tcW w:w="661" w:type="dxa"/>
            <w:tcBorders>
              <w:bottom w:val="single" w:sz="8" w:space="0" w:color="000000"/>
            </w:tcBorders>
            <w:shd w:fill="FFFFFF" w:val="clear"/>
            <w:tcMar>
              <w:bottom w:w="28"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1,797</w:t>
            </w:r>
          </w:p>
        </w:tc>
        <w:tc>
          <w:tcPr>
            <w:tcW w:w="1284" w:type="dxa"/>
            <w:tcBorders>
              <w:bottom w:val="single" w:sz="8" w:space="0" w:color="000000"/>
            </w:tcBorders>
            <w:shd w:fill="FFFFFF" w:val="clear"/>
            <w:tcMar>
              <w:bottom w:w="28" w:type="dxa"/>
            </w:tcMar>
            <w:vAlign w:val="center"/>
          </w:tcPr>
          <w:p>
            <w:pPr>
              <w:pStyle w:val="TableContents"/>
              <w:bidi w:val="0"/>
              <w:spacing w:before="0" w:after="283"/>
              <w:jc w:val="both"/>
              <w:rPr/>
            </w:pPr>
            <w:r>
              <w:rPr/>
              <w:t> </w:t>
            </w:r>
          </w:p>
        </w:tc>
        <w:tc>
          <w:tcPr>
            <w:tcW w:w="161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231" w:type="dxa"/>
            <w:tcBorders>
              <w:bottom w:val="single" w:sz="8" w:space="0" w:color="000000"/>
            </w:tcBorders>
            <w:shd w:fill="FFFFFF" w:val="clear"/>
            <w:tcMar>
              <w:bottom w:w="28" w:type="dxa"/>
            </w:tcMar>
            <w:vAlign w:val="center"/>
          </w:tcPr>
          <w:p>
            <w:pPr>
              <w:pStyle w:val="TableContents"/>
              <w:bidi w:val="0"/>
              <w:spacing w:before="0" w:after="283"/>
              <w:jc w:val="both"/>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1047750" cy="6953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047750" cy="6953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4"/>
        <w:gridCol w:w="1209"/>
        <w:gridCol w:w="635"/>
        <w:gridCol w:w="757"/>
        <w:gridCol w:w="1271"/>
        <w:gridCol w:w="6179"/>
      </w:tblGrid>
      <w:tr>
        <w:trPr/>
        <w:tc>
          <w:tcPr>
            <w:tcW w:w="1363" w:type="dxa"/>
            <w:gridSpan w:val="2"/>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Pipeline Electrical Capacity:</w:t>
            </w:r>
          </w:p>
        </w:tc>
        <w:tc>
          <w:tcPr>
            <w:tcW w:w="635" w:type="dxa"/>
            <w:tcBorders/>
            <w:vAlign w:val="center"/>
          </w:tcPr>
          <w:p>
            <w:pPr>
              <w:pStyle w:val="TableContents"/>
              <w:bidi w:val="0"/>
              <w:spacing w:before="0" w:after="283"/>
              <w:jc w:val="both"/>
              <w:rPr/>
            </w:pPr>
            <w:r>
              <w:rPr/>
              <w:t> </w:t>
            </w:r>
          </w:p>
        </w:tc>
        <w:tc>
          <w:tcPr>
            <w:tcW w:w="757" w:type="dxa"/>
            <w:tcBorders/>
            <w:vAlign w:val="center"/>
          </w:tcPr>
          <w:p>
            <w:pPr>
              <w:pStyle w:val="TableContents"/>
              <w:bidi w:val="0"/>
              <w:spacing w:before="0" w:after="283"/>
              <w:jc w:val="both"/>
              <w:rPr/>
            </w:pPr>
            <w:r>
              <w:rPr/>
              <w:t> </w:t>
            </w:r>
          </w:p>
        </w:tc>
        <w:tc>
          <w:tcPr>
            <w:tcW w:w="1271" w:type="dxa"/>
            <w:tcBorders/>
            <w:vAlign w:val="center"/>
          </w:tcPr>
          <w:p>
            <w:pPr>
              <w:pStyle w:val="TableContents"/>
              <w:bidi w:val="0"/>
              <w:spacing w:before="0" w:after="283"/>
              <w:jc w:val="both"/>
              <w:rPr/>
            </w:pPr>
            <w:r>
              <w:rPr/>
              <w:t> </w:t>
            </w:r>
          </w:p>
        </w:tc>
        <w:tc>
          <w:tcPr>
            <w:tcW w:w="6179" w:type="dxa"/>
            <w:tcBorders/>
            <w:vAlign w:val="center"/>
          </w:tcPr>
          <w:p>
            <w:pPr>
              <w:pStyle w:val="TableContents"/>
              <w:bidi w:val="0"/>
              <w:spacing w:before="0" w:after="283"/>
              <w:jc w:val="both"/>
              <w:rPr/>
            </w:pPr>
            <w:r>
              <w:rPr/>
              <w:t> </w:t>
            </w:r>
          </w:p>
        </w:tc>
      </w:tr>
      <w:tr>
        <w:trPr/>
        <w:tc>
          <w:tcPr>
            <w:tcW w:w="1363" w:type="dxa"/>
            <w:gridSpan w:val="2"/>
            <w:tcBorders/>
            <w:vAlign w:val="center"/>
          </w:tcPr>
          <w:p>
            <w:pPr>
              <w:pStyle w:val="TableContents"/>
              <w:bidi w:val="0"/>
              <w:spacing w:before="0" w:after="283"/>
              <w:jc w:val="both"/>
              <w:rPr/>
            </w:pPr>
            <w:r>
              <w:rPr/>
              <w:t> </w:t>
            </w:r>
          </w:p>
        </w:tc>
        <w:tc>
          <w:tcPr>
            <w:tcW w:w="635" w:type="dxa"/>
            <w:tcBorders/>
            <w:vAlign w:val="center"/>
          </w:tcPr>
          <w:p>
            <w:pPr>
              <w:pStyle w:val="TableContents"/>
              <w:bidi w:val="0"/>
              <w:spacing w:before="0" w:after="283"/>
              <w:jc w:val="both"/>
              <w:rPr/>
            </w:pPr>
            <w:r>
              <w:rPr/>
              <w:t> </w:t>
            </w:r>
          </w:p>
        </w:tc>
        <w:tc>
          <w:tcPr>
            <w:tcW w:w="757" w:type="dxa"/>
            <w:tcBorders/>
            <w:vAlign w:val="center"/>
          </w:tcPr>
          <w:p>
            <w:pPr>
              <w:pStyle w:val="TableContents"/>
              <w:bidi w:val="0"/>
              <w:spacing w:before="0" w:after="283"/>
              <w:jc w:val="both"/>
              <w:rPr/>
            </w:pPr>
            <w:r>
              <w:rPr/>
              <w:t> </w:t>
            </w:r>
          </w:p>
        </w:tc>
        <w:tc>
          <w:tcPr>
            <w:tcW w:w="1271" w:type="dxa"/>
            <w:tcBorders/>
            <w:vAlign w:val="center"/>
          </w:tcPr>
          <w:p>
            <w:pPr>
              <w:pStyle w:val="TableContents"/>
              <w:bidi w:val="0"/>
              <w:spacing w:before="0" w:after="283"/>
              <w:jc w:val="both"/>
              <w:rPr/>
            </w:pPr>
            <w:r>
              <w:rPr/>
              <w:t> </w:t>
            </w:r>
          </w:p>
        </w:tc>
        <w:tc>
          <w:tcPr>
            <w:tcW w:w="6179" w:type="dxa"/>
            <w:tcBorders/>
            <w:vAlign w:val="center"/>
          </w:tcPr>
          <w:p>
            <w:pPr>
              <w:pStyle w:val="TableContents"/>
              <w:bidi w:val="0"/>
              <w:spacing w:before="0" w:after="283"/>
              <w:jc w:val="both"/>
              <w:rPr/>
            </w:pPr>
            <w:r>
              <w:rPr/>
              <w:t> </w:t>
            </w:r>
          </w:p>
        </w:tc>
      </w:tr>
      <w:tr>
        <w:trPr/>
        <w:tc>
          <w:tcPr>
            <w:tcW w:w="154" w:type="dxa"/>
            <w:tcBorders/>
            <w:shd w:fill="F2F2F2" w:val="cle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1)</w:t>
            </w:r>
          </w:p>
        </w:tc>
        <w:tc>
          <w:tcPr>
            <w:tcW w:w="1209" w:type="dxa"/>
            <w:tcBorders/>
            <w:shd w:fill="F2F2F2"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Massillon, OH</w:t>
            </w:r>
          </w:p>
        </w:tc>
        <w:tc>
          <w:tcPr>
            <w:tcW w:w="635" w:type="dxa"/>
            <w:tcBorders/>
            <w:shd w:fill="F2F2F2"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21 / 26</w:t>
            </w:r>
          </w:p>
        </w:tc>
        <w:tc>
          <w:tcPr>
            <w:tcW w:w="757" w:type="dxa"/>
            <w:tcBorders/>
            <w:shd w:fill="F2F2F2"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Q3 ’26</w:t>
            </w:r>
          </w:p>
        </w:tc>
        <w:tc>
          <w:tcPr>
            <w:tcW w:w="1271" w:type="dxa"/>
            <w:tcBorders/>
            <w:shd w:fill="F2F2F2"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Crypto</w:t>
            </w:r>
          </w:p>
        </w:tc>
        <w:tc>
          <w:tcPr>
            <w:tcW w:w="6179" w:type="dxa"/>
            <w:tcBorders/>
            <w:shd w:fill="F2F2F2"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Due to delivery delays for key electrical components, 21 MW is expected to be energized in phases during Q3 ’26. Reconstruction of the two fire-damaged buildings (26MW) is currently underway and expected to be rebuilt and energized by the end of Q3’ 26. A significant portion of the reconstruction cost has now been successfully recovered through the supplier’s insurance coverage.</w:t>
            </w:r>
          </w:p>
        </w:tc>
      </w:tr>
      <w:tr>
        <w:trPr/>
        <w:tc>
          <w:tcPr>
            <w:tcW w:w="154"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2)</w:t>
            </w:r>
          </w:p>
        </w:tc>
        <w:tc>
          <w:tcPr>
            <w:tcW w:w="120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Clarington, OH</w:t>
            </w:r>
          </w:p>
        </w:tc>
        <w:tc>
          <w:tcPr>
            <w:tcW w:w="6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570</w:t>
            </w:r>
          </w:p>
        </w:tc>
        <w:tc>
          <w:tcPr>
            <w:tcW w:w="7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 be updated</w:t>
            </w:r>
          </w:p>
        </w:tc>
        <w:tc>
          <w:tcPr>
            <w:tcW w:w="127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Colocation / Crypto</w:t>
            </w:r>
          </w:p>
        </w:tc>
        <w:tc>
          <w:tcPr>
            <w:tcW w:w="61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570 MW of power under contract with a local utility. Timing of power availability and construction may be affected by ongoing legal proceedings filed by a neighboring company, American Heavy Plate Solutions, LLC., which is under extensive influence from MHR, a New York based PE firm founded by Mark H. Rachesky. Design and other preparation work continues.</w:t>
            </w:r>
          </w:p>
        </w:tc>
      </w:tr>
      <w:tr>
        <w:trPr/>
        <w:tc>
          <w:tcPr>
            <w:tcW w:w="154" w:type="dxa"/>
            <w:tcBorders/>
            <w:shd w:fill="F2F2F2" w:val="cle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3)</w:t>
            </w:r>
          </w:p>
        </w:tc>
        <w:tc>
          <w:tcPr>
            <w:tcW w:w="1209" w:type="dxa"/>
            <w:tcBorders/>
            <w:shd w:fill="F2F2F2"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Niles, OH</w:t>
            </w:r>
          </w:p>
        </w:tc>
        <w:tc>
          <w:tcPr>
            <w:tcW w:w="635" w:type="dxa"/>
            <w:tcBorders/>
            <w:shd w:fill="F2F2F2"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300</w:t>
            </w:r>
          </w:p>
        </w:tc>
        <w:tc>
          <w:tcPr>
            <w:tcW w:w="757" w:type="dxa"/>
            <w:tcBorders/>
            <w:shd w:fill="F2F2F2"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Q4 ’28</w:t>
            </w:r>
          </w:p>
        </w:tc>
        <w:tc>
          <w:tcPr>
            <w:tcW w:w="1271" w:type="dxa"/>
            <w:tcBorders/>
            <w:shd w:fill="F2F2F2"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Colocation / AI Cloud</w:t>
            </w:r>
          </w:p>
        </w:tc>
        <w:tc>
          <w:tcPr>
            <w:tcW w:w="6179" w:type="dxa"/>
            <w:tcBorders/>
            <w:shd w:fill="F2F2F2"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300 MW grid-interconnected development site, with target energization in Q4 ’28. The project includes 41.8 acres of owned land and a transmission line extension agreement with a local utility company.</w:t>
            </w:r>
          </w:p>
        </w:tc>
      </w:tr>
      <w:tr>
        <w:trPr/>
        <w:tc>
          <w:tcPr>
            <w:tcW w:w="154"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4)</w:t>
            </w:r>
          </w:p>
        </w:tc>
        <w:tc>
          <w:tcPr>
            <w:tcW w:w="120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Rockdale, TX</w:t>
            </w:r>
          </w:p>
        </w:tc>
        <w:tc>
          <w:tcPr>
            <w:tcW w:w="6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179</w:t>
            </w:r>
          </w:p>
        </w:tc>
        <w:tc>
          <w:tcPr>
            <w:tcW w:w="7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2026</w:t>
            </w:r>
          </w:p>
        </w:tc>
        <w:tc>
          <w:tcPr>
            <w:tcW w:w="127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Crypto / Colocation / AI Cloud</w:t>
            </w:r>
          </w:p>
        </w:tc>
        <w:tc>
          <w:tcPr>
            <w:tcW w:w="61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In Planning </w:t>
            </w:r>
          </w:p>
        </w:tc>
      </w:tr>
      <w:tr>
        <w:trPr/>
        <w:tc>
          <w:tcPr>
            <w:tcW w:w="154" w:type="dxa"/>
            <w:tcBorders/>
            <w:shd w:fill="F2F2F2" w:val="cle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5)</w:t>
            </w:r>
          </w:p>
        </w:tc>
        <w:tc>
          <w:tcPr>
            <w:tcW w:w="1209" w:type="dxa"/>
            <w:tcBorders/>
            <w:shd w:fill="F2F2F2"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Fox Creek, Alberta, Canada</w:t>
            </w:r>
          </w:p>
        </w:tc>
        <w:tc>
          <w:tcPr>
            <w:tcW w:w="635" w:type="dxa"/>
            <w:tcBorders/>
            <w:shd w:fill="F2F2F2"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101</w:t>
            </w:r>
          </w:p>
        </w:tc>
        <w:tc>
          <w:tcPr>
            <w:tcW w:w="757" w:type="dxa"/>
            <w:tcBorders/>
            <w:shd w:fill="F2F2F2"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Q3 ’27</w:t>
            </w:r>
          </w:p>
        </w:tc>
        <w:tc>
          <w:tcPr>
            <w:tcW w:w="1271" w:type="dxa"/>
            <w:tcBorders/>
            <w:shd w:fill="F2F2F2"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Crypto</w:t>
            </w:r>
          </w:p>
        </w:tc>
        <w:tc>
          <w:tcPr>
            <w:tcW w:w="6179" w:type="dxa"/>
            <w:tcBorders/>
            <w:shd w:fill="F2F2F2"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101 MW site acquired, fully licensed and permitted for the construction of an on-site natural gas power plant. Energization time is now expected for Q3 2027. Data center design accommodating both AIDC and crypto is currently underway, following the power plant groundbreaking in June 2026. </w:t>
            </w:r>
          </w:p>
        </w:tc>
      </w:tr>
      <w:tr>
        <w:trPr/>
        <w:tc>
          <w:tcPr>
            <w:tcW w:w="154"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6)</w:t>
            </w:r>
          </w:p>
        </w:tc>
        <w:tc>
          <w:tcPr>
            <w:tcW w:w="120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Cyberjaya, Malaysia</w:t>
            </w:r>
            <w:r>
              <w:rPr>
                <w:rFonts w:ascii="Times New Roman;Times;Serif" w:hAnsi="Times New Roman;Times;Serif"/>
                <w:position w:val="7"/>
                <w:sz w:val="16"/>
                <w:sz w:val="20"/>
              </w:rPr>
              <w:t>11</w:t>
            </w:r>
          </w:p>
        </w:tc>
        <w:tc>
          <w:tcPr>
            <w:tcW w:w="6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9.5</w:t>
            </w:r>
          </w:p>
        </w:tc>
        <w:tc>
          <w:tcPr>
            <w:tcW w:w="7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Q4 ’26</w:t>
            </w:r>
          </w:p>
        </w:tc>
        <w:tc>
          <w:tcPr>
            <w:tcW w:w="127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AI Cloud</w:t>
            </w:r>
          </w:p>
        </w:tc>
        <w:tc>
          <w:tcPr>
            <w:tcW w:w="61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 Progress</w:t>
            </w:r>
          </w:p>
        </w:tc>
      </w:tr>
      <w:tr>
        <w:trPr/>
        <w:tc>
          <w:tcPr>
            <w:tcW w:w="154" w:type="dxa"/>
            <w:tcBorders/>
            <w:shd w:fill="F2F2F2" w:val="cle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7)</w:t>
            </w:r>
          </w:p>
        </w:tc>
        <w:tc>
          <w:tcPr>
            <w:tcW w:w="1209" w:type="dxa"/>
            <w:tcBorders/>
            <w:shd w:fill="F2F2F2"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Johor Bahru, Malaysia</w:t>
            </w:r>
            <w:r>
              <w:rPr>
                <w:rFonts w:ascii="Times New Roman;Times;Serif" w:hAnsi="Times New Roman;Times;Serif"/>
                <w:position w:val="7"/>
                <w:sz w:val="16"/>
                <w:sz w:val="20"/>
              </w:rPr>
              <w:t>11</w:t>
            </w:r>
          </w:p>
        </w:tc>
        <w:tc>
          <w:tcPr>
            <w:tcW w:w="635" w:type="dxa"/>
            <w:tcBorders/>
            <w:shd w:fill="F2F2F2"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21.7</w:t>
            </w:r>
          </w:p>
        </w:tc>
        <w:tc>
          <w:tcPr>
            <w:tcW w:w="757" w:type="dxa"/>
            <w:tcBorders/>
            <w:shd w:fill="F2F2F2"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Q1’27</w:t>
            </w:r>
          </w:p>
        </w:tc>
        <w:tc>
          <w:tcPr>
            <w:tcW w:w="1271" w:type="dxa"/>
            <w:tcBorders/>
            <w:shd w:fill="F2F2F2"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AI Cloud</w:t>
            </w:r>
          </w:p>
        </w:tc>
        <w:tc>
          <w:tcPr>
            <w:tcW w:w="6179" w:type="dxa"/>
            <w:tcBorders/>
            <w:shd w:fill="F2F2F2"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10-year lease agreement signed for new data center to provide 21.7 MW of IT capacity, with handover to Bitdeer expected Q1 2027. Facility planned to support deployment of 128 NVIDIA GB300 NVL72 systems.</w:t>
            </w:r>
          </w:p>
        </w:tc>
      </w:tr>
      <w:tr>
        <w:trPr/>
        <w:tc>
          <w:tcPr>
            <w:tcW w:w="1363" w:type="dxa"/>
            <w:gridSpan w:val="2"/>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Pipeline Electrical Subtotal:</w:t>
            </w:r>
          </w:p>
        </w:tc>
        <w:tc>
          <w:tcPr>
            <w:tcW w:w="63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1,228.2</w:t>
            </w:r>
          </w:p>
        </w:tc>
        <w:tc>
          <w:tcPr>
            <w:tcW w:w="757" w:type="dxa"/>
            <w:tcBorders/>
            <w:vAlign w:val="center"/>
          </w:tcPr>
          <w:p>
            <w:pPr>
              <w:pStyle w:val="TableContents"/>
              <w:bidi w:val="0"/>
              <w:spacing w:before="0" w:after="283"/>
              <w:jc w:val="both"/>
              <w:rPr/>
            </w:pPr>
            <w:r>
              <w:rPr/>
              <w:t> </w:t>
            </w:r>
          </w:p>
        </w:tc>
        <w:tc>
          <w:tcPr>
            <w:tcW w:w="1271" w:type="dxa"/>
            <w:tcBorders/>
            <w:vAlign w:val="center"/>
          </w:tcPr>
          <w:p>
            <w:pPr>
              <w:pStyle w:val="TableContents"/>
              <w:bidi w:val="0"/>
              <w:spacing w:before="0" w:after="283"/>
              <w:jc w:val="left"/>
              <w:rPr/>
            </w:pPr>
            <w:r>
              <w:rPr/>
              <w:t> </w:t>
            </w:r>
          </w:p>
        </w:tc>
        <w:tc>
          <w:tcPr>
            <w:tcW w:w="6179" w:type="dxa"/>
            <w:tcBorders/>
            <w:vAlign w:val="center"/>
          </w:tcPr>
          <w:p>
            <w:pPr>
              <w:pStyle w:val="TableContents"/>
              <w:bidi w:val="0"/>
              <w:spacing w:before="0" w:after="283"/>
              <w:jc w:val="both"/>
              <w:rPr/>
            </w:pPr>
            <w:r>
              <w:rPr/>
              <w:t> </w:t>
            </w:r>
          </w:p>
        </w:tc>
      </w:tr>
      <w:tr>
        <w:trPr/>
        <w:tc>
          <w:tcPr>
            <w:tcW w:w="1363" w:type="dxa"/>
            <w:gridSpan w:val="2"/>
            <w:tcBorders>
              <w:bottom w:val="single" w:sz="8" w:space="0" w:color="000000"/>
            </w:tcBorders>
            <w:shd w:fill="F2F2F2" w:val="clear"/>
            <w:tcMar>
              <w:bottom w:w="28"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Total Global Electrical Capacity:</w:t>
            </w:r>
          </w:p>
        </w:tc>
        <w:tc>
          <w:tcPr>
            <w:tcW w:w="635" w:type="dxa"/>
            <w:tcBorders>
              <w:bottom w:val="single" w:sz="8" w:space="0" w:color="000000"/>
            </w:tcBorders>
            <w:shd w:fill="F2F2F2" w:val="clear"/>
            <w:tcMar>
              <w:bottom w:w="28"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3,025.2</w:t>
            </w:r>
          </w:p>
        </w:tc>
        <w:tc>
          <w:tcPr>
            <w:tcW w:w="757" w:type="dxa"/>
            <w:tcBorders>
              <w:bottom w:val="single" w:sz="8" w:space="0" w:color="000000"/>
            </w:tcBorders>
            <w:shd w:fill="F2F2F2" w:val="clear"/>
            <w:tcMar>
              <w:bottom w:w="28" w:type="dxa"/>
            </w:tcMar>
            <w:vAlign w:val="center"/>
          </w:tcPr>
          <w:p>
            <w:pPr>
              <w:pStyle w:val="TableContents"/>
              <w:bidi w:val="0"/>
              <w:spacing w:before="0" w:after="283"/>
              <w:jc w:val="both"/>
              <w:rPr/>
            </w:pPr>
            <w:r>
              <w:rPr/>
              <w:t> </w:t>
            </w:r>
          </w:p>
        </w:tc>
        <w:tc>
          <w:tcPr>
            <w:tcW w:w="1271" w:type="dxa"/>
            <w:tcBorders>
              <w:bottom w:val="single" w:sz="8" w:space="0" w:color="000000"/>
            </w:tcBorders>
            <w:shd w:fill="F2F2F2" w:val="clear"/>
            <w:tcMar>
              <w:bottom w:w="28" w:type="dxa"/>
            </w:tcMar>
            <w:vAlign w:val="center"/>
          </w:tcPr>
          <w:p>
            <w:pPr>
              <w:pStyle w:val="TableContents"/>
              <w:bidi w:val="0"/>
              <w:spacing w:before="0" w:after="283"/>
              <w:jc w:val="both"/>
              <w:rPr/>
            </w:pPr>
            <w:r>
              <w:rPr/>
              <w:t> </w:t>
            </w:r>
          </w:p>
        </w:tc>
        <w:tc>
          <w:tcPr>
            <w:tcW w:w="6179" w:type="dxa"/>
            <w:tcBorders>
              <w:bottom w:val="single" w:sz="8" w:space="0" w:color="000000"/>
            </w:tcBorders>
            <w:shd w:fill="F2F2F2" w:val="clear"/>
            <w:tcMar>
              <w:bottom w:w="28" w:type="dxa"/>
            </w:tcMar>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1047750" cy="6953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047750" cy="69532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Footnotes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position w:val="8"/>
                <w:sz w:val="19"/>
              </w:rPr>
            </w:pPr>
            <w:r>
              <w:rPr>
                <w:position w:val="8"/>
                <w:sz w:val="19"/>
              </w:rPr>
              <w:t>1</w:t>
            </w:r>
          </w:p>
        </w:tc>
        <w:tc>
          <w:tcPr>
            <w:tcW w:w="10065" w:type="dxa"/>
            <w:tcBorders/>
            <w:vAlign w:val="center"/>
          </w:tcPr>
          <w:p>
            <w:pPr>
              <w:pStyle w:val="TableContents"/>
              <w:bidi w:val="0"/>
              <w:spacing w:before="0" w:after="283"/>
              <w:jc w:val="both"/>
              <w:rPr/>
            </w:pPr>
            <w:r>
              <w:rPr>
                <w:b/>
              </w:rPr>
              <w:t xml:space="preserve">Self-Mining (Operated in self-owned datacenters) </w:t>
            </w:r>
            <w:r>
              <w:rPr/>
              <w:t>refers to cryptocurrency mining for Bitdeer’s own account, whereby its mining rigs are operated in self-owned datacenters</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position w:val="8"/>
                <w:sz w:val="19"/>
              </w:rPr>
            </w:pPr>
            <w:r>
              <w:rPr>
                <w:position w:val="8"/>
                <w:sz w:val="19"/>
              </w:rPr>
              <w:t>2</w:t>
            </w:r>
          </w:p>
        </w:tc>
        <w:tc>
          <w:tcPr>
            <w:tcW w:w="10065" w:type="dxa"/>
            <w:tcBorders/>
            <w:vAlign w:val="center"/>
          </w:tcPr>
          <w:p>
            <w:pPr>
              <w:pStyle w:val="TableContents"/>
              <w:bidi w:val="0"/>
              <w:spacing w:before="0" w:after="283"/>
              <w:jc w:val="both"/>
              <w:rPr/>
            </w:pPr>
            <w:r>
              <w:rPr>
                <w:b/>
              </w:rPr>
              <w:t>Co-mining (Operated by 3</w:t>
            </w:r>
            <w:r>
              <w:rPr>
                <w:b/>
                <w:position w:val="8"/>
                <w:sz w:val="19"/>
              </w:rPr>
              <w:t>rd</w:t>
            </w:r>
            <w:r>
              <w:rPr>
                <w:b/>
              </w:rPr>
              <w:t xml:space="preserve"> party datacenters) </w:t>
            </w:r>
            <w:r>
              <w:rPr/>
              <w:t>refers to cryptocurrency mining for Bitdeer’s own account, whereby its mining rigs are operated by third-party datacenters</w:t>
            </w:r>
          </w:p>
        </w:tc>
      </w:tr>
    </w:tbl>
    <w:tbl>
      <w:tblPr>
        <w:tblW w:w="7750" w:type="dxa"/>
        <w:jc w:val="left"/>
        <w:tblInd w:w="0" w:type="dxa"/>
        <w:tblLayout w:type="fixed"/>
        <w:tblCellMar>
          <w:top w:w="0" w:type="dxa"/>
          <w:left w:w="0" w:type="dxa"/>
          <w:bottom w:w="0" w:type="dxa"/>
          <w:right w:w="0" w:type="dxa"/>
        </w:tblCellMar>
      </w:tblPr>
      <w:tblGrid>
        <w:gridCol w:w="140"/>
        <w:gridCol w:w="7610"/>
      </w:tblGrid>
      <w:tr>
        <w:trPr/>
        <w:tc>
          <w:tcPr>
            <w:tcW w:w="140" w:type="dxa"/>
            <w:tcBorders/>
            <w:vAlign w:val="center"/>
          </w:tcPr>
          <w:p>
            <w:pPr>
              <w:pStyle w:val="TableContents"/>
              <w:bidi w:val="0"/>
              <w:spacing w:before="0" w:after="283"/>
              <w:jc w:val="left"/>
              <w:rPr>
                <w:position w:val="8"/>
                <w:sz w:val="19"/>
              </w:rPr>
            </w:pPr>
            <w:r>
              <w:rPr>
                <w:position w:val="8"/>
                <w:sz w:val="19"/>
              </w:rPr>
              <w:t>3</w:t>
            </w:r>
          </w:p>
        </w:tc>
        <w:tc>
          <w:tcPr>
            <w:tcW w:w="7610" w:type="dxa"/>
            <w:tcBorders/>
            <w:vAlign w:val="center"/>
          </w:tcPr>
          <w:p>
            <w:pPr>
              <w:pStyle w:val="TableContents"/>
              <w:bidi w:val="0"/>
              <w:spacing w:before="0" w:after="283"/>
              <w:jc w:val="both"/>
              <w:rPr/>
            </w:pPr>
            <w:r>
              <w:rPr/>
              <w:t>Includes BTC from self-mining operations and BTC from co-mining operations.</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position w:val="8"/>
                <w:sz w:val="19"/>
              </w:rPr>
            </w:pPr>
            <w:r>
              <w:rPr>
                <w:position w:val="8"/>
                <w:sz w:val="19"/>
              </w:rPr>
              <w:t>4</w:t>
            </w:r>
          </w:p>
        </w:tc>
        <w:tc>
          <w:tcPr>
            <w:tcW w:w="10065" w:type="dxa"/>
            <w:tcBorders/>
            <w:vAlign w:val="center"/>
          </w:tcPr>
          <w:p>
            <w:pPr>
              <w:pStyle w:val="TableContents"/>
              <w:bidi w:val="0"/>
              <w:spacing w:before="0" w:after="283"/>
              <w:jc w:val="both"/>
              <w:rPr/>
            </w:pPr>
            <w:r>
              <w:rPr>
                <w:b/>
              </w:rPr>
              <w:t xml:space="preserve">Other Proprietary Hash Rate </w:t>
            </w:r>
            <w:r>
              <w:rPr/>
              <w:t>includes the hashrate from Bitdeer’s cloud hashrate business, mining rigs delivered in the crypto mining datacenters but not deployed and the mining rigs temporarily offline due to limited economic benefit.</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position w:val="8"/>
                <w:sz w:val="19"/>
              </w:rPr>
            </w:pPr>
            <w:r>
              <w:rPr>
                <w:position w:val="8"/>
                <w:sz w:val="19"/>
              </w:rPr>
              <w:t>5</w:t>
            </w:r>
          </w:p>
        </w:tc>
        <w:tc>
          <w:tcPr>
            <w:tcW w:w="10065" w:type="dxa"/>
            <w:tcBorders/>
            <w:vAlign w:val="center"/>
          </w:tcPr>
          <w:p>
            <w:pPr>
              <w:pStyle w:val="TableContents"/>
              <w:bidi w:val="0"/>
              <w:spacing w:before="0" w:after="283"/>
              <w:jc w:val="both"/>
              <w:rPr/>
            </w:pPr>
            <w:r>
              <w:rPr>
                <w:b/>
              </w:rPr>
              <w:t xml:space="preserve">Hosting </w:t>
            </w:r>
            <w:r>
              <w:rPr/>
              <w:t>encompasses a one-stop mining machine hosting solution including deployment, maintenance, and management services for efficient cryptocurrency mining.</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position w:val="8"/>
                <w:sz w:val="19"/>
              </w:rPr>
            </w:pPr>
            <w:r>
              <w:rPr>
                <w:position w:val="8"/>
                <w:sz w:val="19"/>
              </w:rPr>
              <w:t>6</w:t>
            </w:r>
          </w:p>
        </w:tc>
        <w:tc>
          <w:tcPr>
            <w:tcW w:w="10065" w:type="dxa"/>
            <w:tcBorders/>
            <w:vAlign w:val="center"/>
          </w:tcPr>
          <w:p>
            <w:pPr>
              <w:pStyle w:val="TableContents"/>
              <w:bidi w:val="0"/>
              <w:spacing w:before="0" w:after="283"/>
              <w:jc w:val="both"/>
              <w:rPr/>
            </w:pPr>
            <w:r>
              <w:rPr>
                <w:b/>
              </w:rPr>
              <w:t xml:space="preserve">Total hash rate under management </w:t>
            </w:r>
            <w:r>
              <w:rPr/>
              <w:t>as of June 30, 2026, across Bitdeer’s primary business lines: Self-mining, Cloud Hash Rate, and Hosting.</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position w:val="8"/>
                <w:sz w:val="19"/>
              </w:rPr>
            </w:pPr>
            <w:r>
              <w:rPr>
                <w:position w:val="8"/>
                <w:sz w:val="19"/>
              </w:rPr>
              <w:t>7</w:t>
            </w:r>
          </w:p>
        </w:tc>
        <w:tc>
          <w:tcPr>
            <w:tcW w:w="10065" w:type="dxa"/>
            <w:tcBorders/>
            <w:vAlign w:val="center"/>
          </w:tcPr>
          <w:p>
            <w:pPr>
              <w:pStyle w:val="TableContents"/>
              <w:bidi w:val="0"/>
              <w:spacing w:before="0" w:after="283"/>
              <w:jc w:val="both"/>
              <w:rPr/>
            </w:pPr>
            <w:r>
              <w:rPr>
                <w:b/>
              </w:rPr>
              <w:t xml:space="preserve">Bitcoins held </w:t>
            </w:r>
            <w:r>
              <w:rPr/>
              <w:t>does not include Bitcoins from customer deposits but does include Bitcoins that are pledged as collateral by us.</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position w:val="8"/>
                <w:sz w:val="19"/>
              </w:rPr>
            </w:pPr>
            <w:r>
              <w:rPr>
                <w:position w:val="8"/>
                <w:sz w:val="19"/>
              </w:rPr>
              <w:t>8</w:t>
            </w:r>
          </w:p>
        </w:tc>
        <w:tc>
          <w:tcPr>
            <w:tcW w:w="10065" w:type="dxa"/>
            <w:tcBorders/>
            <w:vAlign w:val="center"/>
          </w:tcPr>
          <w:p>
            <w:pPr>
              <w:pStyle w:val="TableContents"/>
              <w:bidi w:val="0"/>
              <w:spacing w:before="0" w:after="283"/>
              <w:jc w:val="both"/>
              <w:rPr/>
            </w:pPr>
            <w:r>
              <w:rPr>
                <w:b/>
              </w:rPr>
              <w:t xml:space="preserve">Utilization Rate </w:t>
            </w:r>
            <w:r>
              <w:rPr/>
              <w:t>as of the last day of the respective month is calculated as the total number of GPUs under internal and external orders divided by the total number of deployed GPUs.</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position w:val="8"/>
                <w:sz w:val="19"/>
              </w:rPr>
            </w:pPr>
            <w:r>
              <w:rPr>
                <w:position w:val="8"/>
                <w:sz w:val="19"/>
              </w:rPr>
              <w:t>9</w:t>
            </w:r>
          </w:p>
        </w:tc>
        <w:tc>
          <w:tcPr>
            <w:tcW w:w="10065" w:type="dxa"/>
            <w:tcBorders/>
            <w:vAlign w:val="center"/>
          </w:tcPr>
          <w:p>
            <w:pPr>
              <w:pStyle w:val="TableContents"/>
              <w:bidi w:val="0"/>
              <w:spacing w:before="0" w:after="283"/>
              <w:jc w:val="both"/>
              <w:rPr/>
            </w:pPr>
            <w:r>
              <w:rPr>
                <w:b/>
              </w:rPr>
              <w:t>ARR</w:t>
            </w:r>
            <w:r>
              <w:rPr/>
              <w:t xml:space="preserve"> as of the last day of the respective month is calculated by multiplying the daily revenue generated from all contractually obligated GPU orders on that specific day by 365. This metric provides an annualized view of the revenue run-rate based on active contracts at the end of the reporting period.</w:t>
            </w:r>
          </w:p>
        </w:tc>
      </w:tr>
    </w:tbl>
    <w:tbl>
      <w:tblPr>
        <w:tblW w:w="9595" w:type="dxa"/>
        <w:jc w:val="left"/>
        <w:tblInd w:w="0" w:type="dxa"/>
        <w:tblLayout w:type="fixed"/>
        <w:tblCellMar>
          <w:top w:w="0" w:type="dxa"/>
          <w:left w:w="0" w:type="dxa"/>
          <w:bottom w:w="0" w:type="dxa"/>
          <w:right w:w="0" w:type="dxa"/>
        </w:tblCellMar>
      </w:tblPr>
      <w:tblGrid>
        <w:gridCol w:w="245"/>
        <w:gridCol w:w="9350"/>
      </w:tblGrid>
      <w:tr>
        <w:trPr/>
        <w:tc>
          <w:tcPr>
            <w:tcW w:w="245" w:type="dxa"/>
            <w:tcBorders/>
            <w:vAlign w:val="center"/>
          </w:tcPr>
          <w:p>
            <w:pPr>
              <w:pStyle w:val="TableContents"/>
              <w:bidi w:val="0"/>
              <w:spacing w:before="0" w:after="283"/>
              <w:jc w:val="left"/>
              <w:rPr>
                <w:position w:val="8"/>
                <w:sz w:val="19"/>
              </w:rPr>
            </w:pPr>
            <w:r>
              <w:rPr>
                <w:position w:val="8"/>
                <w:sz w:val="19"/>
              </w:rPr>
              <w:t>10</w:t>
            </w:r>
          </w:p>
        </w:tc>
        <w:tc>
          <w:tcPr>
            <w:tcW w:w="9350" w:type="dxa"/>
            <w:tcBorders/>
            <w:vAlign w:val="center"/>
          </w:tcPr>
          <w:p>
            <w:pPr>
              <w:pStyle w:val="TableContents"/>
              <w:bidi w:val="0"/>
              <w:spacing w:before="0" w:after="283"/>
              <w:jc w:val="both"/>
              <w:rPr/>
            </w:pPr>
            <w:r>
              <w:rPr/>
              <w:t>Indicative timing for completion of power. All timing references are to calendar quarters and years.</w:t>
            </w:r>
          </w:p>
        </w:tc>
      </w:tr>
    </w:tbl>
    <w:tbl>
      <w:tblPr>
        <w:tblW w:w="3535" w:type="dxa"/>
        <w:jc w:val="left"/>
        <w:tblInd w:w="0" w:type="dxa"/>
        <w:tblLayout w:type="fixed"/>
        <w:tblCellMar>
          <w:top w:w="0" w:type="dxa"/>
          <w:left w:w="0" w:type="dxa"/>
          <w:bottom w:w="0" w:type="dxa"/>
          <w:right w:w="0" w:type="dxa"/>
        </w:tblCellMar>
      </w:tblPr>
      <w:tblGrid>
        <w:gridCol w:w="245"/>
        <w:gridCol w:w="3290"/>
      </w:tblGrid>
      <w:tr>
        <w:trPr/>
        <w:tc>
          <w:tcPr>
            <w:tcW w:w="245" w:type="dxa"/>
            <w:tcBorders/>
            <w:vAlign w:val="center"/>
          </w:tcPr>
          <w:p>
            <w:pPr>
              <w:pStyle w:val="TableContents"/>
              <w:bidi w:val="0"/>
              <w:spacing w:before="0" w:after="283"/>
              <w:jc w:val="left"/>
              <w:rPr>
                <w:position w:val="8"/>
                <w:sz w:val="19"/>
              </w:rPr>
            </w:pPr>
            <w:r>
              <w:rPr>
                <w:position w:val="8"/>
                <w:sz w:val="19"/>
              </w:rPr>
              <w:t>11</w:t>
            </w:r>
          </w:p>
        </w:tc>
        <w:tc>
          <w:tcPr>
            <w:tcW w:w="3290" w:type="dxa"/>
            <w:tcBorders/>
            <w:vAlign w:val="center"/>
          </w:tcPr>
          <w:p>
            <w:pPr>
              <w:pStyle w:val="TableContents"/>
              <w:bidi w:val="0"/>
              <w:spacing w:before="0" w:after="283"/>
              <w:jc w:val="both"/>
              <w:rPr/>
            </w:pPr>
            <w:r>
              <w:rPr/>
              <w:t>Capacity under lease arrangement.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Bitdeer Technologies Group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Bitdeer is a world-leading technology company for AI and Bitcoin mining infrastructure. Bitdeer is committed to providing comprehensive Bitcoin mining solutions for its customers and building AI computational infrastructure to support the AI revolution. Bitdeer handles complex processes involved in computing such as equipment procurement, transport logistics, data center design and construction, equipment management, and daily operations. Bitdeer also offers advanced cloud capabilities to customers with high demand for artificial intelligence. Headquartered in Singapore, Bitdeer has deployed data centers across multiple countries, including the United States, Norway, Bhutan, and Ethiopia. To learn more, visit https://ir.bitdeer.com/ or follow Bitdeer on X</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Bitdeer and LinkedIn @Bitdeer.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and others should note that Bitdeer may announce material information using its website and/or on its accounts on social media platforms, including X, formerly known as Twitter, Facebook, and LinkedIn. Therefore, Bitdeer encourages investors and others to review the information it posts on social media and other communication channels listed on its website.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 w:right="72"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Statements in this press release about future expectations, plans, and prospects, as well as any other statements regarding matters that are not historical facts, may constitute “forward-looking statements” within the meaning of The Private Securities Litigation Reform Act of 1995. The words “anticipate,” “look forward to,” “believe,” “continue,” “could,” “estimate,” “expect,” “intend,” “may,” “plan,” “potential,” “predict,” “project,” “should,” “target,” “will,” “would” and similar expressions are intended to identify forward-looking statements, although not all forward-looking statements contain these identifying words. Actual results may differ materially from those indicated by such forward-looking statements as a result of various important factors, including factors discussed in the section entitled “Risk Factors” in Bitdeer’s annual report on Form 20-F, as well as discussions of potential risks, uncertainties, and other important factors in Bitdeer’s subsequent filings with the U.S. Securities and Exchange Commission. Any forward-looking statements contained in this press release speak only as of the date hereof. Bitdeer specifically disclaims any obligation to update any forward-looking statement, whether due to new information, future events, or otherwise. Readers should not rely upon the information on this page as current or accurate after its publication date.</w:t>
      </w:r>
    </w:p>
    <w:p>
      <w:pPr>
        <w:pStyle w:val="TextBody"/>
        <w:bidi w:val="0"/>
        <w:spacing w:before="0" w:after="0"/>
        <w:ind w:left="72" w:right="72"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investor and media inquiries, please contact: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Tesh Dahya, Head of Investor Relations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tesh.dahya@bitdeer.com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Elev8 New Media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Jessica Starman, MBA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bitdeer@elev8newmedia.com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1908</Words>
  <Characters>10807</Characters>
  <CharactersWithSpaces>12546</CharactersWithSpaces>
  <Paragraphs>436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