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G11448100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Tether Holdings, S.A. de C.V.</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Final Av. La Revolucion, Edif. Centro, Corporativo Presidente Plaza, Nivel 12</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San Salvador, H3, 00000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443333355842</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Daniel Woodard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McDermott Will &amp; Emery LLP, One Vanderbilt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547-5400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04/21/2025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G11448100</w:t>
      </w:r>
    </w:p>
    <w:p>
      <w:pPr>
        <w:sectPr>
          <w:pgSz w:w="11900" w:h="16838" w:orient="portrait"/>
          <w:cols w:equalWidth="0" w:num="1">
            <w:col w:w="11240"/>
          </w:cols>
          <w:pgMar w:left="320" w:top="866" w:right="339" w:bottom="0" w:gutter="0" w:footer="0" w:header="0"/>
          <w:type w:val="continuous"/>
        </w:sectPr>
      </w:pPr>
    </w:p>
    <w:bookmarkStart w:id="1" w:name="page2"/>
    <w:bookmarkEnd w:id="1"/>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Tether Holdings, S.A. de C.V.</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EL SALVADOR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38,066,689.00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38,066,689.00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38,066,689.00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25.5 %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639" w:right="339" w:bottom="0" w:gutter="0" w:footer="0" w:header="0"/>
        </w:sectPr>
      </w:pPr>
    </w:p>
    <w:p>
      <w:pPr>
        <w:spacing w:after="0" w:line="2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Note in relation to Items 8, 10 and 11: Includes (i) 14,292,702 Class A ordinary shares, par value $0.0000001 per share ("Class A Shares") of Bitdeer Technologies Group held by Tether Investments, S.A. de C.V., a wholly owned subsidiary of Tether Holdings, S.A. de C.V, (ii) 18,587,360 Class A Shares held by Tether International, S.A. de C.V., a</w:t>
      </w:r>
    </w:p>
    <w:p>
      <w:pPr>
        <w:spacing w:after="0" w:line="2" w:lineRule="exact"/>
        <w:rPr>
          <w:sz w:val="20"/>
          <w:szCs w:val="20"/>
          <w:color w:val="auto"/>
        </w:rPr>
      </w:pPr>
    </w:p>
    <w:p>
      <w:pPr>
        <w:sectPr>
          <w:pgSz w:w="11900" w:h="16838" w:orient="portrait"/>
          <w:cols w:equalWidth="0" w:num="2">
            <w:col w:w="820" w:space="100"/>
            <w:col w:w="10320"/>
          </w:cols>
          <w:pgMar w:left="320" w:top="639" w:right="339" w:bottom="0" w:gutter="0" w:footer="0" w:header="0"/>
          <w:type w:val="continuous"/>
        </w:sectPr>
      </w:pPr>
    </w:p>
    <w:p>
      <w:pPr>
        <w:spacing w:after="0" w:line="18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wholly owned subsidiary of Tether Holdings, S.A. de C.V., and (iii) 5,186,627 Class A Shares that may be acquired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upon the exercise of the warrants held by Tether International, S.A. de C.V. Note in relation to Item 13: This</w:t>
      </w:r>
    </w:p>
    <w:p>
      <w:pPr>
        <w:spacing w:after="0" w:line="2" w:lineRule="exact"/>
        <w:rPr>
          <w:sz w:val="20"/>
          <w:szCs w:val="20"/>
          <w:color w:val="auto"/>
        </w:rPr>
      </w:pP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percentage is calculated based upon 149,286,361 Class A Shares outstanding, which include (i) 144,099,734 Class A Shares outstanding as of January 2, 2025, and (ii) 5,186,627 Class A Shares that may be acquired upon the exercise of the warrants held by Tether International, S.A. de C.V.</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G11448100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Tether International, S.A. de C.V.</w:t>
      </w:r>
    </w:p>
    <w:p>
      <w:pPr>
        <w:sectPr>
          <w:pgSz w:w="11900" w:h="16838" w:orient="portrait"/>
          <w:cols w:equalWidth="0" w:num="1">
            <w:col w:w="11240"/>
          </w:cols>
          <w:pgMar w:left="320" w:top="639" w:right="339" w:bottom="0" w:gutter="0" w:footer="0" w:header="0"/>
          <w:type w:val="continuous"/>
        </w:sectPr>
      </w:pPr>
    </w:p>
    <w:bookmarkStart w:id="2" w:name="page3"/>
    <w:bookmarkEnd w:id="2"/>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4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EL SALVADOR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23,773,987.00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23,773,987.00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23,773,987.00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15.9 %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in relation to Items 8, 10 and 11: Includes (i)</w:t>
            </w:r>
          </w:p>
        </w:tc>
        <w:tc>
          <w:tcPr>
            <w:tcW w:w="5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18,587,360 Class A Shares held by Tether International, S.A. de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466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C.V. and (ii) 5,186,627 Class A Shares that may</w:t>
            </w:r>
          </w:p>
        </w:tc>
        <w:tc>
          <w:tcPr>
            <w:tcW w:w="57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be acquired upon the exercise of the warrants held by Tether</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International, S.A. de C.V. Note in relation to Item 13: This percentage is calculated based upon 149,286,361 Class A</w:t>
            </w:r>
          </w:p>
        </w:tc>
      </w:tr>
    </w:tbl>
    <w:p>
      <w:pPr>
        <w:jc w:val="both"/>
        <w:spacing w:after="0" w:line="187" w:lineRule="auto"/>
        <w:rPr>
          <w:sz w:val="20"/>
          <w:szCs w:val="20"/>
          <w:color w:val="auto"/>
        </w:rPr>
      </w:pPr>
      <w:r>
        <w:rPr>
          <w:rFonts w:ascii="Times New Roman" w:cs="Times New Roman" w:eastAsia="Times New Roman" w:hAnsi="Times New Roman"/>
          <w:sz w:val="37"/>
          <w:szCs w:val="37"/>
          <w:b w:val="1"/>
          <w:bCs w:val="1"/>
          <w:color w:val="auto"/>
          <w:vertAlign w:val="superscript"/>
        </w:rPr>
        <w:t>Reporting</w:t>
      </w:r>
      <w:r>
        <w:rPr>
          <w:rFonts w:ascii="Times New Roman" w:cs="Times New Roman" w:eastAsia="Times New Roman" w:hAnsi="Times New Roman"/>
          <w:sz w:val="21"/>
          <w:szCs w:val="21"/>
          <w:color w:val="auto"/>
        </w:rPr>
        <w:t xml:space="preserve"> Shares outstanding, which include (i) 144,099,734 Class A Shares outstanding as of January 2, 2025, and (ii) </w:t>
      </w:r>
      <w:r>
        <w:rPr>
          <w:rFonts w:ascii="Times New Roman" w:cs="Times New Roman" w:eastAsia="Times New Roman" w:hAnsi="Times New Roman"/>
          <w:sz w:val="37"/>
          <w:szCs w:val="37"/>
          <w:b w:val="1"/>
          <w:bCs w:val="1"/>
          <w:color w:val="auto"/>
          <w:vertAlign w:val="superscript"/>
        </w:rPr>
        <w:t>Person:</w:t>
      </w:r>
      <w:r>
        <w:rPr>
          <w:rFonts w:ascii="Times New Roman" w:cs="Times New Roman" w:eastAsia="Times New Roman" w:hAnsi="Times New Roman"/>
          <w:sz w:val="21"/>
          <w:szCs w:val="21"/>
          <w:color w:val="auto"/>
        </w:rPr>
        <w:t xml:space="preserve"> 5,186,627 Class A Shares that may be acquired upon the exercise of the warrants held by Tether International, S.A. de</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C.V.</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G11448100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Tether Investments, S.A. de C.V.</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111" w:right="339" w:bottom="0" w:gutter="0" w:footer="0" w:header="0"/>
        </w:sectPr>
      </w:pPr>
    </w:p>
    <w:bookmarkStart w:id="3" w:name="page4"/>
    <w:bookmarkEnd w:id="3"/>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WC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 SALVADOR</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14,292,702.00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14,292,702.00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14,292,702.00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9" w:orient="portrait"/>
          <w:cols w:equalWidth="0" w:num="2">
            <w:col w:w="1100" w:space="60"/>
            <w:col w:w="10080"/>
          </w:cols>
          <w:pgMar w:left="320" w:top="112" w:right="339" w:bottom="0" w:gutter="0" w:footer="0" w:header="0"/>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0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Note in relation to Item 13: This percentage is calculated based upon 144,099,734 Class A Shares</w:t>
            </w:r>
          </w:p>
        </w:tc>
      </w:tr>
      <w:tr>
        <w:trPr>
          <w:trHeight w:val="292"/>
        </w:trPr>
        <w:tc>
          <w:tcPr>
            <w:tcW w:w="22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0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outstanding as of January 2, 2025.</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G11448100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Giancarlo Devasini</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WC</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ITALY</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81"/>
        </w:trPr>
        <w:tc>
          <w:tcPr>
            <w:tcW w:w="1100" w:type="dxa"/>
            <w:vAlign w:val="bottom"/>
          </w:tcPr>
          <w:p>
            <w:pPr>
              <w:spacing w:after="0"/>
              <w:rPr>
                <w:sz w:val="7"/>
                <w:szCs w:val="7"/>
                <w:color w:val="auto"/>
              </w:rPr>
            </w:pPr>
          </w:p>
        </w:tc>
        <w:tc>
          <w:tcPr>
            <w:tcW w:w="7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-1344295</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49" w:orient="portrait"/>
          <w:cols w:equalWidth="0" w:num="1">
            <w:col w:w="11240"/>
          </w:cols>
          <w:pgMar w:left="320" w:top="112" w:right="339" w:bottom="0" w:gutter="0" w:footer="0" w:header="0"/>
          <w:type w:val="continuous"/>
        </w:sectPr>
      </w:pPr>
    </w:p>
    <w:bookmarkStart w:id="4" w:name="page5"/>
    <w:bookmarkEnd w:id="4"/>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38,066,689.00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38,066,689.00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38,066,689.00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25.5 %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in relation to Items 8, 10 and 11: Includes (i) 14,292,702 Class A ordinary shares, par value $0.0000001 per share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("Class A Shares") of Bitdeer Technologies Group held by Tether Investments, S.A. de C.V., a wholly owned</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subsidiary of Tether Holdings, S.A. de C.V, (ii) 18,587,360 Class A Shares held by Tether International, S.A. de C.V., a</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wholly owned subsidiary of Tether Holdings, S.A. de C.V., and (iii) 5,186,627 Class A Shares that may be acquired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upon the exercise of the warrants held by Tether International, S.A. de C.V. Mr. Devasini has a greater than 50% voting</w:t>
      </w:r>
    </w:p>
    <w:p>
      <w:pPr>
        <w:spacing w:after="0" w:line="2"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interest in Tether Holdings, S.A. de C.V. The reporting person disclaims beneficial ownership of these shares except to the extent of the reporting person's pecuniary interest. Note in relation to Item 13: This percentage is calculated based upon 149,286,361 Class A Shares outstanding, which include (i) 144,099,734 Class A Shares outstanding as of January 2, 2025, and (ii) 5,186,627 Class A Shares that may be acquired upon the exercise of the warrants held by Tether International, S.A. de C.V.</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ordinary shares, par value $0.0000001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BITDEER TECHNOLOGIES GROUP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08 Kallang Avenue, Aperia Tower 1, #09-03/04, Singapore, SINGAPORE , 339509.</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statement on Schedule 13D amends the Schedule 13D of Tether Holdings Limited, a British Virgin Islands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business company, Tether International Limited, a British Virgin Islands business company, Ludovicus Jan Van 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Velde and Giancarlo Devasini that was originally filed with the Securities and Exchange Commission on June 6, 2024, as amended by Amendment No. 1 filed on August 8, 2024, Amendment No. 2 filed on September 3, 2024, Amendment No. 3 filed on November 7, 2024, Amendment No. 4 filed on January 22, 2025, Amendment No. 5 filed on March 17, 2025, Amendment No. 6 filed on April 8, 2025 and Amendment No. 7 filed on April 15, 2025 (as amended, the "Schedule 13D") with respect to the Class A ordinary shares, par value $0.0000001 per share ("Class A Shares") of Bitdeer Technologies Group, an exempted company incorporated in the Cayman Islands (the "Issuer").</w:t>
      </w:r>
    </w:p>
    <w:p>
      <w:pPr>
        <w:spacing w:after="0" w:line="4" w:lineRule="exact"/>
        <w:rPr>
          <w:sz w:val="20"/>
          <w:szCs w:val="20"/>
          <w:color w:val="auto"/>
        </w:rPr>
      </w:pPr>
    </w:p>
    <w:p>
      <w:pPr>
        <w:jc w:val="both"/>
        <w:ind w:left="1000" w:right="40"/>
        <w:spacing w:after="0" w:line="232" w:lineRule="auto"/>
        <w:rPr>
          <w:sz w:val="20"/>
          <w:szCs w:val="20"/>
          <w:color w:val="auto"/>
        </w:rPr>
      </w:pPr>
      <w:r>
        <w:rPr>
          <w:rFonts w:ascii="Times New Roman" w:cs="Times New Roman" w:eastAsia="Times New Roman" w:hAnsi="Times New Roman"/>
          <w:sz w:val="22"/>
          <w:szCs w:val="22"/>
          <w:color w:val="auto"/>
        </w:rPr>
        <w:t>This amendment to the Schedule 13D is being filed by Tether Holdings, S.A. de C.V. (f/k/a Tether Holdings Limited), an El Salvador entity, Tether International, S.A. de C.V. (f/k/a Tether International Limited), an El Salvador entity, Tether Investments, S.A. de C.V. (f/k/a Tether Investments Limited), an El Salvador entity ("Tether Investments"), and Giancarlo Devasini (collectively, the "Reporting Persons") and constitutes Amendment No. 8 to the Schedule 13D. Capitalized terms used but not defined herein have the meanings given to such terms in the Schedule 13D. Except as set forth herein, the Schedule 13D is unmodified.</w:t>
      </w:r>
    </w:p>
    <w:p>
      <w:pPr>
        <w:spacing w:after="0" w:line="2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right="1120" w:hanging="912"/>
        <w:spacing w:after="0" w:line="185" w:lineRule="auto"/>
        <w:tabs>
          <w:tab w:leader="none" w:pos="96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Persons beneficially own an aggregate of 38,066,689 shares of the Issuer's Class A Shares, representing 25.5% of the outstanding Class A Shares.</w:t>
      </w:r>
    </w:p>
    <w:p>
      <w:pPr>
        <w:spacing w:after="0" w:line="17" w:lineRule="exact"/>
        <w:rPr>
          <w:rFonts w:ascii="Times New Roman" w:cs="Times New Roman" w:eastAsia="Times New Roman" w:hAnsi="Times New Roman"/>
          <w:sz w:val="39"/>
          <w:szCs w:val="39"/>
          <w:color w:val="auto"/>
          <w:vertAlign w:val="subscript"/>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Tether Holdings Limited and Mr. Devasini has shared voting and dispositive power with respect to the</w:t>
      </w:r>
    </w:p>
    <w:p>
      <w:pPr>
        <w:sectPr>
          <w:pgSz w:w="11900" w:h="16838" w:orient="portrait"/>
          <w:cols w:equalWidth="0" w:num="1">
            <w:col w:w="11240"/>
          </w:cols>
          <w:pgMar w:left="320" w:top="102" w:right="339" w:bottom="0" w:gutter="0" w:footer="0" w:header="0"/>
        </w:sectPr>
      </w:pPr>
    </w:p>
    <w:bookmarkStart w:id="5" w:name="page6"/>
    <w:bookmarkEnd w:id="5"/>
    <w:p>
      <w:pPr>
        <w:ind w:left="920" w:right="20"/>
        <w:spacing w:after="0" w:line="238" w:lineRule="auto"/>
        <w:rPr>
          <w:sz w:val="20"/>
          <w:szCs w:val="20"/>
          <w:color w:val="auto"/>
        </w:rPr>
      </w:pPr>
      <w:r>
        <w:rPr>
          <w:rFonts w:ascii="Times New Roman" w:cs="Times New Roman" w:eastAsia="Times New Roman" w:hAnsi="Times New Roman"/>
          <w:sz w:val="22"/>
          <w:szCs w:val="22"/>
          <w:color w:val="auto"/>
        </w:rPr>
        <w:t>beneficially owned 38,066,689 shares. Tether International Limited has shared voting and dispositive power with respect to 23,773,987 shares. Tether Investments Limited has shared voting and dispositive power with respect to 14,292,702 shares. The percentages reported herein are calculated based upon (i) 144,099,734 Class A Shares outstanding as of January 2, 2025, and (ii) for all Reporting Persons other than Tether Investments Limited, 5,186,627 Class A Shares that may be acquired upon the exercise of the Warrants.</w:t>
      </w:r>
    </w:p>
    <w:p>
      <w:pPr>
        <w:spacing w:after="0" w:line="15" w:lineRule="exact"/>
        <w:rPr>
          <w:sz w:val="20"/>
          <w:szCs w:val="20"/>
          <w:color w:val="auto"/>
        </w:rPr>
      </w:pPr>
    </w:p>
    <w:p>
      <w:pPr>
        <w:ind w:left="920" w:right="360" w:hanging="912"/>
        <w:spacing w:after="0"/>
        <w:tabs>
          <w:tab w:leader="none" w:pos="92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Schedule B sets forth the transactions in the Common Shares effected by the Reporting Persons during the past 60 days.</w:t>
      </w:r>
    </w:p>
    <w:p>
      <w:pPr>
        <w:spacing w:after="0" w:line="91"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60"/>
        <w:spacing w:after="0" w:line="258" w:lineRule="auto"/>
        <w:rPr>
          <w:sz w:val="20"/>
          <w:szCs w:val="20"/>
          <w:color w:val="auto"/>
        </w:rPr>
      </w:pPr>
      <w:r>
        <w:rPr>
          <w:rFonts w:ascii="Times New Roman" w:cs="Times New Roman" w:eastAsia="Times New Roman" w:hAnsi="Times New Roman"/>
          <w:sz w:val="22"/>
          <w:szCs w:val="22"/>
          <w:color w:val="auto"/>
        </w:rPr>
        <w:t>Schedule A - Executive Officers and Directors Schedule B - Open Market Purchases Exhibit 1 - Agreement of filing persons relating to filing of joint statement per Rule 13d-1(k).</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Tether Holdings, S.A. de C.V.</w:t>
      </w:r>
    </w:p>
    <w:p>
      <w:pPr>
        <w:spacing w:after="0" w:line="152"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Giancarlo Devasini</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Giancarlo Devasini, President</w:t>
      </w:r>
    </w:p>
    <w:p>
      <w:pPr>
        <w:spacing w:after="0" w:line="44"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04/23/2025</w:t>
      </w:r>
    </w:p>
    <w:p>
      <w:pPr>
        <w:spacing w:after="0" w:line="15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Tether International, S.A. de C.V.</w:t>
      </w:r>
    </w:p>
    <w:p>
      <w:pPr>
        <w:spacing w:after="0" w:line="152"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Giancarlo Devasini</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Giancarlo Devasini, President</w:t>
      </w:r>
    </w:p>
    <w:p>
      <w:pPr>
        <w:spacing w:after="0" w:line="44"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04/23/2025</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Tether Investments, S.A. de C.V.</w:t>
      </w:r>
    </w:p>
    <w:p>
      <w:pPr>
        <w:spacing w:after="0" w:line="152"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Giancarlo Devasini</w:t>
      </w:r>
    </w:p>
    <w:p>
      <w:pPr>
        <w:spacing w:after="0" w:line="4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Name/Title: Giancarlo Devasini, Sole Administrator</w:t>
      </w:r>
    </w:p>
    <w:p>
      <w:pPr>
        <w:spacing w:after="0" w:line="44"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04/23/2025</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Giancarlo Devasini</w:t>
      </w:r>
    </w:p>
    <w:p>
      <w:pPr>
        <w:spacing w:after="0" w:line="152"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Giancarlo Devasini</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Giancarlo Devasini, individually</w:t>
      </w:r>
    </w:p>
    <w:p>
      <w:pPr>
        <w:spacing w:after="0" w:line="44"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04/23/2025</w:t>
      </w:r>
    </w:p>
    <w:p>
      <w:pPr>
        <w:sectPr>
          <w:pgSz w:w="11900" w:h="16838" w:orient="portrait"/>
          <w:cols w:equalWidth="0" w:num="1">
            <w:col w:w="11140"/>
          </w:cols>
          <w:pgMar w:left="360" w:top="111" w:right="3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sets forth the name, country of citizenship, position and principal occupation of each executive officer and member of the board of directors of Tether Holdings, S.A. de C.V., Tether International, S.A. de C.V. and Tether Investments, S.A. de C.V. Except as indicated below, none of the persons listed below has been convicted of a crime (other than traffic violations or similar misdemeanors) or been subject to proceedings pertaining to violations of securities laws within the past 5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 and Directors of Tether Holdings, S.A. de C.V.</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60" w:type="dxa"/>
            <w:vAlign w:val="bottom"/>
            <w:tcBorders>
              <w:top w:val="single" w:sz="8" w:color="auto"/>
              <w:left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Name and</w:t>
            </w:r>
          </w:p>
        </w:tc>
        <w:tc>
          <w:tcPr>
            <w:tcW w:w="8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right w:val="single" w:sz="8" w:color="auto"/>
            </w:tcBorders>
            <w:vMerge w:val="restart"/>
          </w:tcPr>
          <w:p>
            <w:pPr>
              <w:spacing w:after="0"/>
              <w:rPr>
                <w:sz w:val="24"/>
                <w:szCs w:val="24"/>
                <w:color w:val="auto"/>
              </w:rPr>
            </w:pPr>
          </w:p>
        </w:tc>
        <w:tc>
          <w:tcPr>
            <w:tcW w:w="320" w:type="dxa"/>
            <w:vAlign w:val="bottom"/>
            <w:tcBorders>
              <w:top w:val="single" w:sz="8" w:color="auto"/>
              <w:bottom w:val="single" w:sz="8" w:color="auto"/>
            </w:tcBorders>
            <w:vMerge w:val="restart"/>
          </w:tcPr>
          <w:p>
            <w:pPr>
              <w:spacing w:after="0"/>
              <w:rPr>
                <w:sz w:val="24"/>
                <w:szCs w:val="24"/>
                <w:color w:val="auto"/>
              </w:rPr>
            </w:pPr>
          </w:p>
        </w:tc>
        <w:tc>
          <w:tcPr>
            <w:tcW w:w="960" w:type="dxa"/>
            <w:vAlign w:val="bottom"/>
            <w:tcBorders>
              <w:top w:val="single" w:sz="8" w:color="auto"/>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Position and</w:t>
            </w:r>
          </w:p>
        </w:tc>
        <w:tc>
          <w:tcPr>
            <w:tcW w:w="340" w:type="dxa"/>
            <w:vAlign w:val="bottom"/>
            <w:tcBorders>
              <w:top w:val="single" w:sz="8" w:color="auto"/>
              <w:bottom w:val="single" w:sz="8" w:color="auto"/>
              <w:right w:val="single" w:sz="8" w:color="auto"/>
            </w:tcBorders>
            <w:vMerge w:val="restart"/>
          </w:tcPr>
          <w:p>
            <w:pPr>
              <w:spacing w:after="0"/>
              <w:rPr>
                <w:sz w:val="24"/>
                <w:szCs w:val="24"/>
                <w:color w:val="auto"/>
              </w:rPr>
            </w:pPr>
          </w:p>
        </w:tc>
        <w:tc>
          <w:tcPr>
            <w:tcW w:w="420" w:type="dxa"/>
            <w:vAlign w:val="bottom"/>
            <w:tcBorders>
              <w:top w:val="single" w:sz="8" w:color="auto"/>
              <w:bottom w:val="single" w:sz="8" w:color="auto"/>
            </w:tcBorders>
            <w:vMerge w:val="restart"/>
          </w:tcPr>
          <w:p>
            <w:pPr>
              <w:spacing w:after="0"/>
              <w:rPr>
                <w:sz w:val="24"/>
                <w:szCs w:val="24"/>
                <w:color w:val="auto"/>
              </w:rPr>
            </w:pPr>
          </w:p>
        </w:tc>
        <w:tc>
          <w:tcPr>
            <w:tcW w:w="40" w:type="dxa"/>
            <w:vAlign w:val="bottom"/>
            <w:tcBorders>
              <w:top w:val="single" w:sz="8" w:color="auto"/>
              <w:bottom w:val="single" w:sz="8" w:color="auto"/>
            </w:tcBorders>
            <w:vMerge w:val="restart"/>
          </w:tcPr>
          <w:p>
            <w:pPr>
              <w:spacing w:after="0"/>
              <w:rPr>
                <w:sz w:val="24"/>
                <w:szCs w:val="24"/>
                <w:color w:val="auto"/>
              </w:rPr>
            </w:pPr>
          </w:p>
        </w:tc>
        <w:tc>
          <w:tcPr>
            <w:tcW w:w="76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500" w:type="dxa"/>
            <w:vAlign w:val="bottom"/>
            <w:tcBorders>
              <w:top w:val="single" w:sz="8" w:color="auto"/>
              <w:bottom w:val="single" w:sz="8" w:color="auto"/>
              <w:right w:val="single" w:sz="8" w:color="auto"/>
            </w:tcBorders>
            <w:gridSpan w:val="2"/>
            <w:vMerge w:val="restart"/>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6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tcBorders>
          </w:tcPr>
          <w:p>
            <w:pPr>
              <w:spacing w:after="0" w:line="20" w:lineRule="exact"/>
              <w:rPr>
                <w:sz w:val="1"/>
                <w:szCs w:val="1"/>
                <w:color w:val="auto"/>
              </w:rPr>
            </w:pPr>
          </w:p>
        </w:tc>
        <w:tc>
          <w:tcPr>
            <w:tcW w:w="860" w:type="dxa"/>
            <w:vAlign w:val="bottom"/>
            <w:gridSpan w:val="2"/>
            <w:vMerge w:val="restart"/>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6"/>
              </w:rPr>
              <w:t>Citizenship</w:t>
            </w:r>
          </w:p>
        </w:tc>
        <w:tc>
          <w:tcPr>
            <w:tcW w:w="1380" w:type="dxa"/>
            <w:vAlign w:val="bottom"/>
            <w:tcBorders>
              <w:right w:val="single" w:sz="8" w:color="auto"/>
            </w:tcBorders>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vMerge w:val="restart"/>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Principal</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auto"/>
            </w:tcBorders>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760" w:type="dxa"/>
            <w:vAlign w:val="bottom"/>
            <w:tcBorders>
              <w:bottom w:val="single" w:sz="8" w:color="auto"/>
            </w:tcBorders>
            <w:vMerge w:val="continue"/>
          </w:tcPr>
          <w:p>
            <w:pPr>
              <w:spacing w:after="0" w:line="20" w:lineRule="exact"/>
              <w:rPr>
                <w:sz w:val="1"/>
                <w:szCs w:val="1"/>
                <w:color w:val="auto"/>
              </w:rPr>
            </w:pPr>
          </w:p>
        </w:tc>
        <w:tc>
          <w:tcPr>
            <w:tcW w:w="500" w:type="dxa"/>
            <w:vAlign w:val="bottom"/>
            <w:tcBorders>
              <w:right w:val="single" w:sz="8" w:color="auto"/>
            </w:tcBorders>
            <w:gridSpan w:val="2"/>
            <w:vMerge w:val="continu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60" w:type="dxa"/>
            <w:vAlign w:val="bottom"/>
            <w:tcBorders>
              <w:left w:val="single" w:sz="8" w:color="auto"/>
            </w:tcBorders>
          </w:tcPr>
          <w:p>
            <w:pPr>
              <w:spacing w:after="0"/>
              <w:rPr>
                <w:sz w:val="13"/>
                <w:szCs w:val="13"/>
                <w:color w:val="auto"/>
              </w:rPr>
            </w:pPr>
          </w:p>
        </w:tc>
        <w:tc>
          <w:tcPr>
            <w:tcW w:w="860" w:type="dxa"/>
            <w:vAlign w:val="bottom"/>
            <w:tcBorders>
              <w:bottom w:val="single" w:sz="8" w:color="auto"/>
            </w:tcBorders>
            <w:gridSpan w:val="2"/>
            <w:vMerge w:val="continue"/>
          </w:tcPr>
          <w:p>
            <w:pPr>
              <w:spacing w:after="0"/>
              <w:rPr>
                <w:sz w:val="13"/>
                <w:szCs w:val="13"/>
                <w:color w:val="auto"/>
              </w:rPr>
            </w:pPr>
          </w:p>
        </w:tc>
        <w:tc>
          <w:tcPr>
            <w:tcW w:w="1380" w:type="dxa"/>
            <w:vAlign w:val="bottom"/>
            <w:tcBorders>
              <w:right w:val="single" w:sz="8" w:color="auto"/>
            </w:tcBorders>
            <w:vMerge w:val="restart"/>
          </w:tcPr>
          <w:p>
            <w:pPr>
              <w:spacing w:after="0"/>
              <w:rPr>
                <w:sz w:val="13"/>
                <w:szCs w:val="13"/>
                <w:color w:val="auto"/>
              </w:rPr>
            </w:pPr>
          </w:p>
        </w:tc>
        <w:tc>
          <w:tcPr>
            <w:tcW w:w="32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right w:val="single" w:sz="8" w:color="auto"/>
            </w:tcBorders>
            <w:gridSpan w:val="2"/>
          </w:tcPr>
          <w:p>
            <w:pPr>
              <w:spacing w:after="0"/>
              <w:rPr>
                <w:sz w:val="13"/>
                <w:szCs w:val="13"/>
                <w:color w:val="auto"/>
              </w:rPr>
            </w:pPr>
          </w:p>
        </w:tc>
        <w:tc>
          <w:tcPr>
            <w:tcW w:w="420" w:type="dxa"/>
            <w:vAlign w:val="bottom"/>
            <w:vMerge w:val="restart"/>
          </w:tcPr>
          <w:p>
            <w:pPr>
              <w:spacing w:after="0"/>
              <w:rPr>
                <w:sz w:val="13"/>
                <w:szCs w:val="13"/>
                <w:color w:val="auto"/>
              </w:rPr>
            </w:pPr>
          </w:p>
        </w:tc>
        <w:tc>
          <w:tcPr>
            <w:tcW w:w="1300" w:type="dxa"/>
            <w:vAlign w:val="bottom"/>
            <w:tcBorders>
              <w:right w:val="single" w:sz="8" w:color="auto"/>
            </w:tcBorders>
            <w:gridSpan w:val="4"/>
            <w:vMerge w:val="restart"/>
          </w:tcPr>
          <w:p>
            <w:pPr>
              <w:jc w:val="center"/>
              <w:ind w:right="460"/>
              <w:spacing w:after="0" w:line="196" w:lineRule="exact"/>
              <w:rPr>
                <w:sz w:val="20"/>
                <w:szCs w:val="20"/>
                <w:color w:val="auto"/>
              </w:rPr>
            </w:pPr>
            <w:r>
              <w:rPr>
                <w:rFonts w:ascii="Times New Roman" w:cs="Times New Roman" w:eastAsia="Times New Roman" w:hAnsi="Times New Roman"/>
                <w:sz w:val="18"/>
                <w:szCs w:val="18"/>
                <w:b w:val="1"/>
                <w:bCs w:val="1"/>
                <w:color w:val="auto"/>
                <w:w w:val="98"/>
              </w:rPr>
              <w:t>Ownership</w:t>
            </w:r>
          </w:p>
        </w:tc>
        <w:tc>
          <w:tcPr>
            <w:tcW w:w="1560" w:type="dxa"/>
            <w:vAlign w:val="bottom"/>
            <w:vMerge w:val="restart"/>
          </w:tcPr>
          <w:p>
            <w:pPr>
              <w:spacing w:after="0"/>
              <w:rPr>
                <w:sz w:val="13"/>
                <w:szCs w:val="13"/>
                <w:color w:val="auto"/>
              </w:rPr>
            </w:pPr>
          </w:p>
        </w:tc>
        <w:tc>
          <w:tcPr>
            <w:tcW w:w="2920" w:type="dxa"/>
            <w:vAlign w:val="bottom"/>
            <w:tcBorders>
              <w:right w:val="single" w:sz="8" w:color="auto"/>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Business Address</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80" w:type="dxa"/>
            <w:vAlign w:val="bottom"/>
            <w:tcBorders>
              <w:right w:val="single" w:sz="8" w:color="auto"/>
            </w:tcBorders>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1300" w:type="dxa"/>
            <w:vAlign w:val="bottom"/>
            <w:tcBorders>
              <w:right w:val="single" w:sz="8" w:color="auto"/>
            </w:tcBorders>
            <w:gridSpan w:val="6"/>
            <w:vMerge w:val="restart"/>
          </w:tcPr>
          <w:p>
            <w:pPr>
              <w:jc w:val="center"/>
              <w:ind w:right="340"/>
              <w:spacing w:after="0" w:line="196" w:lineRule="exact"/>
              <w:rPr>
                <w:sz w:val="20"/>
                <w:szCs w:val="20"/>
                <w:color w:val="auto"/>
              </w:rPr>
            </w:pPr>
            <w:r>
              <w:rPr>
                <w:rFonts w:ascii="Times New Roman" w:cs="Times New Roman" w:eastAsia="Times New Roman" w:hAnsi="Times New Roman"/>
                <w:sz w:val="18"/>
                <w:szCs w:val="18"/>
                <w:b w:val="1"/>
                <w:bCs w:val="1"/>
                <w:color w:val="auto"/>
                <w:w w:val="98"/>
              </w:rPr>
              <w:t>Occupation</w:t>
            </w:r>
          </w:p>
        </w:tc>
        <w:tc>
          <w:tcPr>
            <w:tcW w:w="420" w:type="dxa"/>
            <w:vAlign w:val="bottom"/>
            <w:vMerge w:val="continue"/>
          </w:tcPr>
          <w:p>
            <w:pPr>
              <w:spacing w:after="0" w:line="20" w:lineRule="exact"/>
              <w:rPr>
                <w:sz w:val="1"/>
                <w:szCs w:val="1"/>
                <w:color w:val="auto"/>
              </w:rPr>
            </w:pPr>
          </w:p>
        </w:tc>
        <w:tc>
          <w:tcPr>
            <w:tcW w:w="1300" w:type="dxa"/>
            <w:vAlign w:val="bottom"/>
            <w:tcBorders>
              <w:right w:val="single" w:sz="8" w:color="auto"/>
            </w:tcBorders>
            <w:gridSpan w:val="4"/>
            <w:vMerge w:val="continue"/>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2920" w:type="dxa"/>
            <w:vAlign w:val="bottom"/>
            <w:tcBorders>
              <w:right w:val="single" w:sz="8" w:color="auto"/>
            </w:tcBorders>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0" w:type="dxa"/>
            <w:vAlign w:val="bottom"/>
            <w:tcBorders>
              <w:lef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Borders>
              <w:right w:val="single" w:sz="8" w:color="auto"/>
            </w:tcBorders>
            <w:gridSpan w:val="6"/>
            <w:vMerge w:val="continue"/>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0" w:type="dxa"/>
            <w:vAlign w:val="bottom"/>
            <w:tcBorders>
              <w:left w:val="single" w:sz="8" w:color="auto"/>
            </w:tcBorders>
          </w:tcPr>
          <w:p>
            <w:pPr>
              <w:spacing w:after="0"/>
              <w:rPr>
                <w:sz w:val="19"/>
                <w:szCs w:val="19"/>
                <w:color w:val="auto"/>
              </w:rPr>
            </w:pPr>
          </w:p>
        </w:tc>
        <w:tc>
          <w:tcPr>
            <w:tcW w:w="22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Giancarlo Devasini,</w:t>
            </w:r>
          </w:p>
        </w:tc>
        <w:tc>
          <w:tcPr>
            <w:tcW w:w="162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President</w:t>
            </w:r>
          </w:p>
        </w:tc>
        <w:tc>
          <w:tcPr>
            <w:tcW w:w="1220" w:type="dxa"/>
            <w:vAlign w:val="bottom"/>
            <w:gridSpan w:val="3"/>
          </w:tcPr>
          <w:p>
            <w:pPr>
              <w:ind w:left="20"/>
              <w:spacing w:after="0" w:line="223" w:lineRule="exact"/>
              <w:rPr>
                <w:sz w:val="20"/>
                <w:szCs w:val="20"/>
                <w:color w:val="auto"/>
              </w:rPr>
            </w:pPr>
            <w:r>
              <w:rPr>
                <w:rFonts w:ascii="Times New Roman" w:cs="Times New Roman" w:eastAsia="Times New Roman" w:hAnsi="Times New Roman"/>
                <w:sz w:val="16"/>
                <w:szCs w:val="16"/>
                <w:color w:val="auto"/>
              </w:rPr>
              <w:t>38,066,689</w:t>
            </w:r>
            <w:r>
              <w:rPr>
                <w:rFonts w:ascii="Times New Roman" w:cs="Times New Roman" w:eastAsia="Times New Roman" w:hAnsi="Times New Roman"/>
                <w:sz w:val="25"/>
                <w:szCs w:val="25"/>
                <w:color w:val="auto"/>
                <w:vertAlign w:val="superscript"/>
              </w:rPr>
              <w:t>(1)</w:t>
            </w:r>
          </w:p>
        </w:tc>
        <w:tc>
          <w:tcPr>
            <w:tcW w:w="4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Final Av. La Revolucion,</w:t>
            </w:r>
          </w:p>
        </w:tc>
        <w:tc>
          <w:tcPr>
            <w:tcW w:w="0" w:type="dxa"/>
            <w:vAlign w:val="bottom"/>
          </w:tcPr>
          <w:p>
            <w:pPr>
              <w:spacing w:after="0"/>
              <w:rPr>
                <w:sz w:val="1"/>
                <w:szCs w:val="1"/>
                <w:color w:val="auto"/>
              </w:rPr>
            </w:pPr>
          </w:p>
        </w:tc>
      </w:tr>
      <w:tr>
        <w:trPr>
          <w:trHeight w:val="211"/>
        </w:trPr>
        <w:tc>
          <w:tcPr>
            <w:tcW w:w="60" w:type="dxa"/>
            <w:vAlign w:val="bottom"/>
            <w:tcBorders>
              <w:left w:val="single" w:sz="8" w:color="auto"/>
            </w:tcBorders>
          </w:tcPr>
          <w:p>
            <w:pPr>
              <w:spacing w:after="0"/>
              <w:rPr>
                <w:sz w:val="18"/>
                <w:szCs w:val="18"/>
                <w:color w:val="auto"/>
              </w:rPr>
            </w:pPr>
          </w:p>
        </w:tc>
        <w:tc>
          <w:tcPr>
            <w:tcW w:w="22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citizen of Italy</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Colonia San Benito, Edif. Centro,</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Corporativo Presidente Plaza, Nivel 12, Oficina 2,</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Distrito de San Salvador, Municipio de San Salvador Centro,</w:t>
            </w: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Republica de El Salvador</w:t>
            </w: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 w:type="dxa"/>
            <w:vAlign w:val="bottom"/>
            <w:tcBorders>
              <w:left w:val="single" w:sz="8" w:color="auto"/>
            </w:tcBorders>
          </w:tcPr>
          <w:p>
            <w:pPr>
              <w:spacing w:after="0"/>
              <w:rPr>
                <w:sz w:val="18"/>
                <w:szCs w:val="18"/>
                <w:color w:val="auto"/>
              </w:rPr>
            </w:pPr>
          </w:p>
        </w:tc>
        <w:tc>
          <w:tcPr>
            <w:tcW w:w="22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Ludovicus Jan Van der Velde,</w:t>
            </w:r>
          </w:p>
        </w:tc>
        <w:tc>
          <w:tcPr>
            <w:tcW w:w="162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Alternate President</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Final Av. La Revolucion, Colonia San Benito, Edif. Centro,</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22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citizen of the Netherlands</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Corporativo Presidente Plaza, Nivel 12, Oficina 2,</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Distrito de San Salvador, Municipio de San Salvador Centro,</w:t>
            </w: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Republica de El Salvador</w:t>
            </w: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 w:type="dxa"/>
            <w:vAlign w:val="bottom"/>
            <w:tcBorders>
              <w:left w:val="single" w:sz="8" w:color="auto"/>
            </w:tcBorders>
          </w:tcPr>
          <w:p>
            <w:pPr>
              <w:spacing w:after="0"/>
              <w:rPr>
                <w:sz w:val="18"/>
                <w:szCs w:val="18"/>
                <w:color w:val="auto"/>
              </w:rPr>
            </w:pPr>
          </w:p>
        </w:tc>
        <w:tc>
          <w:tcPr>
            <w:tcW w:w="22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Paolo Ardoino,</w:t>
            </w:r>
          </w:p>
        </w:tc>
        <w:tc>
          <w:tcPr>
            <w:tcW w:w="162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Secretary</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Final Av. La Revolucion,</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22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citizen of Italy</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Colonia San Benito, Edif. Centro,</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Corporativo Presidente Plaza, Nivel 12, Oficina 2,</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Distrito de San Salvador, Municipio de San Salvador Centro,</w:t>
            </w: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Republica de El Salvador</w:t>
            </w: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 w:type="dxa"/>
            <w:vAlign w:val="bottom"/>
            <w:tcBorders>
              <w:left w:val="single" w:sz="8" w:color="auto"/>
            </w:tcBorders>
          </w:tcPr>
          <w:p>
            <w:pPr>
              <w:spacing w:after="0"/>
              <w:rPr>
                <w:sz w:val="18"/>
                <w:szCs w:val="18"/>
                <w:color w:val="auto"/>
              </w:rPr>
            </w:pPr>
          </w:p>
        </w:tc>
        <w:tc>
          <w:tcPr>
            <w:tcW w:w="22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Josue Lopez,</w:t>
            </w:r>
          </w:p>
        </w:tc>
        <w:tc>
          <w:tcPr>
            <w:tcW w:w="162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Alternate Secretary</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Final Av. La Revolucion,</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22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citizen of El Salvador</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Colonia San Benito, Edif. Centro,</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Corporativo Presidente Plaza, Nivel 12, Oficina 2,</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Distrito de San Salvador, Municipio de San Salvador Centro,</w:t>
            </w: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Republica de El Salvador</w:t>
            </w: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 and Directors of Tether International, S.A. de C.V.</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65"/>
        </w:trPr>
        <w:tc>
          <w:tcPr>
            <w:tcW w:w="60" w:type="dxa"/>
            <w:vAlign w:val="bottom"/>
            <w:tcBorders>
              <w:top w:val="single" w:sz="8" w:color="auto"/>
              <w:left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Name and</w:t>
            </w:r>
          </w:p>
        </w:tc>
        <w:tc>
          <w:tcPr>
            <w:tcW w:w="8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right w:val="single" w:sz="8" w:color="auto"/>
            </w:tcBorders>
            <w:vMerge w:val="restart"/>
          </w:tcPr>
          <w:p>
            <w:pPr>
              <w:spacing w:after="0"/>
              <w:rPr>
                <w:sz w:val="24"/>
                <w:szCs w:val="24"/>
                <w:color w:val="auto"/>
              </w:rPr>
            </w:pPr>
          </w:p>
        </w:tc>
        <w:tc>
          <w:tcPr>
            <w:tcW w:w="320" w:type="dxa"/>
            <w:vAlign w:val="bottom"/>
            <w:tcBorders>
              <w:top w:val="single" w:sz="8" w:color="auto"/>
              <w:bottom w:val="single" w:sz="8" w:color="auto"/>
            </w:tcBorders>
            <w:vMerge w:val="restart"/>
          </w:tcPr>
          <w:p>
            <w:pPr>
              <w:spacing w:after="0"/>
              <w:rPr>
                <w:sz w:val="24"/>
                <w:szCs w:val="24"/>
                <w:color w:val="auto"/>
              </w:rPr>
            </w:pPr>
          </w:p>
        </w:tc>
        <w:tc>
          <w:tcPr>
            <w:tcW w:w="960" w:type="dxa"/>
            <w:vAlign w:val="bottom"/>
            <w:tcBorders>
              <w:top w:val="single" w:sz="8" w:color="auto"/>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Position and</w:t>
            </w:r>
          </w:p>
        </w:tc>
        <w:tc>
          <w:tcPr>
            <w:tcW w:w="340" w:type="dxa"/>
            <w:vAlign w:val="bottom"/>
            <w:tcBorders>
              <w:top w:val="single" w:sz="8" w:color="auto"/>
              <w:bottom w:val="single" w:sz="8" w:color="auto"/>
              <w:right w:val="single" w:sz="8" w:color="auto"/>
            </w:tcBorders>
            <w:vMerge w:val="restart"/>
          </w:tcPr>
          <w:p>
            <w:pPr>
              <w:spacing w:after="0"/>
              <w:rPr>
                <w:sz w:val="24"/>
                <w:szCs w:val="24"/>
                <w:color w:val="auto"/>
              </w:rPr>
            </w:pPr>
          </w:p>
        </w:tc>
        <w:tc>
          <w:tcPr>
            <w:tcW w:w="420" w:type="dxa"/>
            <w:vAlign w:val="bottom"/>
            <w:tcBorders>
              <w:top w:val="single" w:sz="8" w:color="auto"/>
              <w:bottom w:val="single" w:sz="8" w:color="auto"/>
            </w:tcBorders>
            <w:vMerge w:val="restart"/>
          </w:tcPr>
          <w:p>
            <w:pPr>
              <w:spacing w:after="0"/>
              <w:rPr>
                <w:sz w:val="24"/>
                <w:szCs w:val="24"/>
                <w:color w:val="auto"/>
              </w:rPr>
            </w:pPr>
          </w:p>
        </w:tc>
        <w:tc>
          <w:tcPr>
            <w:tcW w:w="1280" w:type="dxa"/>
            <w:vAlign w:val="bottom"/>
            <w:tcBorders>
              <w:top w:val="single" w:sz="8" w:color="auto"/>
              <w:bottom w:val="single" w:sz="8" w:color="auto"/>
              <w:right w:val="single" w:sz="8" w:color="auto"/>
            </w:tcBorders>
            <w:gridSpan w:val="4"/>
            <w:vMerge w:val="restart"/>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6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620" w:type="dxa"/>
            <w:vAlign w:val="bottom"/>
            <w:tcBorders>
              <w:top w:val="single" w:sz="8" w:color="auto"/>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860" w:type="dxa"/>
            <w:vAlign w:val="bottom"/>
            <w:gridSpan w:val="2"/>
            <w:vMerge w:val="restart"/>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6"/>
              </w:rPr>
              <w:t>Citizenship</w:t>
            </w:r>
          </w:p>
        </w:tc>
        <w:tc>
          <w:tcPr>
            <w:tcW w:w="1340" w:type="dxa"/>
            <w:vAlign w:val="bottom"/>
            <w:tcBorders>
              <w:right w:val="single" w:sz="8" w:color="auto"/>
            </w:tcBorders>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vMerge w:val="restart"/>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Principal</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auto"/>
            </w:tcBorders>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1280" w:type="dxa"/>
            <w:vAlign w:val="bottom"/>
            <w:tcBorders>
              <w:right w:val="single" w:sz="8" w:color="auto"/>
            </w:tcBorders>
            <w:gridSpan w:val="4"/>
            <w:vMerge w:val="continu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 w:type="dxa"/>
            <w:vAlign w:val="bottom"/>
            <w:tcBorders>
              <w:left w:val="single" w:sz="8" w:color="auto"/>
            </w:tcBorders>
          </w:tcPr>
          <w:p>
            <w:pPr>
              <w:spacing w:after="0"/>
              <w:rPr>
                <w:sz w:val="13"/>
                <w:szCs w:val="13"/>
                <w:color w:val="auto"/>
              </w:rPr>
            </w:pPr>
          </w:p>
        </w:tc>
        <w:tc>
          <w:tcPr>
            <w:tcW w:w="860" w:type="dxa"/>
            <w:vAlign w:val="bottom"/>
            <w:tcBorders>
              <w:bottom w:val="single" w:sz="8" w:color="auto"/>
            </w:tcBorders>
            <w:gridSpan w:val="2"/>
            <w:vMerge w:val="continue"/>
          </w:tcPr>
          <w:p>
            <w:pPr>
              <w:spacing w:after="0"/>
              <w:rPr>
                <w:sz w:val="13"/>
                <w:szCs w:val="13"/>
                <w:color w:val="auto"/>
              </w:rPr>
            </w:pPr>
          </w:p>
        </w:tc>
        <w:tc>
          <w:tcPr>
            <w:tcW w:w="1340" w:type="dxa"/>
            <w:vAlign w:val="bottom"/>
            <w:tcBorders>
              <w:right w:val="single" w:sz="8" w:color="auto"/>
            </w:tcBorders>
            <w:vMerge w:val="restart"/>
          </w:tcPr>
          <w:p>
            <w:pPr>
              <w:spacing w:after="0"/>
              <w:rPr>
                <w:sz w:val="13"/>
                <w:szCs w:val="13"/>
                <w:color w:val="auto"/>
              </w:rPr>
            </w:pPr>
          </w:p>
        </w:tc>
        <w:tc>
          <w:tcPr>
            <w:tcW w:w="3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right w:val="single" w:sz="8" w:color="auto"/>
            </w:tcBorders>
            <w:gridSpan w:val="2"/>
          </w:tcPr>
          <w:p>
            <w:pPr>
              <w:spacing w:after="0"/>
              <w:rPr>
                <w:sz w:val="13"/>
                <w:szCs w:val="13"/>
                <w:color w:val="auto"/>
              </w:rPr>
            </w:pPr>
          </w:p>
        </w:tc>
        <w:tc>
          <w:tcPr>
            <w:tcW w:w="1700" w:type="dxa"/>
            <w:vAlign w:val="bottom"/>
            <w:tcBorders>
              <w:right w:val="single" w:sz="8" w:color="auto"/>
            </w:tcBorders>
            <w:gridSpan w:val="5"/>
            <w:vMerge w:val="restart"/>
          </w:tcPr>
          <w:p>
            <w:pPr>
              <w:jc w:val="center"/>
              <w:ind w:right="20"/>
              <w:spacing w:after="0" w:line="196" w:lineRule="exact"/>
              <w:rPr>
                <w:sz w:val="20"/>
                <w:szCs w:val="20"/>
                <w:color w:val="auto"/>
              </w:rPr>
            </w:pPr>
            <w:r>
              <w:rPr>
                <w:rFonts w:ascii="Times New Roman" w:cs="Times New Roman" w:eastAsia="Times New Roman" w:hAnsi="Times New Roman"/>
                <w:sz w:val="18"/>
                <w:szCs w:val="18"/>
                <w:b w:val="1"/>
                <w:bCs w:val="1"/>
                <w:color w:val="auto"/>
                <w:w w:val="98"/>
              </w:rPr>
              <w:t>Ownership</w:t>
            </w:r>
          </w:p>
        </w:tc>
        <w:tc>
          <w:tcPr>
            <w:tcW w:w="4540" w:type="dxa"/>
            <w:vAlign w:val="bottom"/>
            <w:tcBorders>
              <w:right w:val="single" w:sz="8" w:color="auto"/>
            </w:tcBorders>
            <w:gridSpan w:val="3"/>
            <w:vMerge w:val="restart"/>
          </w:tcPr>
          <w:p>
            <w:pPr>
              <w:ind w:left="1600"/>
              <w:spacing w:after="0" w:line="196" w:lineRule="exact"/>
              <w:rPr>
                <w:sz w:val="20"/>
                <w:szCs w:val="20"/>
                <w:color w:val="auto"/>
              </w:rPr>
            </w:pPr>
            <w:r>
              <w:rPr>
                <w:rFonts w:ascii="Times New Roman" w:cs="Times New Roman" w:eastAsia="Times New Roman" w:hAnsi="Times New Roman"/>
                <w:sz w:val="18"/>
                <w:szCs w:val="18"/>
                <w:b w:val="1"/>
                <w:bCs w:val="1"/>
                <w:color w:val="auto"/>
              </w:rPr>
              <w:t>Business Address</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40" w:type="dxa"/>
            <w:vAlign w:val="bottom"/>
            <w:tcBorders>
              <w:right w:val="single" w:sz="8" w:color="auto"/>
            </w:tcBorders>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60" w:type="dxa"/>
            <w:vAlign w:val="bottom"/>
            <w:tcBorders>
              <w:right w:val="single" w:sz="8" w:color="auto"/>
            </w:tcBorders>
            <w:gridSpan w:val="5"/>
            <w:vMerge w:val="restart"/>
          </w:tcPr>
          <w:p>
            <w:pPr>
              <w:jc w:val="center"/>
              <w:ind w:right="380"/>
              <w:spacing w:after="0" w:line="196" w:lineRule="exact"/>
              <w:rPr>
                <w:sz w:val="20"/>
                <w:szCs w:val="20"/>
                <w:color w:val="auto"/>
              </w:rPr>
            </w:pPr>
            <w:r>
              <w:rPr>
                <w:rFonts w:ascii="Times New Roman" w:cs="Times New Roman" w:eastAsia="Times New Roman" w:hAnsi="Times New Roman"/>
                <w:sz w:val="18"/>
                <w:szCs w:val="18"/>
                <w:b w:val="1"/>
                <w:bCs w:val="1"/>
                <w:color w:val="auto"/>
                <w:w w:val="98"/>
              </w:rPr>
              <w:t>Occupation</w:t>
            </w:r>
          </w:p>
        </w:tc>
        <w:tc>
          <w:tcPr>
            <w:tcW w:w="1700" w:type="dxa"/>
            <w:vAlign w:val="bottom"/>
            <w:tcBorders>
              <w:right w:val="single" w:sz="8" w:color="auto"/>
            </w:tcBorders>
            <w:gridSpan w:val="5"/>
            <w:vMerge w:val="continue"/>
          </w:tcPr>
          <w:p>
            <w:pPr>
              <w:spacing w:after="0" w:line="20" w:lineRule="exact"/>
              <w:rPr>
                <w:sz w:val="1"/>
                <w:szCs w:val="1"/>
                <w:color w:val="auto"/>
              </w:rPr>
            </w:pPr>
          </w:p>
        </w:tc>
        <w:tc>
          <w:tcPr>
            <w:tcW w:w="4540" w:type="dxa"/>
            <w:vAlign w:val="bottom"/>
            <w:tcBorders>
              <w:right w:val="single" w:sz="8" w:color="auto"/>
            </w:tcBorders>
            <w:gridSpan w:val="3"/>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60" w:type="dxa"/>
            <w:vAlign w:val="bottom"/>
            <w:tcBorders>
              <w:lef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Borders>
              <w:right w:val="single" w:sz="8" w:color="auto"/>
            </w:tcBorders>
            <w:gridSpan w:val="5"/>
            <w:vMerge w:val="continue"/>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160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0" w:type="dxa"/>
            <w:vAlign w:val="bottom"/>
            <w:tcBorders>
              <w:left w:val="single" w:sz="8" w:color="auto"/>
            </w:tcBorders>
          </w:tcPr>
          <w:p>
            <w:pPr>
              <w:spacing w:after="0"/>
              <w:rPr>
                <w:sz w:val="19"/>
                <w:szCs w:val="19"/>
                <w:color w:val="auto"/>
              </w:rPr>
            </w:pPr>
          </w:p>
        </w:tc>
        <w:tc>
          <w:tcPr>
            <w:tcW w:w="22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Giancarlo Devasini,</w:t>
            </w:r>
          </w:p>
        </w:tc>
        <w:tc>
          <w:tcPr>
            <w:tcW w:w="162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President</w:t>
            </w:r>
          </w:p>
        </w:tc>
        <w:tc>
          <w:tcPr>
            <w:tcW w:w="1220" w:type="dxa"/>
            <w:vAlign w:val="bottom"/>
            <w:gridSpan w:val="3"/>
          </w:tcPr>
          <w:p>
            <w:pPr>
              <w:ind w:left="20"/>
              <w:spacing w:after="0" w:line="223" w:lineRule="exact"/>
              <w:rPr>
                <w:sz w:val="20"/>
                <w:szCs w:val="20"/>
                <w:color w:val="auto"/>
              </w:rPr>
            </w:pPr>
            <w:r>
              <w:rPr>
                <w:rFonts w:ascii="Times New Roman" w:cs="Times New Roman" w:eastAsia="Times New Roman" w:hAnsi="Times New Roman"/>
                <w:sz w:val="16"/>
                <w:szCs w:val="16"/>
                <w:color w:val="auto"/>
              </w:rPr>
              <w:t>38,066,689</w:t>
            </w:r>
            <w:r>
              <w:rPr>
                <w:rFonts w:ascii="Times New Roman" w:cs="Times New Roman" w:eastAsia="Times New Roman" w:hAnsi="Times New Roman"/>
                <w:sz w:val="25"/>
                <w:szCs w:val="25"/>
                <w:color w:val="auto"/>
                <w:vertAlign w:val="superscript"/>
              </w:rPr>
              <w:t>(1)</w:t>
            </w:r>
          </w:p>
        </w:tc>
        <w:tc>
          <w:tcPr>
            <w:tcW w:w="4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4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Final Av. La Revolucion,</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citizen of Italy</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Colonia San Benito, Edif.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Corporativo Presidente Plaza, Nivel 12, Oficina 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Distrito de San Salvador, Municipio de San Salvador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4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Republica de El Salvador</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Ludovicus Jan Van der Velde,</w:t>
            </w:r>
          </w:p>
        </w:tc>
        <w:tc>
          <w:tcPr>
            <w:tcW w:w="162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Alternate President</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Final Av. La Revolucion,</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citizen of the Netherlands</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Colonia San Benito, Edif.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Corporativo Presidente Plaza, Nivel 12, Oficina 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Distrito de San Salvador, Municipio de San Salvador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4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Republica de El Salvador</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Paolo Ardoino,</w:t>
            </w:r>
          </w:p>
        </w:tc>
        <w:tc>
          <w:tcPr>
            <w:tcW w:w="162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Secretary</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Final Av. La Revolucion,</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citizen of Italy</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Colonia San Benito, Edif.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Corporativo Presidente Plaza, Niv el 12, Oficina 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Distrito de San Salvador, Municipio de San Salvad or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4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Republica de El Salvador</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Josue Lopez,</w:t>
            </w:r>
          </w:p>
        </w:tc>
        <w:tc>
          <w:tcPr>
            <w:tcW w:w="162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Alternate Secretary</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Final Av. La Revolucion,</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citizen of El Salvador</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Colonia San Benito, Edif.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Corporativo Presidente Plaza, Niv el 12, Oficina 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Distrito de San Salvador, Municipio de San Salvad or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4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Republica de El Salvador</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5"/>
        </w:trPr>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 and Directors of Tether Investments, S.A. de C.V.</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65"/>
        </w:trPr>
        <w:tc>
          <w:tcPr>
            <w:tcW w:w="60" w:type="dxa"/>
            <w:vAlign w:val="bottom"/>
            <w:tcBorders>
              <w:top w:val="single" w:sz="8" w:color="auto"/>
              <w:left w:val="single" w:sz="8" w:color="auto"/>
            </w:tcBorders>
          </w:tcPr>
          <w:p>
            <w:pPr>
              <w:spacing w:after="0"/>
              <w:rPr>
                <w:sz w:val="24"/>
                <w:szCs w:val="24"/>
                <w:color w:val="auto"/>
              </w:rPr>
            </w:pPr>
          </w:p>
        </w:tc>
        <w:tc>
          <w:tcPr>
            <w:tcW w:w="1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Name and Citizenship</w:t>
            </w:r>
          </w:p>
        </w:tc>
        <w:tc>
          <w:tcPr>
            <w:tcW w:w="100" w:type="dxa"/>
            <w:vAlign w:val="bottom"/>
            <w:tcBorders>
              <w:top w:val="single" w:sz="8" w:color="auto"/>
              <w:bottom w:val="single" w:sz="8" w:color="auto"/>
              <w:right w:val="single" w:sz="8" w:color="auto"/>
            </w:tcBorders>
            <w:vMerge w:val="restart"/>
          </w:tcPr>
          <w:p>
            <w:pPr>
              <w:spacing w:after="0"/>
              <w:rPr>
                <w:sz w:val="24"/>
                <w:szCs w:val="24"/>
                <w:color w:val="auto"/>
              </w:rPr>
            </w:pPr>
          </w:p>
        </w:tc>
        <w:tc>
          <w:tcPr>
            <w:tcW w:w="40" w:type="dxa"/>
            <w:vAlign w:val="bottom"/>
            <w:tcBorders>
              <w:top w:val="single" w:sz="8" w:color="auto"/>
              <w:bottom w:val="single" w:sz="8" w:color="auto"/>
            </w:tcBorders>
            <w:vMerge w:val="restart"/>
          </w:tcPr>
          <w:p>
            <w:pPr>
              <w:spacing w:after="0"/>
              <w:rPr>
                <w:sz w:val="24"/>
                <w:szCs w:val="24"/>
                <w:color w:val="auto"/>
              </w:rPr>
            </w:pPr>
          </w:p>
        </w:tc>
        <w:tc>
          <w:tcPr>
            <w:tcW w:w="170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Position and Principal</w:t>
            </w:r>
          </w:p>
        </w:tc>
        <w:tc>
          <w:tcPr>
            <w:tcW w:w="80" w:type="dxa"/>
            <w:vAlign w:val="bottom"/>
            <w:tcBorders>
              <w:top w:val="single" w:sz="8" w:color="auto"/>
              <w:bottom w:val="single" w:sz="8" w:color="auto"/>
              <w:right w:val="single" w:sz="8" w:color="auto"/>
            </w:tcBorders>
          </w:tcPr>
          <w:p>
            <w:pPr>
              <w:spacing w:after="0"/>
              <w:rPr>
                <w:sz w:val="24"/>
                <w:szCs w:val="24"/>
                <w:color w:val="auto"/>
              </w:rPr>
            </w:pPr>
          </w:p>
        </w:tc>
        <w:tc>
          <w:tcPr>
            <w:tcW w:w="140" w:type="dxa"/>
            <w:vAlign w:val="bottom"/>
            <w:tcBorders>
              <w:top w:val="single" w:sz="8" w:color="auto"/>
              <w:bottom w:val="single" w:sz="8" w:color="auto"/>
            </w:tcBorders>
            <w:vMerge w:val="restart"/>
          </w:tcPr>
          <w:p>
            <w:pPr>
              <w:spacing w:after="0"/>
              <w:rPr>
                <w:sz w:val="24"/>
                <w:szCs w:val="24"/>
                <w:color w:val="auto"/>
              </w:rPr>
            </w:pPr>
          </w:p>
        </w:tc>
        <w:tc>
          <w:tcPr>
            <w:tcW w:w="1820" w:type="dxa"/>
            <w:vAlign w:val="bottom"/>
            <w:tcBorders>
              <w:top w:val="single" w:sz="8" w:color="auto"/>
              <w:bottom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Beneficial Ownership</w:t>
            </w:r>
          </w:p>
        </w:tc>
        <w:tc>
          <w:tcPr>
            <w:tcW w:w="1560" w:type="dxa"/>
            <w:vAlign w:val="bottom"/>
            <w:tcBorders>
              <w:top w:val="single" w:sz="8" w:color="auto"/>
              <w:bottom w:val="single" w:sz="8" w:color="auto"/>
            </w:tcBorders>
            <w:vMerge w:val="restart"/>
          </w:tcPr>
          <w:p>
            <w:pPr>
              <w:spacing w:after="0"/>
              <w:rPr>
                <w:sz w:val="24"/>
                <w:szCs w:val="24"/>
                <w:color w:val="auto"/>
              </w:rPr>
            </w:pPr>
          </w:p>
        </w:tc>
        <w:tc>
          <w:tcPr>
            <w:tcW w:w="2920" w:type="dxa"/>
            <w:vAlign w:val="bottom"/>
            <w:tcBorders>
              <w:top w:val="single" w:sz="8" w:color="auto"/>
              <w:bottom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right w:val="single" w:sz="8" w:color="auto"/>
            </w:tcBorders>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Borders>
              <w:right w:val="single" w:sz="8" w:color="auto"/>
            </w:tcBorders>
            <w:gridSpan w:val="3"/>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Occupation</w:t>
            </w:r>
          </w:p>
        </w:tc>
        <w:tc>
          <w:tcPr>
            <w:tcW w:w="140" w:type="dxa"/>
            <w:vAlign w:val="bottom"/>
            <w:vMerge w:val="continue"/>
          </w:tcPr>
          <w:p>
            <w:pPr>
              <w:spacing w:after="0" w:line="20" w:lineRule="exact"/>
              <w:rPr>
                <w:sz w:val="1"/>
                <w:szCs w:val="1"/>
                <w:color w:val="auto"/>
              </w:rPr>
            </w:pPr>
          </w:p>
        </w:tc>
        <w:tc>
          <w:tcPr>
            <w:tcW w:w="1820" w:type="dxa"/>
            <w:vAlign w:val="bottom"/>
            <w:tcBorders>
              <w:right w:val="single" w:sz="8" w:color="auto"/>
            </w:tcBorders>
            <w:gridSpan w:val="2"/>
            <w:vMerge w:val="continue"/>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2920" w:type="dxa"/>
            <w:vAlign w:val="bottom"/>
            <w:tcBorders>
              <w:right w:val="single" w:sz="8" w:color="auto"/>
            </w:tcBorders>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0" w:type="dxa"/>
            <w:vAlign w:val="bottom"/>
            <w:tcBorders>
              <w:left w:val="single" w:sz="8" w:color="auto"/>
            </w:tcBorders>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Borders>
              <w:right w:val="single" w:sz="8" w:color="auto"/>
            </w:tcBorders>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0" w:type="dxa"/>
            <w:vAlign w:val="bottom"/>
            <w:tcBorders>
              <w:left w:val="single" w:sz="8" w:color="auto"/>
            </w:tcBorders>
          </w:tcPr>
          <w:p>
            <w:pPr>
              <w:spacing w:after="0"/>
              <w:rPr>
                <w:sz w:val="19"/>
                <w:szCs w:val="19"/>
                <w:color w:val="auto"/>
              </w:rPr>
            </w:pPr>
          </w:p>
        </w:tc>
        <w:tc>
          <w:tcPr>
            <w:tcW w:w="1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Giancarlo Devasini,</w:t>
            </w:r>
          </w:p>
        </w:tc>
        <w:tc>
          <w:tcPr>
            <w:tcW w:w="18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Sole Administrator</w:t>
            </w:r>
          </w:p>
        </w:tc>
        <w:tc>
          <w:tcPr>
            <w:tcW w:w="1800" w:type="dxa"/>
            <w:vAlign w:val="bottom"/>
            <w:gridSpan w:val="2"/>
          </w:tcPr>
          <w:p>
            <w:pPr>
              <w:ind w:left="40"/>
              <w:spacing w:after="0" w:line="223" w:lineRule="exact"/>
              <w:rPr>
                <w:sz w:val="20"/>
                <w:szCs w:val="20"/>
                <w:color w:val="auto"/>
              </w:rPr>
            </w:pPr>
            <w:r>
              <w:rPr>
                <w:rFonts w:ascii="Times New Roman" w:cs="Times New Roman" w:eastAsia="Times New Roman" w:hAnsi="Times New Roman"/>
                <w:sz w:val="16"/>
                <w:szCs w:val="16"/>
                <w:color w:val="auto"/>
              </w:rPr>
              <w:t>38,066,689</w:t>
            </w:r>
            <w:r>
              <w:rPr>
                <w:rFonts w:ascii="Times New Roman" w:cs="Times New Roman" w:eastAsia="Times New Roman" w:hAnsi="Times New Roman"/>
                <w:sz w:val="25"/>
                <w:szCs w:val="25"/>
                <w:color w:val="auto"/>
                <w:vertAlign w:val="superscript"/>
              </w:rPr>
              <w:t>(1)</w:t>
            </w:r>
          </w:p>
        </w:tc>
        <w:tc>
          <w:tcPr>
            <w:tcW w:w="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Final Av. La Revolucion,</w:t>
            </w:r>
          </w:p>
        </w:tc>
        <w:tc>
          <w:tcPr>
            <w:tcW w:w="0" w:type="dxa"/>
            <w:vAlign w:val="bottom"/>
          </w:tcPr>
          <w:p>
            <w:pPr>
              <w:spacing w:after="0"/>
              <w:rPr>
                <w:sz w:val="1"/>
                <w:szCs w:val="1"/>
                <w:color w:val="auto"/>
              </w:rPr>
            </w:pPr>
          </w:p>
        </w:tc>
      </w:tr>
      <w:tr>
        <w:trPr>
          <w:trHeight w:val="211"/>
        </w:trPr>
        <w:tc>
          <w:tcPr>
            <w:tcW w:w="6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citizen of Italy</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Colonia San Benito, Edif. Centro,</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Corporativo Presidente Plaza, Nivel 12, Oficina 2,</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Distrito de San Salvador, Municipio de San Salvador Centro,</w:t>
            </w: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Republica de El Salvador</w:t>
            </w: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Paolo Ardoino,</w:t>
            </w:r>
          </w:p>
        </w:tc>
        <w:tc>
          <w:tcPr>
            <w:tcW w:w="18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Alternate Administrator</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0</w:t>
            </w:r>
          </w:p>
        </w:tc>
        <w:tc>
          <w:tcPr>
            <w:tcW w:w="1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Final Av. La Revolucion,</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citizen of Italy</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Colonia San Benito, Edif. Centro,</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Corporativo Presidente Plaza, Nivel 12, Oficina 2,</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Distrito de San Salvador, Municipio de San Salvador Centro,</w:t>
            </w: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Republica de El Salvador</w:t>
            </w: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1200" w:hanging="328"/>
        <w:spacing w:after="0" w:line="25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Class A ordinary shares, par value $0.0000001 per share (“Class A Shares”) of Bitdeer Technologies Group: (a) 18,587,360 Class A Shares held by Tether International S.A. de C.V., a wholly owned subsidiary of Tether Holdings S.A. de C.V., (b) 14,292,702 Class A Shares held by Tether Investments S.A. de C.V., a wholly owned subsidiary of Tether Holdings S.A. de C.V. and (c) 5,186,627 Class A Shares that may be acquired upon the exercise of a presently exercisable warrant held by Tether International S.A. de C.V.</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October 2021, the U.S. Commodity Futures Trading Commission (CFTC) instituted and settled regulatory proceedings against Tether Holdings Limited, Tether Limited, Tether Operations Limited, and Tether International Limited (collectively, “Tether”) by way of an order accepting Tether’s payment of a civil monetary penalty of $41 million without admitting or denying any of the CFTC’s findings or conclusions. The order settled CFTC allegations that, from June 2016 to February 2019, Tether made untrue or misleading statements and omissions of material fact or omitted to state material facts necessary to make statements made not true or misleading in connection with, among other things, whether USDT was fully backed by U.S. Dollars held in bank accounts in Tether’s name.</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February 2021, the Office of the Attorney General of the State of New York (NYAG) entered into an agreement with Tether and several Bitfinex (a group of companies with which Tether is affiliated) companies, to settle a 2019 proceeding brought by NYAG seeking an injunction related to, among other things, the transfer of certain funds by and among Bitfinex and Tether. Without admitting or denying NYAG’s findings, Bitfinex and Tether agreed to settle the NYAG proceeding by paying $18.5 million in penalties to the State of New York. The agreement further required Bitfinex and Tether to discontinue any trading activity with New York persons or entities and to submit to mandatory reporting on certain business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in Class A Shares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lists all transactions completed by Tether Investments S.A. de C.V. in the Class A Shares since February 22, 2025, which were all completed through open market purchases: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3700" w:type="dxa"/>
            <w:vAlign w:val="bottom"/>
            <w:tcBorders>
              <w:top w:val="single" w:sz="8" w:color="auto"/>
              <w:bottom w:val="single" w:sz="8" w:color="auto"/>
              <w:right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Shares Bought</w:t>
            </w:r>
          </w:p>
        </w:tc>
        <w:tc>
          <w:tcPr>
            <w:tcW w:w="3700" w:type="dxa"/>
            <w:vAlign w:val="bottom"/>
            <w:tcBorders>
              <w:top w:val="single" w:sz="8" w:color="auto"/>
              <w:bottom w:val="single" w:sz="8" w:color="auto"/>
              <w:right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21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February 26, 2025</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519,170</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r>
      <w:tr>
        <w:trPr>
          <w:trHeight w:val="209"/>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March 10, 2025</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783,741</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$9.95</w:t>
            </w:r>
          </w:p>
        </w:tc>
      </w:tr>
      <w:tr>
        <w:trPr>
          <w:trHeight w:val="209"/>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March 11, 2025</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79,027</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$9.98</w:t>
            </w:r>
          </w:p>
        </w:tc>
      </w:tr>
      <w:tr>
        <w:trPr>
          <w:trHeight w:val="21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March 13, 2025</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443,062</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$9.89</w:t>
            </w:r>
          </w:p>
        </w:tc>
      </w:tr>
      <w:tr>
        <w:trPr>
          <w:trHeight w:val="209"/>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March 14, 2025</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58,838</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$9.967</w:t>
            </w:r>
          </w:p>
        </w:tc>
      </w:tr>
      <w:tr>
        <w:trPr>
          <w:trHeight w:val="209"/>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March 17, 2025</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5,636</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$9.9993</w:t>
            </w:r>
          </w:p>
        </w:tc>
      </w:tr>
      <w:tr>
        <w:trPr>
          <w:trHeight w:val="21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March 18, 2025</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110,526</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$9.9595</w:t>
            </w:r>
          </w:p>
        </w:tc>
      </w:tr>
      <w:tr>
        <w:trPr>
          <w:trHeight w:val="209"/>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April 2, 2025</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360,767</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$9.3805</w:t>
            </w:r>
          </w:p>
        </w:tc>
      </w:tr>
      <w:tr>
        <w:trPr>
          <w:trHeight w:val="21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April 3, 2025</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521,481</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$8.7446</w:t>
            </w:r>
          </w:p>
        </w:tc>
      </w:tr>
      <w:tr>
        <w:trPr>
          <w:trHeight w:val="209"/>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April 4, 2025</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800,000</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$7.9047</w:t>
            </w:r>
          </w:p>
        </w:tc>
      </w:tr>
      <w:tr>
        <w:trPr>
          <w:trHeight w:val="209"/>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April 7, 2025</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317,752</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$7.7602</w:t>
            </w:r>
          </w:p>
        </w:tc>
      </w:tr>
      <w:tr>
        <w:trPr>
          <w:trHeight w:val="21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April 9, 2025</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500,000</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$7.809</w:t>
            </w:r>
          </w:p>
        </w:tc>
      </w:tr>
      <w:tr>
        <w:trPr>
          <w:trHeight w:val="209"/>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April 10, 2025</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725,881</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$7.611</w:t>
            </w:r>
          </w:p>
        </w:tc>
      </w:tr>
      <w:tr>
        <w:trPr>
          <w:trHeight w:val="21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April 11, 2025</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500,000</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$7.7268</w:t>
            </w:r>
          </w:p>
        </w:tc>
      </w:tr>
      <w:tr>
        <w:trPr>
          <w:trHeight w:val="209"/>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April 14, 2025</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274,119</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$7.9866</w:t>
            </w:r>
          </w:p>
        </w:tc>
      </w:tr>
      <w:tr>
        <w:trPr>
          <w:trHeight w:val="209"/>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April 16, 2025</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750,000</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$7,2164</w:t>
            </w:r>
          </w:p>
        </w:tc>
      </w:tr>
      <w:tr>
        <w:trPr>
          <w:trHeight w:val="21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April 17, 2025</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449,422</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$7.4965</w:t>
            </w:r>
          </w:p>
        </w:tc>
      </w:tr>
      <w:tr>
        <w:trPr>
          <w:trHeight w:val="209"/>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April 21, 2025</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680,666</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$7.8205</w:t>
            </w:r>
          </w:p>
        </w:tc>
      </w:tr>
      <w:tr>
        <w:trPr>
          <w:trHeight w:val="209"/>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April 22, 2025</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119,912</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$9.0679</w:t>
            </w:r>
          </w:p>
        </w:tc>
      </w:tr>
      <w:tr>
        <w:trPr>
          <w:trHeight w:val="669"/>
        </w:trPr>
        <w:tc>
          <w:tcPr>
            <w:tcW w:w="38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each of the persons named below agrees to the joint filing of this Amendment to Schedule 13D, including further amendments thereto, with respect to the Class A ordinary shares, par value $0.0000001 per share, of Bitdeer Technologies Group and further agrees that this Joint Filing Agreement be filed with the Securities and Exchange Commission as an exhibit to such filing; provided, however, that no person shall be responsible for the completeness or accuracy of the information concerning the other persons making the filing unless such person knows or has reason to believe such information is inaccurate (as provided in Rule 13d-1(k)(1)(ii)). This Joint Filing Agreement may be executed in one or more counterparts, all of which together shall constitute one and the same instrument.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persons named below have executed this Joint Filing Agreement as of the date set forth below.</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April 23, 2025</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TETHER HOLDINGS, S.A. DE C.V.</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Giancarlo Devasini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Giancarlo Devasini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TETHER INTERNATIONAL, S.A. DE C.V.</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Giancarlo Devasini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Giancarlo Devasini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TETHER INVESTMENTS, S.A. DE C.V.</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Giancarlo Devasini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Giancarlo Devasini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Sole Administrator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Giancarlo Devasini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Giancarlo Devasini</w:t>
      </w:r>
      <w:r>
        <w:rPr>
          <w:rFonts w:ascii="Times New Roman" w:cs="Times New Roman" w:eastAsia="Times New Roman" w:hAnsi="Times New Roman"/>
          <w:sz w:val="18"/>
          <w:szCs w:val="18"/>
          <w:color w:val="auto"/>
        </w:rPr>
        <w:t>,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2"/>
      <w:numFmt w:val="bullet"/>
      <w:start w:val="1"/>
    </w:lvl>
  </w:abstractNum>
  <w:abstractNum w:abstractNumId="8">
    <w:nsid w:val="216231B"/>
    <w:multiLevelType w:val="hybridMultilevel"/>
    <w:lvl w:ilvl="0">
      <w:lvlJc w:val="left"/>
      <w:lvlText w:val="3"/>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2025-04-23T08:12:41Z</dcterms:created>
  <dcterms:modified xsi:type="dcterms:W3CDTF">2025-04-23T08:12:41Z</dcterms:modified>
</cp:coreProperties>
</file>