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Kallang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Aperia Tower 1, #09-03/04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339509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Bitdeer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Group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8, 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333-270345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Linghui Kong: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 filed March 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BSGA's Board's Review of Valuation, page 135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non-reliance on your outdated projections and your consideration of certain selected financial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to support a revised valuation of Bitdeer. In this regard, explain how the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significant drop in the valuation of Bitdeer ($4.5 billion reduced to $1.18 billion) provided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an "adequate basis" to support consummation of the merger.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LastNameLinghui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Kong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NameBitdeer Technologies Group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16,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BSGA's Management's Discussion and Analysis of Financial Condition and 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Operation, page 190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update the discussion indicating that you have not selected any specific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target. Critical Accounting Policies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Income per Common Share, page 194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how the estimation uncertainties impact your computation of net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per share.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Bitdeer's Management's Discussion and Analysis of Financial Condition and Results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Operation, page 220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selected unaudited financial information for the year</w:t>
      </w:r>
    </w:p>
    <w:p>
      <w:pPr>
        <w:sectPr>
          <w:pgSz w:w="11900" w:h="1683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disclosed on page 142. Tell us what consideration you gave to discussing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analyzing your preliminary results, with disclosure addressing whether such results reflect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 consistent with your historical results, and why only preliminary financial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is available. Also consider disclosing such information in the forepart of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Experts, page 272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also included audited financial statements of Blue Safari Group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 as of December 31, 2022. Revise to update the disclosure regarding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experts. Refer to Item 10.G of Form 20-F.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D: Valuation Reports of Royson Valuation Advisory Limited, page D-1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Royson's updated Valuation Report supporting the revised valuation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99.10, page II-2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representation included as Exhibit 99.10 indicates that the registration statement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F-4 relates to the proposed initial public offering in the United States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shares in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ordinary shares to be represented by American depositary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connection with the business combination. However, we note that,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pursuant to the 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structure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Amendment, the parties agreed to remove the American Depository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previously contemplated under the Second Amended Merger Agreement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instead issue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ordinary shares of BTG as considerations to be paid. Please revise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description of the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in your representation, accordingly.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Linghui Kong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LastNameLinghui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Bitdeer Technologies Group Kong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NameBitdeer Technologies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7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16, 2023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551-3224 or Stephen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344-5791 or Larry Spirgel, Office Chief, at (202) 551-3815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Will Cai</w:t>
      </w:r>
    </w:p>
    <w:sectPr>
      <w:pgSz w:w="11900" w:h="16838" w:orient="portrait"/>
      <w:cols w:equalWidth="0" w:num="1">
        <w:col w:w="10139"/>
      </w:cols>
      <w:pgMar w:left="320" w:top="118" w:right="1440" w:bottom="34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2023-05-22T23:19:34Z</dcterms:created>
  <dcterms:modified xsi:type="dcterms:W3CDTF">2023-05-22T23:19:34Z</dcterms:modified>
</cp:coreProperties>
</file>