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 Bitdeer Announces June 2025 Production and Operations Update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10, 2025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June 2025 Production and Operations Update</w:t>
      </w:r>
    </w:p>
    <w:p>
      <w:pPr>
        <w:spacing w:after="0" w:line="172" w:lineRule="exact"/>
        <w:rPr>
          <w:sz w:val="20"/>
          <w:szCs w:val="20"/>
          <w:color w:val="auto"/>
        </w:rPr>
      </w:pPr>
    </w:p>
    <w:p>
      <w:pPr>
        <w:ind w:left="3320" w:hanging="96"/>
        <w:spacing w:after="0"/>
        <w:tabs>
          <w:tab w:leader="none" w:pos="33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Joined the Russell 2000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3000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Indexes as of June 30, 2025</w:t>
      </w:r>
    </w:p>
    <w:p>
      <w:pPr>
        <w:ind w:left="3580" w:hanging="110"/>
        <w:spacing w:after="0"/>
        <w:tabs>
          <w:tab w:leader="none" w:pos="35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A3 series almost ready for mass production</w:t>
      </w:r>
    </w:p>
    <w:p>
      <w:pPr>
        <w:spacing w:after="0" w:line="7" w:lineRule="exact"/>
        <w:rPr>
          <w:rFonts w:ascii="Times New Roman" w:cs="Times New Roman" w:eastAsia="Times New Roman" w:hAnsi="Times New Roman"/>
          <w:sz w:val="18"/>
          <w:szCs w:val="18"/>
          <w:color w:val="auto"/>
        </w:rPr>
      </w:pPr>
    </w:p>
    <w:p>
      <w:pPr>
        <w:ind w:left="2200" w:hanging="114"/>
        <w:spacing w:after="0"/>
        <w:tabs>
          <w:tab w:leader="none" w:pos="2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self-mining hashrate by 21% to 16.5 EH/s on continued deployment of SEALMINERs</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July 9, 2025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company for Bitcoin mining, today announced its unaudited mining and operations updates for June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Self-mined Bitcoin: </w:t>
      </w:r>
      <w:r>
        <w:rPr>
          <w:rFonts w:ascii="Times New Roman" w:cs="Times New Roman" w:eastAsia="Times New Roman" w:hAnsi="Times New Roman"/>
          <w:sz w:val="18"/>
          <w:szCs w:val="18"/>
          <w:color w:val="auto"/>
        </w:rPr>
        <w:t>203 Bitcoins, an increase of ~4% from May 2025 due to higher average self-mining hashrate from energization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SEALMINERs.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Rig Manufacturing and R&amp;D: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 A1: </w:t>
      </w:r>
      <w:r>
        <w:rPr>
          <w:rFonts w:ascii="Times New Roman" w:cs="Times New Roman" w:eastAsia="Times New Roman" w:hAnsi="Times New Roman"/>
          <w:sz w:val="18"/>
          <w:szCs w:val="18"/>
          <w:color w:val="auto"/>
        </w:rPr>
        <w:t>3.9 EH/s are energized.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A2:</w:t>
      </w:r>
    </w:p>
    <w:p>
      <w:pPr>
        <w:spacing w:after="0" w:line="25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of 14.9 EH/s in mining rigs have been manufactured and an additional 1.1 EH/s are in final assembly as of the end of June 2025.</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14.9 EH/s mining rigs that have been manufactured:</w:t>
      </w:r>
    </w:p>
    <w:p>
      <w:pPr>
        <w:spacing w:after="0" w:line="24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3"/>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External-sales: </w:t>
      </w:r>
      <w:r>
        <w:rPr>
          <w:rFonts w:ascii="Times New Roman" w:cs="Times New Roman" w:eastAsia="Times New Roman" w:hAnsi="Times New Roman"/>
          <w:sz w:val="18"/>
          <w:szCs w:val="18"/>
          <w:color w:val="auto"/>
        </w:rPr>
        <w:t>5.3 EH/s of mining rigs have been shipped to external customers, including 2.4 EH/s that were shipped in June.</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3"/>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256"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4"/>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EH/s have been deployed in U.S., Tydal, Norway and Jigmeling, Bhutan, including 3.0 EH/s in June 2025.</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4"/>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EH/s are in-transit to Bitdeer’s sites in Texas, U.S. and Bhutan.</w:t>
      </w:r>
    </w:p>
    <w:p>
      <w:pPr>
        <w:spacing w:after="0" w:line="252"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4"/>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EH/s are being prepared for shipping.</w:t>
      </w:r>
    </w:p>
    <w:p>
      <w:pPr>
        <w:spacing w:after="0" w:line="24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A3:</w:t>
      </w:r>
    </w:p>
    <w:p>
      <w:pPr>
        <w:spacing w:after="0" w:line="25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final stages of preparation for mass production.</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level testing results meeting expectations.</w:t>
      </w:r>
    </w:p>
    <w:p>
      <w:pPr>
        <w:spacing w:after="0" w:line="24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A4:</w:t>
      </w:r>
    </w:p>
    <w:p>
      <w:pPr>
        <w:spacing w:after="0" w:line="25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achieve an expected chip efficiency of approximately 5 J/TH.</w:t>
      </w:r>
    </w:p>
    <w:p>
      <w:pPr>
        <w:spacing w:after="0" w:line="2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HPC/AI:</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are ongoing with multiple development partners and potential end users for selected large scale sites in the U.S. for HPC/AI.</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serverless GPU infrastructure by expanding capacity and introducing Agent cloud service capabilities, including support for Model Context Protocol (MCP), Agent GPU calls, and intelligent cloud orchestration.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w:t>
      </w:r>
    </w:p>
    <w:p>
      <w:pPr>
        <w:spacing w:after="0" w:line="25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of client-hosted mining rigs remained unchanged in June 2025; however, hosted hashrate increased by 0.2 EH/s due to mining rig upgrades.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Tydal, Norway: </w:t>
      </w:r>
      <w:r>
        <w:rPr>
          <w:rFonts w:ascii="Times New Roman" w:cs="Times New Roman" w:eastAsia="Times New Roman" w:hAnsi="Times New Roman"/>
          <w:sz w:val="18"/>
          <w:szCs w:val="18"/>
          <w:color w:val="auto"/>
        </w:rPr>
        <w:t>All equipment has been delivered. The full energization is expected to be completed by Q3 2025.</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Jigmeling, Bhutan: </w:t>
      </w:r>
      <w:r>
        <w:rPr>
          <w:rFonts w:ascii="Times New Roman" w:cs="Times New Roman" w:eastAsia="Times New Roman" w:hAnsi="Times New Roman"/>
          <w:sz w:val="18"/>
          <w:szCs w:val="18"/>
          <w:color w:val="auto"/>
        </w:rPr>
        <w:t>132 MW are online, the remaining 368 MW are expected to be energized in phases by the end of Q3 2025.</w:t>
      </w:r>
    </w:p>
    <w:p>
      <w:pPr>
        <w:spacing w:after="0" w:line="26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Financing</w:t>
      </w:r>
      <w:r>
        <w:rPr>
          <w:rFonts w:ascii="MS PGothic" w:cs="MS PGothic" w:eastAsia="MS PGothic" w:hAnsi="MS PGothic"/>
          <w:sz w:val="18"/>
          <w:szCs w:val="18"/>
          <w:color w:val="auto"/>
        </w:rPr>
        <w:t>：</w:t>
      </w:r>
    </w:p>
    <w:p>
      <w:pPr>
        <w:spacing w:after="0" w:line="26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closed a total of US$375.0 million principal amount of 4.875% Convertible Senior Notes due 2031 through an oversubscribed private placement offering.</w:t>
      </w:r>
    </w:p>
    <w:p>
      <w:pPr>
        <w:spacing w:after="0" w:line="1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Russell Indexes: </w:t>
      </w:r>
      <w:r>
        <w:rPr>
          <w:rFonts w:ascii="Times New Roman" w:cs="Times New Roman" w:eastAsia="Times New Roman" w:hAnsi="Times New Roman"/>
          <w:sz w:val="18"/>
          <w:szCs w:val="18"/>
          <w:color w:val="auto"/>
        </w:rPr>
        <w:t>Joined Russell 2000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3000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indexes, effective as June 30, 2025 as part of the 2025 Russell indexes reconstitution.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-941705</wp:posOffset>
            </wp:positionV>
            <wp:extent cx="43180" cy="88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we increased our self-mining hashrate by 21% to 16.5 EH/s and we remain on track to reach 40 EH/s by the end of October 2025.” said Matt Kong, Chief Business Officer at Bitdeer. “For SEALMINER A3, the machine level testing is ongoing with all the test results meeting expectations and mass production is almost ready. Looking forward, we are also excited about our most ambitious chip yet, the SEAL04, and we’re building real momentum toward our long-term vision of being a leading global ASIC manufacturer.”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Kong continued, “In addition, we are honored to be included in the U.S. Russell Indexes, a significant milestone that reflects Bitdeer’s continued growth and execution as a leading technology company. We look forward to the increased visibility among institutional investors and improved trading liquidity that the Russell Indexes brings as we advance our advanced SEALMINER technology roadmap, rapidly scale our global Bitcoin mining operations and further diversify into HPC/AI.”</w:t>
      </w:r>
    </w:p>
    <w:p>
      <w:pPr>
        <w:sectPr>
          <w:pgSz w:w="11900" w:h="16838" w:orient="portrait"/>
          <w:cols w:equalWidth="0" w:num="1">
            <w:col w:w="11240"/>
          </w:cols>
          <w:pgMar w:left="320" w:top="360"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Metrics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hash rate under management</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(EH/s)</w:t>
      </w:r>
    </w:p>
    <w:p>
      <w:pPr>
        <w:ind w:left="280" w:hanging="110"/>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hash rate</w:t>
      </w:r>
    </w:p>
    <w:p>
      <w:pPr>
        <w:spacing w:after="0" w:line="1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w:t>
      </w:r>
    </w:p>
    <w:p>
      <w:pPr>
        <w:spacing w:after="0" w:line="3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Hash Rate</w:t>
      </w:r>
    </w:p>
    <w:p>
      <w:pPr>
        <w:spacing w:after="0" w:line="3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but not hashing</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p>
      <w:pPr>
        <w:spacing w:after="0" w:line="10" w:lineRule="exact"/>
        <w:rPr>
          <w:sz w:val="20"/>
          <w:szCs w:val="20"/>
          <w:color w:val="auto"/>
        </w:rPr>
      </w:pPr>
    </w:p>
    <w:p>
      <w:pPr>
        <w:ind w:left="280" w:hanging="110"/>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Self-owned</w:t>
      </w:r>
      <w:r>
        <w:rPr>
          <w:rFonts w:ascii="Times New Roman" w:cs="Times New Roman" w:eastAsia="Times New Roman" w:hAnsi="Times New Roman"/>
          <w:sz w:val="29"/>
          <w:szCs w:val="29"/>
          <w:color w:val="auto"/>
          <w:vertAlign w:val="superscript"/>
        </w:rPr>
        <w:t>2</w:t>
      </w:r>
    </w:p>
    <w:p>
      <w:pPr>
        <w:ind w:left="280" w:hanging="110"/>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May 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2024</w:t>
            </w:r>
          </w:p>
        </w:tc>
      </w:tr>
      <w:tr>
        <w:trPr>
          <w:trHeight w:val="28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223,000</w:t>
            </w:r>
          </w:p>
        </w:tc>
      </w:tr>
      <w:tr>
        <w:trPr>
          <w:trHeight w:val="28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r>
      <w:tr>
        <w:trPr>
          <w:trHeight w:val="28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-1439545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-1130935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-822325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-488315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-179705</wp:posOffset>
            </wp:positionV>
            <wp:extent cx="71323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-1791335</wp:posOffset>
            </wp:positionV>
            <wp:extent cx="71323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6600" w:space="720"/>
            <w:col w:w="3920"/>
          </w:cols>
          <w:pgMar w:left="320" w:top="360" w:right="339" w:bottom="1440" w:gutter="0" w:footer="0" w:header="0"/>
          <w:type w:val="continuous"/>
        </w:sect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June 30, 2025 across the Company’s primary business lines: Self-mining, Cloud Hash Rate, and Hosting.</w:t>
      </w:r>
    </w:p>
    <w:p>
      <w:pPr>
        <w:spacing w:after="0" w:line="193" w:lineRule="exact"/>
        <w:rPr>
          <w:rFonts w:ascii="Times New Roman" w:cs="Times New Roman" w:eastAsia="Times New Roman" w:hAnsi="Times New Roman"/>
          <w:sz w:val="30"/>
          <w:szCs w:val="30"/>
          <w:color w:val="auto"/>
          <w:vertAlign w:val="superscript"/>
        </w:rPr>
      </w:pPr>
    </w:p>
    <w:p>
      <w:pPr>
        <w:ind w:left="660" w:hanging="328"/>
        <w:spacing w:after="0" w:line="28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the Company’s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spacing w:after="0" w:line="18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7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the Company’s self-mining business and Cloud Hash Rate business.</w:t>
      </w:r>
    </w:p>
    <w:p>
      <w:pPr>
        <w:spacing w:after="0" w:line="1" w:lineRule="exact"/>
        <w:rPr>
          <w:sz w:val="20"/>
          <w:szCs w:val="20"/>
          <w:color w:val="auto"/>
        </w:rPr>
      </w:pPr>
    </w:p>
    <w:p>
      <w:pPr>
        <w:jc w:val="right"/>
        <w:ind w:left="5580" w:right="5580" w:hanging="5572"/>
        <w:spacing w:after="0" w:line="310" w:lineRule="auto"/>
        <w:tabs>
          <w:tab w:leader="none" w:pos="333"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b w:val="1"/>
          <w:bCs w:val="1"/>
          <w:color w:val="auto"/>
        </w:rPr>
        <w:t xml:space="preserve">Bitcoins held </w:t>
      </w:r>
      <w:r>
        <w:rPr>
          <w:rFonts w:ascii="Times New Roman" w:cs="Times New Roman" w:eastAsia="Times New Roman" w:hAnsi="Times New Roman"/>
          <w:sz w:val="17"/>
          <w:szCs w:val="17"/>
          <w:color w:val="auto"/>
        </w:rPr>
        <w:t>do not include the Bitcoins from deposits of the customers.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Site /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5688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Rockdale, Texas</w:t>
      </w:r>
    </w:p>
    <w:p>
      <w:pPr>
        <w:spacing w:after="0" w:line="17"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Knoxville, Tennessee</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Wenatchee, Washington</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Molde, Norway</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Norway</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Gedu, Bhutan</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Jigmeling, Bhutan</w:t>
      </w:r>
    </w:p>
    <w:p>
      <w:pPr>
        <w:spacing w:after="0" w:line="32" w:lineRule="exact"/>
        <w:rPr>
          <w:rFonts w:ascii="Times New Roman" w:cs="Times New Roman" w:eastAsia="Times New Roman" w:hAnsi="Times New Roman"/>
          <w:sz w:val="18"/>
          <w:szCs w:val="18"/>
          <w:color w:val="auto"/>
        </w:rPr>
      </w:pPr>
    </w:p>
    <w:p>
      <w:pPr>
        <w:ind w:right="4760"/>
        <w:spacing w:after="0" w:line="3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Total electrical capacity Pipeline capacity</w:t>
      </w:r>
    </w:p>
    <w:p>
      <w:pPr>
        <w:spacing w:after="0" w:line="1"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Norway Phase 2</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Massillon, Ohio</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Clarington, Ohio Phase 1</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Clarington, Ohio Phase 2</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Jigmeling, Bhutan</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Rockdale, Texas</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Alberta, Canada</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Oromia Region, Ethiopia</w:t>
      </w:r>
    </w:p>
    <w:p>
      <w:pPr>
        <w:spacing w:after="0" w:line="3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pipeline capacity</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global electrical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-2585720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-2277110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-1659890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-1351280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-1042670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All timing references are to calendar quarters and years.</w:t>
      </w:r>
    </w:p>
    <w:p>
      <w:pPr>
        <w:ind w:left="340" w:hanging="332"/>
        <w:spacing w:after="0" w:line="180" w:lineRule="auto"/>
        <w:tabs>
          <w:tab w:leader="none" w:pos="34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Figures represent total available electrical capacity.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Rockdale, Texas </w:t>
      </w:r>
      <w:r>
        <w:rPr>
          <w:rFonts w:ascii="Times New Roman" w:cs="Times New Roman" w:eastAsia="Times New Roman" w:hAnsi="Times New Roman"/>
          <w:sz w:val="17"/>
          <w:szCs w:val="17"/>
          <w:i w:val="1"/>
          <w:iCs w:val="1"/>
          <w:color w:val="auto"/>
        </w:rPr>
        <w:t>– 100 MW Hydro-cooling conversion energization is ongoing:</w:t>
      </w:r>
    </w:p>
    <w:p>
      <w:pPr>
        <w:spacing w:after="0" w:line="24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cooling systems were delivered and installed.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Energization in accordance with the phases of delivery of mining rigs.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29"/>
                <w:szCs w:val="29"/>
                <w:b w:val="1"/>
                <w:bCs w:val="1"/>
                <w:color w:val="auto"/>
                <w:vertAlign w:val="superscript"/>
              </w:rPr>
              <w:t>4</w:t>
            </w:r>
          </w:p>
        </w:tc>
        <w:tc>
          <w:tcPr>
            <w:tcW w:w="0" w:type="dxa"/>
            <w:vAlign w:val="bottom"/>
          </w:tcPr>
          <w:p>
            <w:pPr>
              <w:spacing w:after="0"/>
              <w:rPr>
                <w:sz w:val="1"/>
                <w:szCs w:val="1"/>
                <w:color w:val="auto"/>
              </w:rPr>
            </w:pPr>
          </w:p>
        </w:tc>
      </w:tr>
      <w:tr>
        <w:trPr>
          <w:trHeight w:val="245"/>
        </w:trPr>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(MW)</w:t>
            </w:r>
          </w:p>
        </w:tc>
        <w:tc>
          <w:tcPr>
            <w:tcW w:w="220" w:type="dxa"/>
            <w:vAlign w:val="bottom"/>
          </w:tcPr>
          <w:p>
            <w:pPr>
              <w:spacing w:after="0"/>
              <w:rPr>
                <w:sz w:val="21"/>
                <w:szCs w:val="21"/>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20" w:type="dxa"/>
            <w:vAlign w:val="bottom"/>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5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398"/>
        </w:trPr>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1,098</w:t>
            </w:r>
            <w:r>
              <w:rPr>
                <w:rFonts w:ascii="Times New Roman" w:cs="Times New Roman" w:eastAsia="Times New Roman" w:hAnsi="Times New Roman"/>
                <w:sz w:val="29"/>
                <w:szCs w:val="29"/>
                <w:b w:val="1"/>
                <w:bCs w:val="1"/>
                <w:color w:val="auto"/>
                <w:vertAlign w:val="superscript"/>
              </w:rPr>
              <w:t>5</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progress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Q3 2025</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progress</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Q3 - Q4 2025</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progress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 2027</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In planning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 2027</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progress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Q3 2025</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In planning</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Estimate 2026</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In planning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61"/>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progress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2025</w:t>
            </w: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1,592</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2,690</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43" w:lineRule="exact"/>
        <w:rPr>
          <w:sz w:val="20"/>
          <w:szCs w:val="20"/>
          <w:color w:val="auto"/>
        </w:rPr>
      </w:pPr>
    </w:p>
    <w:p>
      <w:pPr>
        <w:sectPr>
          <w:pgSz w:w="11900" w:h="16838" w:orient="portrait"/>
          <w:cols w:equalWidth="0" w:num="2">
            <w:col w:w="6600" w:space="720"/>
            <w:col w:w="3920"/>
          </w:cols>
          <w:pgMar w:left="320" w:top="333"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Tydal, Norway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175 MW site expansion has commenced energization and the full energization timeline has been adjusted to the end of Q3 2025:</w:t>
      </w:r>
    </w:p>
    <w:p>
      <w:pPr>
        <w:spacing w:after="0" w:line="2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MW are online.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has been delivered. Due to reduced manpower availability during the European summer, the energization schedule for the remaining 105 MW has been adjusted to ensure the highest quality of execution. Installation has been completed for 63 MW, which is currently undergoing commissioning. The remaining capacity, water supply and drainage system, is expected to be completed by the end of Q3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Massillon, Ohio </w:t>
      </w:r>
      <w:r>
        <w:rPr>
          <w:rFonts w:ascii="Times New Roman" w:cs="Times New Roman" w:eastAsia="Times New Roman" w:hAnsi="Times New Roman"/>
          <w:sz w:val="18"/>
          <w:szCs w:val="18"/>
          <w:i w:val="1"/>
          <w:iCs w:val="1"/>
          <w:color w:val="auto"/>
        </w:rPr>
        <w:t>– 221 MW site on track for completion in H2 2025:</w:t>
      </w:r>
    </w:p>
    <w:p>
      <w:pPr>
        <w:spacing w:after="0" w:line="2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Substation construction is underway and is expected to be completed in Q3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construction is ongoing and is expected to be completed in phases from Q3 to Q4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Clarington, Ohio </w:t>
      </w:r>
      <w:r>
        <w:rPr>
          <w:rFonts w:ascii="Times New Roman" w:cs="Times New Roman" w:eastAsia="Times New Roman" w:hAnsi="Times New Roman"/>
          <w:sz w:val="18"/>
          <w:szCs w:val="18"/>
          <w:i w:val="1"/>
          <w:iCs w:val="1"/>
          <w:color w:val="auto"/>
        </w:rPr>
        <w:t>– 570 MW total, in 2 phases:</w:t>
      </w:r>
    </w:p>
    <w:p>
      <w:pPr>
        <w:spacing w:after="0" w:line="22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(266 MW) – Bitcoin mining related construction is in progress with full optionality to reassess and repurpose for HPC at a later 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(304 MW) – Bitcoin mining related construction is in planning with full optionality to reassess and repurpose for HPC at a later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Jigmeling, Bhutan </w:t>
      </w:r>
      <w:r>
        <w:rPr>
          <w:rFonts w:ascii="Times New Roman" w:cs="Times New Roman" w:eastAsia="Times New Roman" w:hAnsi="Times New Roman"/>
          <w:sz w:val="18"/>
          <w:szCs w:val="18"/>
          <w:i w:val="1"/>
          <w:iCs w:val="1"/>
          <w:color w:val="auto"/>
        </w:rPr>
        <w:t>– 500 MW site has commenced energization and is expected to be fully energized in phases by the end of Q3 2025:</w:t>
      </w:r>
    </w:p>
    <w:p>
      <w:pPr>
        <w:spacing w:after="0" w:line="22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MW are online.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368 MW are expected to be energized in phases by the end of Q3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132kV transformers and five 220kV transformers have been energized in June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containers and hydro-cooling systems are completed and are now in the installation process.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Fox Creek, Alberta </w:t>
      </w:r>
      <w:r>
        <w:rPr>
          <w:rFonts w:ascii="Times New Roman" w:cs="Times New Roman" w:eastAsia="Times New Roman" w:hAnsi="Times New Roman"/>
          <w:sz w:val="18"/>
          <w:szCs w:val="18"/>
          <w:i w:val="1"/>
          <w:iCs w:val="1"/>
          <w:color w:val="auto"/>
        </w:rPr>
        <w:t>– 101 MW site acquired in Alberta, is fully licensed and permitted to construct an on-site natural gas power plant. The project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expected to be energized by the end of Q4 2026.</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Oromia Region, Ethiopia </w:t>
      </w:r>
      <w:r>
        <w:rPr>
          <w:rFonts w:ascii="Times New Roman" w:cs="Times New Roman" w:eastAsia="Times New Roman" w:hAnsi="Times New Roman"/>
          <w:sz w:val="18"/>
          <w:szCs w:val="18"/>
          <w:i w:val="1"/>
          <w:iCs w:val="1"/>
          <w:color w:val="auto"/>
        </w:rPr>
        <w:t>– SPA and a turnkey agreement signed for the acquisition and construction of a 50 MW Bitcoin mining project in Ethiopia.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project is expected to be energized in Q4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September 4, 2025: </w:t>
      </w:r>
      <w:r>
        <w:rPr>
          <w:rFonts w:ascii="Times New Roman" w:cs="Times New Roman" w:eastAsia="Times New Roman" w:hAnsi="Times New Roman"/>
          <w:sz w:val="18"/>
          <w:szCs w:val="18"/>
          <w:color w:val="auto"/>
        </w:rPr>
        <w:t>5th Annual Needham Virtual Crypto Conference</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September 8 – 10, 2025: </w:t>
      </w:r>
      <w:r>
        <w:rPr>
          <w:rFonts w:ascii="Times New Roman" w:cs="Times New Roman" w:eastAsia="Times New Roman" w:hAnsi="Times New Roman"/>
          <w:sz w:val="18"/>
          <w:szCs w:val="18"/>
          <w:color w:val="auto"/>
        </w:rPr>
        <w:t>HC Wainwright Global Investment Conference in New York</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October 7, 2025: </w:t>
      </w:r>
      <w:r>
        <w:rPr>
          <w:rFonts w:ascii="Times New Roman" w:cs="Times New Roman" w:eastAsia="Times New Roman" w:hAnsi="Times New Roman"/>
          <w:sz w:val="18"/>
          <w:szCs w:val="18"/>
          <w:color w:val="auto"/>
        </w:rPr>
        <w:t>CEO Summit in Phoenix, AZ</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Bitdeer is a world-leading technology company for Bitcoin mining. Bitdeer is committed to providing comprehensive Bitcoin mining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To learn more, visit </w:t>
      </w:r>
      <w:r>
        <w:rPr>
          <w:rFonts w:ascii="Times New Roman" w:cs="Times New Roman" w:eastAsia="Times New Roman" w:hAnsi="Times New Roman"/>
          <w:sz w:val="18"/>
          <w:szCs w:val="18"/>
          <w:u w:val="single" w:color="auto"/>
          <w:color w:val="auto"/>
        </w:rPr>
        <w:t>https://ir.bitdeer.com/</w:t>
      </w:r>
      <w:r>
        <w:rPr>
          <w:rFonts w:ascii="Times New Roman" w:cs="Times New Roman" w:eastAsia="Times New Roman" w:hAnsi="Times New Roman"/>
          <w:sz w:val="18"/>
          <w:szCs w:val="18"/>
          <w:color w:val="auto"/>
        </w:rPr>
        <w:t xml:space="preserve"> or follow Bitdeer on X @ </w:t>
      </w:r>
      <w:r>
        <w:rPr>
          <w:rFonts w:ascii="Times New Roman" w:cs="Times New Roman" w:eastAsia="Times New Roman" w:hAnsi="Times New Roman"/>
          <w:sz w:val="18"/>
          <w:szCs w:val="18"/>
          <w:u w:val="single" w:color="auto"/>
          <w:color w:val="auto"/>
        </w:rPr>
        <w:t>BitdeerOfficial</w:t>
      </w:r>
      <w:r>
        <w:rPr>
          <w:rFonts w:ascii="Times New Roman" w:cs="Times New Roman" w:eastAsia="Times New Roman" w:hAnsi="Times New Roman"/>
          <w:sz w:val="18"/>
          <w:szCs w:val="18"/>
          <w:color w:val="auto"/>
        </w:rPr>
        <w:t xml:space="preserve"> and LinkedIn @ </w:t>
      </w:r>
      <w:r>
        <w:rPr>
          <w:rFonts w:ascii="Times New Roman" w:cs="Times New Roman" w:eastAsia="Times New Roman" w:hAnsi="Times New Roman"/>
          <w:sz w:val="18"/>
          <w:szCs w:val="18"/>
          <w:u w:val="single" w:color="auto"/>
          <w:color w:val="auto"/>
        </w:rPr>
        <w:t>Bitdeer Group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bullet"/>
      <w:start w:val="1"/>
    </w:lvl>
    <w:lvl w:ilvl="1">
      <w:lvlJc w:val="left"/>
      <w:lvlText w:val="●"/>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4"/>
      <w:numFmt w:val="bullet"/>
      <w:start w:val="1"/>
    </w:lvl>
  </w:abstractNum>
  <w:abstractNum w:abstractNumId="10">
    <w:nsid w:val="DED7263"/>
    <w:multiLevelType w:val="hybridMultilevel"/>
    <w:lvl w:ilvl="0">
      <w:lvlJc w:val="left"/>
      <w:lvlText w:val="5"/>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2025-07-10T06:04:33Z</dcterms:created>
  <dcterms:modified xsi:type="dcterms:W3CDTF">2025-07-10T06:04:33Z</dcterms:modified>
</cp:coreProperties>
</file>