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ea0300737-f3asr_bitdeer.htm"/>
      <w:bookmarkStart w:id="1" w:name="ksea0300737f3asr_bitdeer"/>
      <w:bookmarkEnd w:id="0"/>
      <w:bookmarkEnd w:id="1"/>
      <w:r>
        <w:rPr>
          <w:rFonts w:ascii="Times New Roman;Times;Serif" w:hAnsi="Times New Roman;Times;Serif"/>
          <w:b/>
          <w:i w:val="false"/>
          <w:caps w:val="false"/>
          <w:smallCaps w:val="false"/>
          <w:sz w:val="20"/>
        </w:rPr>
        <w:t>As filed with the Securities and Exchange Commission on August 10,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br/>
        <w:t>REGISTRATION STATEMENT</w:t>
        <w:br/>
        <w:t>UNDER</w:t>
        <w:br/>
        <w:t>THE SECURITIES ACT OF 1933</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br/>
      </w: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firstLine="288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br/>
        <w:t>Aperia tower 1, #09-03/04</w:t>
        <w:br/>
        <w:t>Singapore 339509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+65 62828220</w:t>
        <w:br/>
        <w:br/>
      </w: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br/>
        <w:t>122 East 42nd Street, 18th Floor</w:t>
        <w:br/>
        <w:t>New York, New York 10168</w:t>
        <w:br/>
        <w:t>+1 800-221-0102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2720"/>
        <w:gridCol w:w="60"/>
        <w:gridCol w:w="3215"/>
      </w:tblGrid>
      <w:tr>
        <w:trPr/>
        <w:tc>
          <w:tcPr>
            <w:tcW w:w="2720" w:type="dxa"/>
            <w:tcBorders/>
            <w:vAlign w:val="center"/>
          </w:tcPr>
          <w:p>
            <w:pPr>
              <w:pStyle w:val="TableContents"/>
              <w:bidi w:val="0"/>
              <w:spacing w:before="0" w:after="283"/>
              <w:jc w:val="center"/>
              <w:rPr/>
            </w:pPr>
            <w:r>
              <w:rPr>
                <w:b/>
              </w:rPr>
              <w:t>Jihan Wu</w:t>
            </w:r>
            <w:r>
              <w:rPr/>
              <w:t xml:space="preserve"> </w:t>
            </w:r>
            <w:r>
              <w:rPr>
                <w:b/>
              </w:rPr>
              <w:br/>
              <w:t>Chief Executive Officer</w:t>
              <w:br/>
              <w:t>08 Kallang Avenue</w:t>
            </w:r>
            <w:r>
              <w:rPr/>
              <w:t xml:space="preserve"> </w:t>
            </w:r>
            <w:r>
              <w:rPr>
                <w:b/>
              </w:rPr>
              <w:br/>
              <w:t>Aperia tower 1, #09-03/04</w:t>
            </w:r>
            <w:r>
              <w:rPr/>
              <w:t xml:space="preserve"> </w:t>
            </w:r>
            <w:r>
              <w:rPr>
                <w:b/>
              </w:rPr>
              <w:br/>
              <w:t>SG 339509</w:t>
              <w:br/>
              <w:t>+65 62828220</w:t>
            </w:r>
            <w:r>
              <w:rPr/>
              <w:t xml:space="preserve">  </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pPr>
            <w:r>
              <w:rPr>
                <w:b/>
              </w:rPr>
              <w:t>Will H. Cai, Esq.</w:t>
            </w:r>
            <w:r>
              <w:rPr/>
              <w:t xml:space="preserve"> </w:t>
            </w:r>
            <w:r>
              <w:rPr>
                <w:b/>
              </w:rPr>
              <w:br/>
              <w:t>Reid S. Hooper, Esq.</w:t>
              <w:br/>
              <w:t>Cooley LLP</w:t>
            </w:r>
            <w:r>
              <w:rPr/>
              <w:t xml:space="preserve"> </w:t>
            </w:r>
            <w:r>
              <w:rPr>
                <w:b/>
              </w:rPr>
              <w:br/>
              <w:t>c/o 35/F Two Exchange Square</w:t>
              <w:br/>
              <w:t>8 Connaught Place</w:t>
              <w:br/>
              <w:t>Central, Hong Kong</w:t>
              <w:br/>
              <w:t>+852 3758-1210</w:t>
            </w:r>
            <w:r>
              <w:rPr/>
              <w:t xml:space="preserve">  </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From time to time on or after the effective date of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Emerging growth company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2004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0400" cy="619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b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b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issue and sell from time to time any combination of our ordinary shares, preferred shares, debt securities, warrants and a combination of such securities, separately or as units, (collectively, the “securities”), in one or more offerings. We may also offer ordinary shares or preferred shares upon conversion of debt securities, ordinary shares upon conversion of preferred shares, or ordinary shares, preferred shares or debt securities upon the exercise of warrants. We may offer, issue and sell any combination of the securities described in this prospectus in different series, at times, in amounts, at prices and on terms to be determined at or prior to the time of each offering. In addition, from time to time, the selling securityholders to be named in a prospectus supplement may offer and sell Class A ordinary shares or other securities held by them, through public or private transactions at prevailing market prices or at privately negotiated prices. We will not receive any proceeds from the sale of the securities by the selling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securities offered, see the section titled “Plan of Distribution” beginning on page 30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currently listed on The Nasdaq Capital Market (“Nasdaq”) under the symbol “BTDR.” On August 7, 2026, the closing price of our Class A ordinary shares was US$10.88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the section titled “Risk Factors” beginning on page 6 of this prospectus and, if applicable, any risk factors described in any applicable prospectus supplement and in our U.S. Securities and Exchange Commission (“SEC”) filings that are incorporated by reference in this prospectus. We may also include specific risk factors in supplements to this prospectus under the caption “Risk Factors.” This prospectus may not be used to sell our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SEC or any state securities commission has approved or disapproved of the securities or determined if this prospectus is accurate or adequate.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F20"/>
          <w:sz w:val="20"/>
        </w:rPr>
        <w:t>The date of this prospectus is August 10, 2026</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firstLine="72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8840"/>
        <w:gridCol w:w="60"/>
        <w:gridCol w:w="275"/>
      </w:tblGrid>
      <w:tr>
        <w:trPr/>
        <w:tc>
          <w:tcPr>
            <w:tcW w:w="884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ii</w:t>
            </w:r>
          </w:p>
        </w:tc>
      </w:tr>
      <w:tr>
        <w:trPr/>
        <w:tc>
          <w:tcPr>
            <w:tcW w:w="8840" w:type="dxa"/>
            <w:tcBorders/>
            <w:shd w:fill="FFFFFF" w:val="clear"/>
            <w:vAlign w:val="center"/>
          </w:tcPr>
          <w:p>
            <w:pPr>
              <w:pStyle w:val="TableContents"/>
              <w:bidi w:val="0"/>
              <w:spacing w:before="0" w:after="283"/>
              <w:jc w:val="left"/>
              <w:rPr/>
            </w:pPr>
            <w:hyperlink w:anchor="a_002">
              <w:r>
                <w:rPr>
                  <w:rStyle w:val="InternetLink"/>
                </w:rPr>
                <w:t>MARKET PRICE INFORMATION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iii</w:t>
            </w:r>
          </w:p>
        </w:tc>
      </w:tr>
      <w:tr>
        <w:trPr/>
        <w:tc>
          <w:tcPr>
            <w:tcW w:w="8840" w:type="dxa"/>
            <w:tcBorders/>
            <w:shd w:fill="CCEEFF" w:val="clear"/>
            <w:vAlign w:val="center"/>
          </w:tcPr>
          <w:p>
            <w:pPr>
              <w:pStyle w:val="TableContents"/>
              <w:bidi w:val="0"/>
              <w:spacing w:before="0" w:after="283"/>
              <w:jc w:val="left"/>
              <w:rPr/>
            </w:pPr>
            <w:hyperlink w:anchor="a_003">
              <w:r>
                <w:rPr>
                  <w:rStyle w:val="InternetLink"/>
                </w:rPr>
                <w:t>CAUTIONARY STATEMENT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iv</w:t>
            </w:r>
          </w:p>
        </w:tc>
      </w:tr>
      <w:tr>
        <w:trPr/>
        <w:tc>
          <w:tcPr>
            <w:tcW w:w="8840" w:type="dxa"/>
            <w:tcBorders/>
            <w:shd w:fill="FFFFFF" w:val="clear"/>
            <w:vAlign w:val="center"/>
          </w:tcPr>
          <w:p>
            <w:pPr>
              <w:pStyle w:val="TableContents"/>
              <w:bidi w:val="0"/>
              <w:spacing w:before="0" w:after="283"/>
              <w:jc w:val="left"/>
              <w:rPr/>
            </w:pPr>
            <w:hyperlink w:anchor="a_004">
              <w:r>
                <w:rPr>
                  <w:rStyle w:val="InternetLink"/>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1</w:t>
            </w:r>
          </w:p>
        </w:tc>
      </w:tr>
      <w:tr>
        <w:trPr/>
        <w:tc>
          <w:tcPr>
            <w:tcW w:w="8840"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6</w:t>
            </w:r>
          </w:p>
        </w:tc>
      </w:tr>
      <w:tr>
        <w:trPr/>
        <w:tc>
          <w:tcPr>
            <w:tcW w:w="884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7</w:t>
            </w:r>
          </w:p>
        </w:tc>
      </w:tr>
      <w:tr>
        <w:trPr/>
        <w:tc>
          <w:tcPr>
            <w:tcW w:w="8840" w:type="dxa"/>
            <w:tcBorders/>
            <w:shd w:fill="CCEEFF" w:val="clear"/>
            <w:vAlign w:val="center"/>
          </w:tcPr>
          <w:p>
            <w:pPr>
              <w:pStyle w:val="TableContents"/>
              <w:bidi w:val="0"/>
              <w:spacing w:before="0" w:after="283"/>
              <w:jc w:val="left"/>
              <w:rPr/>
            </w:pPr>
            <w:hyperlink w:anchor="a_019">
              <w:r>
                <w:rPr>
                  <w:rStyle w:val="InternetLink"/>
                </w:rPr>
                <w:t>SELLING SECURITYHOLDERS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8</w:t>
            </w:r>
          </w:p>
        </w:tc>
      </w:tr>
      <w:tr>
        <w:trPr/>
        <w:tc>
          <w:tcPr>
            <w:tcW w:w="8840" w:type="dxa"/>
            <w:tcBorders/>
            <w:shd w:fill="FFFFFF" w:val="clear"/>
            <w:vAlign w:val="center"/>
          </w:tcPr>
          <w:p>
            <w:pPr>
              <w:pStyle w:val="TableContents"/>
              <w:bidi w:val="0"/>
              <w:spacing w:before="0" w:after="283"/>
              <w:jc w:val="left"/>
              <w:rPr/>
            </w:pPr>
            <w:hyperlink w:anchor="a_007">
              <w:r>
                <w:rPr>
                  <w:rStyle w:val="InternetLink"/>
                </w:rPr>
                <w:t>DIVIDEND POLICY</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9</w:t>
            </w:r>
          </w:p>
        </w:tc>
      </w:tr>
      <w:tr>
        <w:trPr/>
        <w:tc>
          <w:tcPr>
            <w:tcW w:w="8840" w:type="dxa"/>
            <w:tcBorders/>
            <w:shd w:fill="CCEEFF" w:val="clear"/>
            <w:vAlign w:val="center"/>
          </w:tcPr>
          <w:p>
            <w:pPr>
              <w:pStyle w:val="TableContents"/>
              <w:bidi w:val="0"/>
              <w:spacing w:before="0" w:after="283"/>
              <w:jc w:val="left"/>
              <w:rPr/>
            </w:pPr>
            <w:hyperlink w:anchor="a_008">
              <w:r>
                <w:rPr>
                  <w:rStyle w:val="InternetLink"/>
                </w:rPr>
                <w:t>DESCRIPTION OF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10</w:t>
            </w:r>
          </w:p>
        </w:tc>
      </w:tr>
      <w:tr>
        <w:trPr/>
        <w:tc>
          <w:tcPr>
            <w:tcW w:w="8840" w:type="dxa"/>
            <w:tcBorders/>
            <w:shd w:fill="FFFFFF" w:val="clear"/>
            <w:vAlign w:val="center"/>
          </w:tcPr>
          <w:p>
            <w:pPr>
              <w:pStyle w:val="TableContents"/>
              <w:bidi w:val="0"/>
              <w:spacing w:before="0" w:after="283"/>
              <w:jc w:val="left"/>
              <w:rPr/>
            </w:pPr>
            <w:hyperlink w:anchor="a_009">
              <w:r>
                <w:rPr>
                  <w:rStyle w:val="InternetLink"/>
                </w:rPr>
                <w:t>FORMS OF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28</w:t>
            </w:r>
          </w:p>
        </w:tc>
      </w:tr>
      <w:tr>
        <w:trPr/>
        <w:tc>
          <w:tcPr>
            <w:tcW w:w="8840" w:type="dxa"/>
            <w:tcBorders/>
            <w:shd w:fill="CCEEFF" w:val="clear"/>
            <w:vAlign w:val="center"/>
          </w:tcPr>
          <w:p>
            <w:pPr>
              <w:pStyle w:val="TableContents"/>
              <w:bidi w:val="0"/>
              <w:spacing w:before="0" w:after="283"/>
              <w:jc w:val="left"/>
              <w:rPr/>
            </w:pPr>
            <w:hyperlink w:anchor="a_010">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30</w:t>
            </w:r>
          </w:p>
        </w:tc>
      </w:tr>
      <w:tr>
        <w:trPr/>
        <w:tc>
          <w:tcPr>
            <w:tcW w:w="8840" w:type="dxa"/>
            <w:tcBorders/>
            <w:shd w:fill="FFFFFF" w:val="clear"/>
            <w:vAlign w:val="center"/>
          </w:tcPr>
          <w:p>
            <w:pPr>
              <w:pStyle w:val="TableContents"/>
              <w:bidi w:val="0"/>
              <w:spacing w:before="0" w:after="283"/>
              <w:jc w:val="left"/>
              <w:rPr/>
            </w:pPr>
            <w:hyperlink w:anchor="a_011">
              <w:r>
                <w:rPr>
                  <w:rStyle w:val="InternetLink"/>
                </w:rPr>
                <w:t>EXPENSES RELATED TO THE OFFERING</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32</w:t>
            </w:r>
          </w:p>
        </w:tc>
      </w:tr>
      <w:tr>
        <w:trPr/>
        <w:tc>
          <w:tcPr>
            <w:tcW w:w="8840" w:type="dxa"/>
            <w:tcBorders/>
            <w:shd w:fill="CCEEFF" w:val="clear"/>
            <w:vAlign w:val="center"/>
          </w:tcPr>
          <w:p>
            <w:pPr>
              <w:pStyle w:val="TableContents"/>
              <w:bidi w:val="0"/>
              <w:spacing w:before="0" w:after="283"/>
              <w:jc w:val="left"/>
              <w:rPr/>
            </w:pPr>
            <w:hyperlink w:anchor="a_012">
              <w:r>
                <w:rPr>
                  <w:rStyle w:val="InternetLink"/>
                </w:rPr>
                <w:t>TAX CONSIDERATIONS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33</w:t>
            </w:r>
          </w:p>
        </w:tc>
      </w:tr>
      <w:tr>
        <w:trPr/>
        <w:tc>
          <w:tcPr>
            <w:tcW w:w="8840" w:type="dxa"/>
            <w:tcBorders/>
            <w:shd w:fill="FFFFFF" w:val="clear"/>
            <w:vAlign w:val="center"/>
          </w:tcPr>
          <w:p>
            <w:pPr>
              <w:pStyle w:val="TableContents"/>
              <w:bidi w:val="0"/>
              <w:spacing w:before="0" w:after="283"/>
              <w:jc w:val="left"/>
              <w:rPr/>
            </w:pPr>
            <w:hyperlink w:anchor="a_013">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40</w:t>
            </w:r>
          </w:p>
        </w:tc>
      </w:tr>
      <w:tr>
        <w:trPr/>
        <w:tc>
          <w:tcPr>
            <w:tcW w:w="8840" w:type="dxa"/>
            <w:tcBorders/>
            <w:shd w:fill="CCEEFF" w:val="clear"/>
            <w:vAlign w:val="center"/>
          </w:tcPr>
          <w:p>
            <w:pPr>
              <w:pStyle w:val="TableContents"/>
              <w:bidi w:val="0"/>
              <w:spacing w:before="0" w:after="283"/>
              <w:jc w:val="left"/>
              <w:rPr/>
            </w:pPr>
            <w:hyperlink w:anchor="a_014">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41</w:t>
            </w:r>
          </w:p>
        </w:tc>
      </w:tr>
      <w:tr>
        <w:trPr/>
        <w:tc>
          <w:tcPr>
            <w:tcW w:w="8840" w:type="dxa"/>
            <w:tcBorders/>
            <w:shd w:fill="FFFFFF" w:val="clear"/>
            <w:vAlign w:val="center"/>
          </w:tcPr>
          <w:p>
            <w:pPr>
              <w:pStyle w:val="TableContents"/>
              <w:bidi w:val="0"/>
              <w:spacing w:before="0" w:after="283"/>
              <w:jc w:val="left"/>
              <w:rPr/>
            </w:pPr>
            <w:hyperlink w:anchor="a_015">
              <w:r>
                <w:rPr>
                  <w:rStyle w:val="InternetLink"/>
                </w:rPr>
                <w:t>ENFORCEABILITY OF CIVIL LIABILITY</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42</w:t>
            </w:r>
          </w:p>
        </w:tc>
      </w:tr>
      <w:tr>
        <w:trPr/>
        <w:tc>
          <w:tcPr>
            <w:tcW w:w="8840" w:type="dxa"/>
            <w:tcBorders/>
            <w:shd w:fill="CCEEFF" w:val="clear"/>
            <w:vAlign w:val="center"/>
          </w:tcPr>
          <w:p>
            <w:pPr>
              <w:pStyle w:val="TableContents"/>
              <w:bidi w:val="0"/>
              <w:spacing w:before="0" w:after="283"/>
              <w:jc w:val="left"/>
              <w:rPr/>
            </w:pPr>
            <w:hyperlink w:anchor="a_016">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44</w:t>
            </w:r>
          </w:p>
        </w:tc>
      </w:tr>
      <w:tr>
        <w:trPr/>
        <w:tc>
          <w:tcPr>
            <w:tcW w:w="8840" w:type="dxa"/>
            <w:tcBorders/>
            <w:shd w:fill="FFFFFF" w:val="clear"/>
            <w:vAlign w:val="center"/>
          </w:tcPr>
          <w:p>
            <w:pPr>
              <w:pStyle w:val="TableContents"/>
              <w:bidi w:val="0"/>
              <w:spacing w:before="0" w:after="283"/>
              <w:jc w:val="left"/>
              <w:rPr/>
            </w:pPr>
            <w:hyperlink w:anchor="a_017">
              <w:r>
                <w:rPr>
                  <w:rStyle w:val="InternetLink"/>
                </w:rPr>
                <w:t>INFORMATION INCORPORATED BY REFERENCE</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2" w:name="a_001"/>
      <w:bookmarkEnd w:id="2"/>
      <w:r>
        <w:rPr>
          <w:rFonts w:ascii="Times New Roman;Times;Serif" w:hAnsi="Times New Roman;Times;Serif"/>
          <w:b/>
          <w:i w:val="false"/>
          <w:smallCaps/>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 part of an automatic registration statement on Form F-3 that we filed with the SEC using a “shelf” registration process, available to us as a “well-known seasoned issuer” as defined in Rule 405 under the Securities Act of 1933, as amended (the “Securities Act”). By using an automatic shelf registration statement, we or any selling securityholders may offer and sell the securities described in this prospectus and the applicable prospectus supplement, from time to time in one or more offerings on a continuous or delayed basis. There is no limit on the aggregate amount of the securities that we or selling securityholders may offer pursuant to the registration statement of which this prospectus is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that may be offered by us. Each time we or any selling securityholders sell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add, update or change information contained in this prospectus. We may also add, update or change information contained in this prospectus by incorporating by reference information that we file or furnish to the SEC. As allowed by the SEC rules, this prospectus and any accompanying prospectus supplement do not contain all of the information included in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buying any of the securities we are offering, you should carefully read both this prospectus and any prospectus supplement with all of the information incorporated by reference in this prospectus, as well as the additional information described in the sections titled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 – for example, a prospectus supplement or a document incorporated by reference in this prospectus – the statement in the document having the later date modifies or supersedes the earlier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underwriters, dealers or agents have authorized anyone to provide any information or to make any representations other than those contained in this prospectus, any accompanying prospectus supplement or any free writing prospectus we have prepared. Neither we nor any underwriters, dealers or agents take responsibility for, or provide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cover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proprietary rights to trademarks used in this prospectus that are important to our business, many of which are registered (or pending registration) under applicable intellectual property laws. This prospectus contains references to trademarks, trade names and service marks belonging to other entities. Solely for convenience, trademarks, trade names and service marks referred to in this prospectus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3" w:name="a_002"/>
      <w:bookmarkEnd w:id="3"/>
      <w:r>
        <w:rPr>
          <w:rFonts w:ascii="Times New Roman;Times;Serif" w:hAnsi="Times New Roman;Times;Serif"/>
          <w:b/>
          <w:i w:val="false"/>
          <w:smallCaps/>
          <w:sz w:val="20"/>
        </w:rPr>
        <w:t>MARKET PRICE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currently listed on Nasdaq under the symbol “BTDR.” On August 7, 2026, the closing price of our Class A ordinary shares was US$10.88 per share. The market price of Class A ordinary shares could vary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4" w:name="a_003"/>
      <w:bookmarkEnd w:id="4"/>
      <w:r>
        <w:rPr>
          <w:rFonts w:ascii="Times New Roman;Times;Serif" w:hAnsi="Times New Roman;Times;Serif"/>
          <w:b/>
          <w:i w:val="false"/>
          <w:smallCaps/>
          <w:sz w:val="20"/>
        </w:rPr>
        <w:t>CAUTIONARY STATEMENT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into this prospectus contain forward-looking statements that involve substantial risks and uncertainties. The Private Securities Litigation Reform Act of 1995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desire to take advantage of the safe harbor provisions of the PSLRA and are including this cautionary statement in connection with this safe harbor legislation.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pPr>
            <w:r>
              <w:rPr/>
              <w:t>the price and volatility of Bitcoin and other cryptocurrencies;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0"/>
        <w:gridCol w:w="9887"/>
      </w:tblGrid>
      <w:tr>
        <w:trPr/>
        <w:tc>
          <w:tcPr>
            <w:tcW w:w="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pPr>
            <w:r>
              <w:rPr/>
              <w:t>our ability to maintain competitive positions in proprietary hash rate;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procure and/or manufacture application-specific integrated circuits (“ASICs”) and mining rigs at a lower cost;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expand datacenters or begin or complete any project that is “in the pipeline,” contracted or negotiated but not yet under active construction;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7"/>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pPr>
            <w:r>
              <w:rPr/>
              <w:t>our ability to sell new and existing models of mining rigs;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w:t>
            </w:r>
          </w:p>
        </w:tc>
        <w:tc>
          <w:tcPr>
            <w:tcW w:w="9874" w:type="dxa"/>
            <w:tcBorders/>
            <w:vAlign w:val="center"/>
          </w:tcPr>
          <w:p>
            <w:pPr>
              <w:pStyle w:val="TableContents"/>
              <w:bidi w:val="0"/>
              <w:spacing w:before="0" w:after="283"/>
              <w:jc w:val="both"/>
              <w:rPr/>
            </w:pPr>
            <w:r>
              <w:rPr/>
              <w:t>our ability to develop and deploy new generations of mining rigs;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8"/>
        <w:gridCol w:w="9621"/>
      </w:tblGrid>
      <w:tr>
        <w:trPr/>
        <w:tc>
          <w:tcPr>
            <w:tcW w:w="10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w:t>
            </w:r>
          </w:p>
        </w:tc>
        <w:tc>
          <w:tcPr>
            <w:tcW w:w="9621" w:type="dxa"/>
            <w:tcBorders/>
            <w:vAlign w:val="center"/>
          </w:tcPr>
          <w:p>
            <w:pPr>
              <w:pStyle w:val="TableContents"/>
              <w:bidi w:val="0"/>
              <w:spacing w:before="0" w:after="283"/>
              <w:jc w:val="both"/>
              <w:rPr/>
            </w:pPr>
            <w:r>
              <w:rPr/>
              <w:t>our ability to control electricity cost;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our ability to make effective judgments regarding pricing strategy and resource allocation;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upgrade and expand product offerings and to successfully develop our AI infrastructure and AI cloud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regulatory changes or actions that may restrict the use of cryptocurrencies or the operation of cryptocurrency networks in a manner that may require us to cease certain or all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risks to our business of earthquakes, fires, floods, and other natural catastrophic events and interruptions by man-made issues such as strikes and terrorist attacks;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volatility of the market price of our Class A ordinary shares, which could cause the value of your investment to decline;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7"/>
        <w:gridCol w:w="9964"/>
      </w:tblGrid>
      <w:tr>
        <w:trPr/>
        <w:tc>
          <w:tcPr>
            <w:tcW w:w="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both"/>
              <w:rPr/>
            </w:pPr>
            <w:r>
              <w:rPr/>
              <w:t>the risk that an active trading market for our Class A ordinary shares may not be sustained;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5"/>
        <w:gridCol w:w="9918"/>
      </w:tblGrid>
      <w:tr>
        <w:trPr/>
        <w:tc>
          <w:tcPr>
            <w:tcW w:w="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w:t>
            </w:r>
          </w:p>
        </w:tc>
        <w:tc>
          <w:tcPr>
            <w:tcW w:w="9918" w:type="dxa"/>
            <w:tcBorders/>
            <w:vAlign w:val="center"/>
          </w:tcPr>
          <w:p>
            <w:pPr>
              <w:pStyle w:val="TableContents"/>
              <w:bidi w:val="0"/>
              <w:spacing w:before="0" w:after="283"/>
              <w:jc w:val="both"/>
              <w:rPr/>
            </w:pPr>
            <w:r>
              <w:rPr/>
              <w:t>our ability to maintain the listing of our Class A ordinary shares on Nasdaq;</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7"/>
        <w:gridCol w:w="9940"/>
      </w:tblGrid>
      <w:tr>
        <w:trPr/>
        <w:tc>
          <w:tcPr>
            <w:tcW w:w="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w:t>
            </w:r>
          </w:p>
        </w:tc>
        <w:tc>
          <w:tcPr>
            <w:tcW w:w="9940" w:type="dxa"/>
            <w:tcBorders/>
            <w:vAlign w:val="center"/>
          </w:tcPr>
          <w:p>
            <w:pPr>
              <w:pStyle w:val="TableContents"/>
              <w:bidi w:val="0"/>
              <w:spacing w:before="0" w:after="283"/>
              <w:jc w:val="both"/>
              <w:rPr/>
            </w:pPr>
            <w:r>
              <w:rPr/>
              <w:t>the trading price of our securities, which has been and may continue to be volatile;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564"/>
        <w:gridCol w:w="9516"/>
      </w:tblGrid>
      <w:tr>
        <w:trPr/>
        <w:tc>
          <w:tcPr>
            <w:tcW w:w="1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pPr>
            <w:r>
              <w:rPr/>
              <w:t>●</w:t>
            </w:r>
          </w:p>
        </w:tc>
        <w:tc>
          <w:tcPr>
            <w:tcW w:w="9516" w:type="dxa"/>
            <w:tcBorders/>
            <w:vAlign w:val="center"/>
          </w:tcPr>
          <w:p>
            <w:pPr>
              <w:pStyle w:val="TableContents"/>
              <w:bidi w:val="0"/>
              <w:spacing w:before="0" w:after="283"/>
              <w:jc w:val="both"/>
              <w:rPr/>
            </w:pPr>
            <w:r>
              <w:rPr/>
              <w:t>unexpected costs or expenses;</w:t>
            </w:r>
          </w:p>
        </w:tc>
      </w:tr>
    </w:tbl>
    <w:p>
      <w:pPr>
        <w:pStyle w:val="TextBody"/>
        <w:bidi w:val="0"/>
        <w:spacing w:before="0" w:after="0"/>
        <w:ind w:left="1080" w:right="0" w:hanging="360"/>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pPr>
            <w:r>
              <w:rPr/>
              <w:t>the outcome of any existing or future litigation;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8"/>
        <w:gridCol w:w="9866"/>
      </w:tblGrid>
      <w:tr>
        <w:trPr/>
        <w:tc>
          <w:tcPr>
            <w:tcW w:w="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both"/>
              <w:rPr/>
            </w:pPr>
            <w:r>
              <w:rPr/>
              <w:t>future issuances, sales or resales of our Class A ordinary shares;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8"/>
        <w:gridCol w:w="9915"/>
      </w:tblGrid>
      <w:tr>
        <w:trPr/>
        <w:tc>
          <w:tcPr>
            <w:tcW w:w="5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both"/>
              <w:rPr/>
            </w:pPr>
            <w:r>
              <w:rPr/>
              <w:t>our expectation regarding the use of proceeds from our financing activities;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390"/>
        <w:gridCol w:w="9728"/>
      </w:tblGrid>
      <w:tr>
        <w:trPr/>
        <w:tc>
          <w:tcPr>
            <w:tcW w:w="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w:t>
            </w:r>
          </w:p>
        </w:tc>
        <w:tc>
          <w:tcPr>
            <w:tcW w:w="9728" w:type="dxa"/>
            <w:tcBorders/>
            <w:vAlign w:val="center"/>
          </w:tcPr>
          <w:p>
            <w:pPr>
              <w:pStyle w:val="TableContents"/>
              <w:bidi w:val="0"/>
              <w:spacing w:before="0" w:after="283"/>
              <w:jc w:val="both"/>
              <w:rPr/>
            </w:pPr>
            <w:r>
              <w:rPr/>
              <w:t>our expectations regarding our cash runway;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5"/>
        <w:gridCol w:w="9857"/>
      </w:tblGrid>
      <w:tr>
        <w:trPr/>
        <w:tc>
          <w:tcPr>
            <w:tcW w:w="6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w:t>
            </w:r>
          </w:p>
        </w:tc>
        <w:tc>
          <w:tcPr>
            <w:tcW w:w="9857" w:type="dxa"/>
            <w:tcBorders/>
            <w:vAlign w:val="center"/>
          </w:tcPr>
          <w:p>
            <w:pPr>
              <w:pStyle w:val="TableContents"/>
              <w:bidi w:val="0"/>
              <w:spacing w:before="0" w:after="283"/>
              <w:jc w:val="both"/>
              <w:rPr/>
            </w:pPr>
            <w:r>
              <w:rPr/>
              <w:t>general economic and business conditions in our markets;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other matters described in the section titled “Item 3.D. – Risk Factors” in our most recent annual report on Form 20-F for the year ended December 31, 2025, filed with the SEC on April 30, 2026, incorporated herein by reference.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not to rely on forward-looking statements, which reflect current beliefs and are based on information currently available as of the date a forward-looking statement is made. Forward-looking statements set forth herein speak only as of the date of this prospectus.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 For additional information, see the section titled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ranking and industry data used throughout this prospectus,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v</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smallCaps/>
          <w:sz w:val="20"/>
          <w:bdr w:val="single" w:sz="12" w:space="1" w:color="000000"/>
        </w:rPr>
      </w:pPr>
      <w:bookmarkStart w:id="5" w:name="a_004"/>
      <w:bookmarkEnd w:id="5"/>
      <w:r>
        <w:rPr>
          <w:rFonts w:ascii="Times New Roman;Times;Serif" w:hAnsi="Times New Roman;Times;Serif"/>
          <w:b/>
          <w:i w:val="false"/>
          <w:smallCaps/>
          <w:sz w:val="20"/>
          <w:bdr w:val="single" w:sz="12" w:space="1" w:color="000000"/>
        </w:rPr>
        <w:t>PROSPECTUS SUMMARY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discussed in the section titled “Risk Factors” beginning on page 6 of this prospectus, along with our consolidated financial statements and notes to those consolidated financial statements and the other information incorporated by reference in this prospectus. For additional information, see the section titled “Where You Can Find More Information.”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Company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world-leading technology company for AI and Bitcoin mining infrastructure. We are committed to providing comprehensive Bitcoin mining solutions for our customers and building AI computational infrastructure to support the AI revolution. We handle complex processes involved in computing, such as equipment design, procurement and manufacturing, transport logistics, datacenter design and construction, equipment management, and daily operations. We also provide advanced cloud capabilities to customers with high demand for AI.</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Headquartered in Singapore, we currently operate ten datacenters across multiple countries including the United States, Norway, Bhutan, Ethiopia and Malaysia, with an aggregate electrical capacity of 1,797 MW as of June 30, 2026, having scaled rapidly from five datacenters with an aggregate electrical capacity of 795 MW as of March 31, 2023. From these datacenters, we generate hash rate under management which is categorized into proprietary and hosting hash rate. As of June 30, 2026, our proprietary hash rate was 77.9 EH/s. Together with the 8.2 EH/s hosting hash rate generated from mining rigs hosted in our mining datacenters, we possessed a total of 86.1 EH/s of hash rate under management as of June 30, 2026. We expect to continue increasing our hash rate through 2026 and beyond through conversion of our existing hosting capacity, executing on pipeline capacity, and pursuing expansion opportunities on a global scale. As of June 30, 2026, we possessed an aggregate pipeline capacity of 1,228.2 MW in the United States, Canada, and Malaysia. We are converting a significant proportion of our existing global datacenter capacity to dedicated AI cloud and colocation use.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primarily operate five business lines - “self-mining,” “sale of mining rigs and accessories,” “cloud hash rate,” “hosting” as well as “AI infrastructure and AI cloud” business. Self-mining refers to cryptocurrency mining for our own account, which allows us to directly capture the appreciation potential of cryptocurrency.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leverage proprietary ASIC technology to develop and commercialize our SEALMINER mining rigs to support and expand our self-mining operations and to diversify our revenue streams through sales of mining rigs to third parties. We began generating revenue from our sale of SEALMINER mining rigs and accessories in 2025 and deployed proprietary rigs to our mining datacenters to expand our self-mining operations. We believe our ASIC technology platform will increase our vertical integration, enabling us to capture the upside of ASIC margins via self-mining and sales of mining rigs to third parties, and benefit from rapid hash rate development, a lower cost structure, enhanced capital efficiency, and an improved supply chain compared to the broader industry.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building out our AI infrastructure and AI cloud business, which includes AI cloud business and colocation business. Our AI infrastructure and AI cloud services offer advanced AI cloud capabilities, high performance computing services and colocation services to customers with high demand for AI and computing. We operate one of the first cloud service platforms in Asia that offers AI cloud services powered by NVIDIA DGX SuperPOD H100, H200, B200 systems and the recently deployed NVIDIA GB200 NVL72, helping customers accelerate their development of generative AI, LLMs and other AI workloads. We are also developing our colocation services business, which provides purpose-built, high-density datacenter capacity to customers seeking to deploy their own AI and computing equipment. We are in the process of converting certain of our existing mining datacenter facilities to support colocation services and are actively evaluating additional opportunities to expand our colocation capacity. While our colocation business has not yet generated any revenue, we believe our existing power assets, datacenter expertise and global operational footprint position us well to capture a share of this expanding market over time.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Through our primary cloud hash rate solution, we sell our proprietary hash rate to customers, offering hash rate subscription plans at fixed prices and sharing mining income with them under certain arrangements. Our hosting services offer customers one-stop mining rig hosting solutions encompassing deployment, maintenance and management services for efficient cryptocurrency mining. Among a wide selection of hosting services, customers can either subscribe to our Cloud Hosting service for the specified mining rigs from which they derive computing power under a “group-buying” model, or send their mining rigs to our mining datacenters for hosting under the General Hosting option or the Membership Hosting option. Our “self-mining,” “hosting” and “cloud hash rate” businesses are supported by our self-developed integrated intelligent software platform, which offers software support to significantly reduce time needed for daily maintenance and mining rig upgrade and substantially decrease operations and maintenance headcount.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of Risk Factors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 investment in our securities involves risks. Before you decide to buy our securities, you should consider carefully all of the information in this prospectus as well as the documents incorporated herein by reference, including the risk factors set forth in the section titled “Item 3. Key Information—D. Risk Factors” in our most recent annual report on Form 20-F for the year ended December 31, 2025, filed with the SEC on April 30, 2026, incorporated herein by reference. Any of these risks could have a material adverse effect on our business, prospects, financial condition and results of operations. In any such case, the trading price of our Class A ordinary shares and the value of the securities may decline, and you could lose all or part of your investment. See the section titled “Where You Can Find More Information” in this prospectus for information on where you can find the documents we have filed with or furnished to the SEC and which are incorporated by reference in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Business, Operations, Industry and Financial Condition</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results of operations have been and are expected to continue to be significantly impacted by Bitcoin price fluctuation.</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Delays in the expansion of existing datacenters, the conversion of mining datacenters to AI datacenters or the construction of new datacenters, as well as any significant cost overruns, could present significant risks to our business and could have a material adverse effect on our business, financial condition and results of operations.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business is capital intensive, including in particular our mining operations and our growing AI infrastructure and AI cloud business. We may need additional capital but may not be able to obtain it in a timely manner and on favorable terms or at all.</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not be able to maintain our competitive position as cryptocurrency networks are witnessing increases in the total network hash rate.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ASIC and mining rig operations currently depend on supplies from a third-party foundry partner, and any failure to obtain sufficient foundry capacity from such third-party foundry partner would significantly delay the shipment of our products.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pPr>
            <w:r>
              <w:rPr/>
              <w:t>We may be unable to execute our growth strategies or effectively maintain our rapid growth trends.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cryptocurrency industry has a limited operating history and we have limited experience operating AI infrastructure and AI cloud business, which makes it difficult to evaluate our business and future prospects.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we expand our AI infrastructure and AI cloud business, issues in the development and use of AI may result in reputational or competitive harm or liability.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fail to succeed in the AI infrastructure and AI cloud business or other markets we seek to penetrate into, our revenues, growth prospects and financial condition could be materially and adversely affected.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Cryptocurrencies</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Because there has been limited precedent set for financial accounting for Bitcoin and other cryptocurrencies, the determinations that we have made for how to account for cryptocurrencies transactions may be subject to change.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loss or destruction of a private key required to access our cryptocurrency is irreversible. We also may temporarily lose access to our cryptocurrencies.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development of blockchain technology and cryptocurrency is in its early stage and any adverse development in the cryptocurrency or blockchain market could adversely affect our business and results of operations.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Adverse developments in the blockchain industry could lead to a decrease in the demand for hash rate products and hosting resources, which could have a material adverse effect on our business, financial condition and results of operations.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Bitcoin exchanges and wallets, and to a lesser extent, the Bitcoin network itself, may suffer from hacking and fraud risks, which may adversely erode user confidence in Bitcoin which would decrease the demand for our products and services. Further, digital asset exchanges on which crypto assets trade are relatively new and the regulatory landscape governing digital asset exchanges is rapidly evolving, and thus may be exposed to fraud and failure. Incorrect or fraudulent cryptocurrency transactions may be irreversible.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Regulatory Compliance and Other Legal Matters</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subject to a highly-evolving regulatory landscape and any adverse changes to, or our failure to comply with, any laws and regulations could adversely affect our business, reputation, prospects or operations.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regulatory landscape for AI is developing rapidly across the jurisdictions in which we operate, and evolving compliance obligations could increase our costs and affect our operations.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nature of our business requires the application of complex financial accounting rules. If financial accounting standards undergo significant changes, our operating results could be adversely affected.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we continue to expand and localize our international activities, our obligations to comply with the laws, rules, regulations and policies of a variety of jurisdictions will increase and we may be subject to investigations and enforcement actions by U.S. and non-U.S. regulators and governmental authorities.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mining and AI datacenter operations are energy-intensive, which may restrict the geographic locations of our operations, give rise to community opposition and have a negative environmental impact.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Securities</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issue additional Class A ordinary shares or other equity or convertible debt securities without approval of the holders of Class A ordinary shares, which would dilute existing ownership interests and may depress the market price of Class A ordinary shares.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dual-class structure of our ordinary shares may adversely affect the price and liquidity of Class A ordinary shares.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Future sales, or the possibility of future sales of, a substantial number of our ordinary shares may depress the price of such securities.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Volatility in the price of Class A ordinary shares could subject us to further securities class action litigation.</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Taxation</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pPr>
            <w:r>
              <w:rPr/>
              <w:t>We are subject to tax risks related to our multinational operations.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Future changes to tax laws could materially and adversely affect our company and reduce net returns to our shareholders.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Cryptocurrencies and transactions denominated in cryptocurrencies may be subject to further taxation in the future.</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be or become a PFIC, which could result in adverse U.S. federal income tax consequences to U.S. Holders of Class A ordinary shares.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Foreign Private Issuer</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“foreign private issuer,” we will be subject to different U.S. securities laws than domestic U.S. issuers. The rules governing the information that we must disclose differ from those governing U.S. companies pursuant to the Exchange Act. We will be exempt from the rules under the Exchange Act prescribing the furnishing and content of proxy statements to shareholders. Those proxy statements are not expected to conform to Schedule 14A of the proxy rules promulgated under the Exchange Act.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as a “foreign private issuer,” our officers and directors and holders of more than 10% of the issued and outstanding Class A ordinary shares, will be exempt from the rules under the Exchange Act requiring insiders to report purchases and sales of ordinary shares as well as from Section 16 short swing profit reporting and liability. See the section titled “Item 3.D. Key Information—Risk Factors—Risks Related to Our Securities—We are a foreign private issuer within the meaning of the rules under the Exchange Act, and as such we are exempt from certain provisions applicable to domestic public companies in the United States” in our most recent annual report on Form 20-F for the year ended December 31, 2025, filed with the SEC on April 30, 2026, incorporated herein by reference.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Controlled Company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Mr. Jihan Wu currently controls a majority of the voting power of our outstanding ordinary shares. As a result, we are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4"/>
        <w:gridCol w:w="242"/>
        <w:gridCol w:w="9909"/>
      </w:tblGrid>
      <w:tr>
        <w:trPr/>
        <w:tc>
          <w:tcPr>
            <w:tcW w:w="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w:t>
            </w:r>
          </w:p>
        </w:tc>
        <w:tc>
          <w:tcPr>
            <w:tcW w:w="9909" w:type="dxa"/>
            <w:tcBorders/>
            <w:vAlign w:val="center"/>
          </w:tcPr>
          <w:p>
            <w:pPr>
              <w:pStyle w:val="TableContents"/>
              <w:bidi w:val="0"/>
              <w:spacing w:before="0" w:after="283"/>
              <w:jc w:val="both"/>
              <w:rPr/>
            </w:pPr>
            <w:r>
              <w:rPr/>
              <w:t>that a majority of our board of directors consists of independent directors;</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that we conduct an annual performance evaluation of the nominating and corporate governance and compensation committees;</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that we have a nominating and corporate governance committee that is composed entirely of independent directors with a written charter addressing the committee’s purpose and responsibilities;</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that we have a compensation committee that is composed entirely of independent directors with a written charter addressing the committee’s purpose and responsibility; and</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that director nomination be selected, or recommended for selection by our board of directors, by (i) a majority of our independent directors in a vote in which only our independent directors participate or (ii) a nominations committee composed solely of independent directors.</w:t>
            </w:r>
          </w:p>
        </w:tc>
      </w:tr>
    </w:tbl>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we have elected not to comply with any of the requirements listed above, except that our nominating and corporate governance committee and compensation committee have written charters addressing their respective purposes and responsibilities. We may continue to use all or some of these exemptions in the future. As a result, you may not have the same protections afforded to shareholders of companies that are subject to all of the Nasdaq corporate governance requirements.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08 Kallang Avenue, Aperia tower 1, #09-03/04, Singapore 339509. Our telephone number at this address is +65 6282-8220. Our registered office in the Cayman Islands is Ogier Global (Cayman) Limited, 89 Nexus Way, Camana Bay, Grand Cayman, KY1-9009. Our agent for service of process in the United States is Cogency Global Inc. located at 122 East 42nd Street, 18th Floor, New York, New York 10168. Our corporate website is www.bitdeer.com. The information contained in, or accessible through, our website is not part of, and is not incorporated into, this prospectus, and investors should not rely on any such information in deciding whether to invest in our securities.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Conventions that Apply to this Prospectus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this prospectus, except where the context otherwise requires and for purposes of this prospectus only:</w:t>
      </w:r>
    </w:p>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both"/>
              <w:rPr/>
            </w:pPr>
            <w:r>
              <w:rPr/>
              <w:t>“</w:t>
            </w:r>
            <w:r>
              <w:rPr/>
              <w:t>Cayman Companies Act” means the Companies Act (As Revised) of the Cayman Islands;</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Class A ordinary shares’’ means the Class A ordinary shares, par value US$0.0000001, in the share capital of our company;</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Class V ordinary shares’’ means the Class V ordinary shares, par value US$0.0000001, in the share capital of our company;</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9"/>
        <w:gridCol w:w="223"/>
        <w:gridCol w:w="9933"/>
      </w:tblGrid>
      <w:tr>
        <w:trPr/>
        <w:tc>
          <w:tcPr>
            <w:tcW w:w="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w:t>
            </w:r>
          </w:p>
        </w:tc>
        <w:tc>
          <w:tcPr>
            <w:tcW w:w="9933" w:type="dxa"/>
            <w:tcBorders/>
            <w:vAlign w:val="center"/>
          </w:tcPr>
          <w:p>
            <w:pPr>
              <w:pStyle w:val="TableContents"/>
              <w:bidi w:val="0"/>
              <w:spacing w:before="0" w:after="283"/>
              <w:jc w:val="both"/>
              <w:rPr/>
            </w:pPr>
            <w:r>
              <w:rPr/>
              <w:t>“</w:t>
            </w:r>
            <w:r>
              <w:rPr/>
              <w:t>Exchange Act” means the U.S. Securities Exchange Act of 1934, as amended;</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pPr>
            <w:r>
              <w:rPr/>
              <w:t>“</w:t>
            </w:r>
            <w:r>
              <w:rPr/>
              <w:t>JOBS Act” means the Jumpstart our Business Startups Act of 2012;</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88"/>
        <w:gridCol w:w="394"/>
        <w:gridCol w:w="9723"/>
      </w:tblGrid>
      <w:tr>
        <w:trPr/>
        <w:tc>
          <w:tcPr>
            <w:tcW w:w="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pPr>
            <w:r>
              <w:rPr/>
              <w:t>●</w:t>
            </w:r>
          </w:p>
        </w:tc>
        <w:tc>
          <w:tcPr>
            <w:tcW w:w="9723" w:type="dxa"/>
            <w:tcBorders/>
            <w:vAlign w:val="center"/>
          </w:tcPr>
          <w:p>
            <w:pPr>
              <w:pStyle w:val="TableContents"/>
              <w:bidi w:val="0"/>
              <w:spacing w:before="0" w:after="283"/>
              <w:jc w:val="both"/>
              <w:rPr/>
            </w:pPr>
            <w:r>
              <w:rPr/>
              <w:t>“</w:t>
            </w:r>
            <w:r>
              <w:rPr/>
              <w:t>Nasdaq’’ means the Nasdaq Stock Market;</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1" w:type="dxa"/>
            <w:tcBorders/>
            <w:vAlign w:val="center"/>
          </w:tcPr>
          <w:p>
            <w:pPr>
              <w:pStyle w:val="TableContents"/>
              <w:bidi w:val="0"/>
              <w:spacing w:before="0" w:after="283"/>
              <w:jc w:val="both"/>
              <w:rPr/>
            </w:pPr>
            <w:r>
              <w:rPr/>
              <w:t>“</w:t>
            </w:r>
            <w:r>
              <w:rPr/>
              <w:t>ordinary shares’’ means Class A ordinary shares and/or Class V ordinary shares (as appropriate);</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64"/>
        <w:gridCol w:w="289"/>
        <w:gridCol w:w="9852"/>
      </w:tblGrid>
      <w:tr>
        <w:trPr/>
        <w:tc>
          <w:tcPr>
            <w:tcW w:w="6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w:t>
            </w:r>
          </w:p>
        </w:tc>
        <w:tc>
          <w:tcPr>
            <w:tcW w:w="9852" w:type="dxa"/>
            <w:tcBorders/>
            <w:vAlign w:val="center"/>
          </w:tcPr>
          <w:p>
            <w:pPr>
              <w:pStyle w:val="TableContents"/>
              <w:bidi w:val="0"/>
              <w:spacing w:before="0" w:after="283"/>
              <w:jc w:val="both"/>
              <w:rPr/>
            </w:pPr>
            <w:r>
              <w:rPr/>
              <w:t>“</w:t>
            </w:r>
            <w:r>
              <w:rPr/>
              <w:t>SEC” means the Securities and Exchange Commission; and</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we,” “us,” “the company,” “our company” “our group,” “our” or “Bitdeer” refers to Bitdeer Technologies Group, a Cayman Islands exempted company, and its subsidiaries.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6" w:name="a_005"/>
      <w:bookmarkEnd w:id="6"/>
      <w:r>
        <w:rPr>
          <w:rFonts w:ascii="Times New Roman;Times;Serif" w:hAnsi="Times New Roman;Times;Serif"/>
          <w:b/>
          <w:i w:val="false"/>
          <w:smallCaps/>
          <w:sz w:val="20"/>
        </w:rPr>
        <w:t>RISK FACTORS</w:t>
      </w:r>
    </w:p>
    <w:p>
      <w:pPr>
        <w:pStyle w:val="TextBody"/>
        <w:bidi w:val="0"/>
        <w:spacing w:before="0" w:after="0"/>
        <w:ind w:left="0" w:right="0" w:firstLine="720"/>
        <w:jc w:val="both"/>
        <w:rPr>
          <w:caps w:val="false"/>
          <w:smallCaps w:val="false"/>
          <w:color w:val="231F20"/>
        </w:rPr>
      </w:pPr>
      <w:r>
        <w:rPr>
          <w:caps w:val="false"/>
          <w:smallCaps w:val="false"/>
          <w:color w:val="231F2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Investing in our securities involves risk. Before making a decision to invest in our securities, you should carefully consider the risks described in the section titled “Risk Factors” in the applicable prospectus supplement and in our then-most recent annual report on Form 20-F, and any updates to those risk factors in our reports on Form 6-K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7" w:name="a_006"/>
      <w:bookmarkEnd w:id="7"/>
      <w:r>
        <w:rPr>
          <w:rFonts w:ascii="Times New Roman;Times;Serif" w:hAnsi="Times New Roman;Times;Serif"/>
          <w:b/>
          <w:i w:val="false"/>
          <w:smallCaps/>
          <w:sz w:val="20"/>
        </w:rPr>
        <w:t>USE OF PROCEEDS</w:t>
      </w:r>
    </w:p>
    <w:p>
      <w:pPr>
        <w:pStyle w:val="TextBody"/>
        <w:bidi w:val="0"/>
        <w:spacing w:before="0" w:after="0"/>
        <w:ind w:left="0" w:right="0" w:firstLine="720"/>
        <w:jc w:val="left"/>
        <w:rPr>
          <w:caps w:val="false"/>
          <w:smallCaps w:val="false"/>
          <w:color w:val="231F20"/>
        </w:rPr>
      </w:pPr>
      <w:r>
        <w:rPr>
          <w:caps w:val="false"/>
          <w:smallCaps w:val="false"/>
          <w:color w:val="231F2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Unless otherwise indicated in a prospectus supplement, the principal purpose of an offering would be to increase our capitalization and financial flexibility and the net proceeds from our sale of the securities will be used for general corporate purposes and other business opportunities.</w:t>
      </w:r>
    </w:p>
    <w:p>
      <w:pPr>
        <w:pStyle w:val="TextBody"/>
        <w:bidi w:val="0"/>
        <w:spacing w:before="0" w:after="0"/>
        <w:ind w:left="0" w:right="0" w:firstLine="720"/>
        <w:jc w:val="left"/>
        <w:rPr>
          <w:caps w:val="false"/>
          <w:smallCaps w:val="false"/>
          <w:color w:val="231F20"/>
        </w:rPr>
      </w:pPr>
      <w:r>
        <w:rPr>
          <w:caps w:val="false"/>
          <w:smallCaps w:val="false"/>
          <w:color w:val="231F20"/>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will not receive any proceeds from the sale of securities by the selling securityholders.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8" w:name="a_019"/>
      <w:bookmarkEnd w:id="8"/>
      <w:r>
        <w:rPr>
          <w:rFonts w:ascii="Times New Roman;Times;Serif" w:hAnsi="Times New Roman;Times;Serif"/>
          <w:b/>
          <w:i w:val="false"/>
          <w:smallCaps/>
          <w:sz w:val="20"/>
        </w:rPr>
        <w:t>SELLING SECURITYHOLDERS</w:t>
      </w:r>
    </w:p>
    <w:p>
      <w:pPr>
        <w:pStyle w:val="TextBody"/>
        <w:bidi w:val="0"/>
        <w:spacing w:before="0" w:after="0"/>
        <w:ind w:left="0" w:right="0" w:firstLine="720"/>
        <w:jc w:val="left"/>
        <w:rPr>
          <w:caps w:val="false"/>
          <w:smallCaps w:val="false"/>
          <w:color w:val="231F20"/>
        </w:rPr>
      </w:pPr>
      <w:r>
        <w:rPr>
          <w:caps w:val="false"/>
          <w:smallCaps w:val="false"/>
          <w:color w:val="231F2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Information about any selling securityholders, where applicable, will be set forth in a prospectus supplement, in a post-effective amendment to this registration statement, or in filings we make with the SEC under the Exchange Act that are incorporated by reference.</w:t>
      </w:r>
    </w:p>
    <w:p>
      <w:pPr>
        <w:pStyle w:val="TextBody"/>
        <w:bidi w:val="0"/>
        <w:spacing w:before="0" w:after="0"/>
        <w:ind w:left="0" w:right="0" w:firstLine="720"/>
        <w:jc w:val="left"/>
        <w:rPr>
          <w:caps w:val="false"/>
          <w:smallCaps w:val="false"/>
          <w:color w:val="231F20"/>
        </w:rPr>
      </w:pPr>
      <w:r>
        <w:rPr>
          <w:caps w:val="false"/>
          <w:smallCaps w:val="false"/>
          <w:color w:val="231F2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color w:val="231F20"/>
        </w:rPr>
      </w:pPr>
      <w:r>
        <w:rPr>
          <w:caps w:val="false"/>
          <w:smallCaps w:val="false"/>
          <w:color w:val="231F20"/>
        </w:rPr>
        <w:t> </w:t>
      </w:r>
    </w:p>
    <w:p>
      <w:pPr>
        <w:pStyle w:val="TextBody"/>
        <w:bidi w:val="0"/>
        <w:spacing w:before="0" w:after="0"/>
        <w:ind w:left="0" w:right="0" w:hanging="0"/>
        <w:jc w:val="center"/>
        <w:rPr>
          <w:rFonts w:ascii="Times New Roman;Times;Serif" w:hAnsi="Times New Roman;Times;Serif"/>
          <w:b/>
          <w:i w:val="false"/>
          <w:smallCaps/>
          <w:sz w:val="20"/>
        </w:rPr>
      </w:pPr>
      <w:bookmarkStart w:id="9" w:name="a_007"/>
      <w:bookmarkEnd w:id="9"/>
      <w:r>
        <w:rPr>
          <w:rFonts w:ascii="Times New Roman;Times;Serif" w:hAnsi="Times New Roman;Times;Serif"/>
          <w:b/>
          <w:i w:val="false"/>
          <w:smallCaps/>
          <w:sz w:val="20"/>
        </w:rPr>
        <w:t>DIVIDEND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declare dividends on our ordinary shares from time to time. The declaration, payment and amount of any future dividends will be made at the discretion of our board of directors and will depend upon, among other things, the results of operations, cash flows and financial condition, operating and capital requirements, and other factors as our board of directors considers relevant. There is no assurance that future dividends will be paid, and if dividends are paid, there is no assurance with respect to the amount of any such dividend.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dividends may also be limited by the Cayman Companies Act, which permits the distribution of dividends only out of either profit or the credit standing in our share premium account, provided that in no circumstances may a dividend be paid if this would result in us being unable to pay its debts as they fall due in the ordinary course of business immediately following the date on which the distribution or dividend is proposed to be paid. Under our articles of association, dividend distributions may be determined by our board of directors, without the need for shareholder approval. See the sections titled “</w:t>
      </w:r>
      <w:r>
        <w:rPr>
          <w:rFonts w:ascii="Times New Roman;Times;Serif" w:hAnsi="Times New Roman;Times;Serif"/>
          <w:b w:val="false"/>
          <w:i/>
          <w:caps w:val="false"/>
          <w:smallCaps w:val="false"/>
          <w:sz w:val="20"/>
        </w:rPr>
        <w:t>Description of Securities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Tax Considerations</w:t>
      </w:r>
      <w:r>
        <w:rPr>
          <w:rFonts w:ascii="Times New Roman;Times;Serif" w:hAnsi="Times New Roman;Times;Serif"/>
          <w:b w:val="false"/>
          <w:i w:val="false"/>
          <w:caps w:val="false"/>
          <w:smallCaps w:val="false"/>
          <w:sz w:val="20"/>
        </w:rPr>
        <w:t>” for additional information.</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0" w:name="a_008"/>
      <w:bookmarkEnd w:id="10"/>
      <w:r>
        <w:rPr>
          <w:rFonts w:ascii="Times New Roman;Times;Serif" w:hAnsi="Times New Roman;Times;Serif"/>
          <w:b/>
          <w:i w:val="false"/>
          <w:smallCaps/>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incorporated with limited liability, and our affairs are governed by our amended and restated memorandum and articles of association, the Cayman Companies Act and the common law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Nasdaq and are registered under Section 12(b) of the Exchange Act. Set forth below is a description of the rights of the holders of Class A ordinary shares, Class V ordinary shares and preferred shares. Our authorized share capital is US$50,000.00 divided into 500,000,000,000 shares of a par value of US$0.0000001 each comprising 499,600,000,000 Class A ordinary shares, 200,000,000 Class V ordinary shares and 200,000,000 undesignated shares of a par value of US$0.0000001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Our ordinary shares are issued in registered form and are issued when registered in our register of shareholders. We may not issue shares to bearer. Our shareholders who are nonresidents of the Cayman Islands may freely hold and vote their Ordinary Shares. Our ordinary shares are divided into Class A ordinary shares and Class V ordinary shares. Holders of our Class A ordinary shares and Class V ordinary shares shall have the same rights except for voting and conversion rights. See “––Voting Rights” below for additional information. Class V ordinary shares shall only be held by (i) Mr. Jihan Wu (the “Founder”), (ii) all limited partnerships, private companies or other vehicles of which more than 50% beneficial ownership or voting power are held directly or indirectly by the Founder, and (iii) a trust controlled by the Founder for the benefit of the Founder or his family, and all limited partnership, private companies or other vehicles wholly owned by such trust, including without limitation, Victory Courage Limited (collectively, “Founder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xml:space="preserve"> Each Class V ordinary share shall automatically convert into one Class A ordinary share (as adjusted for share splits, share combinations and similar transactions) on any transfer by a Founder Entity to a person or entity that is not a Founder Entity of any beneficial ownership of, or economic interest in, such Class V ordinary share or the control over the voting rights attached to such Class V ordinary share (through any contracts, voting proxies or otherwise); provided, however, that on the grant by a Founder Entity of any lien, charge, mortgage or other encumbrance (a “Security Interest”) over the Class V ordinary shares held by it, unless and until the legal ownership of such shares is transferred pursuant to such Security Interest (including any enforcement or foreclosure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V ordinary share is convertible into one Class A ordinary share (as adjusted for share splits, share combinations and similar transactions) at any time at the option of the holder thereof. Each Class V ordinary share held by a Founder Entity shall automatically convert into one Class A ordinary share (as adjusted for share splits, share combinations and similar transactions) upon the death or incapacity of the Founder.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xml:space="preserve"> The holders of our ordinary shares are entitled to such dividends as may be declared by our board of directors. In addition, our shareholders may declare dividends by ordinary resolution, but no dividend shall exceed the amount recommended by our directors. Our amended and restated memorandum and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we may pay a dividend out of either profit or the credit standing in our share premium account, provided that in no circumstances may a dividend be paid if this would result in us being unable to pay its debts as they fall due in the ordinary course of business immediately following the date on which the distribution or dividend is proposed to be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Holders of our ordinary shares have the right to receive notice of, attend and vote at general meetings of our company. Holders of our Class A ordinary shares and Class V ordinary shares shall, at all times, vote together as one class on all matters submitted to a vote by our shareholders at any general meeting of our company. Each Class A ordinary share shall be entitled to one (1) vote and each Class V ordinary share shall be entitled to ten (10) votes on all matters subject to vote at general meetings of the Company. Voting at any shareholders’ meeting is by show of hands unless a poll is demanded (before or on the declaration of the result of the show of hands). A poll may be demanded by the chairman of such meeting or any one or more shareholders who together hold not less than 10% of the votes attaching to the total Ordinary Share which are present in person or by proxy at the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of our ordinary shares which are cast by those of our shareholders who are entitled to do so attend and vote at the meeting, while a special resolution requires the affirmative vote of no less than two-thirds of the votes of ordinary shares which cast by those of our shareholders who are entitled to do so attend and vote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will be required for important matters such as a change of name or making changes to our amended and restated memorandum and articles of association. Holders of the ordinary shares may, among other things, divide or combine their shares by ordinary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w:t>
      </w:r>
      <w:r>
        <w:rPr>
          <w:rFonts w:ascii="Times New Roman;Times;Serif" w:hAnsi="Times New Roman;Times;Serif"/>
          <w:b w:val="false"/>
          <w:i w:val="false"/>
          <w:caps w:val="false"/>
          <w:smallCaps w:val="false"/>
          <w:sz w:val="20"/>
        </w:rPr>
        <w:t xml:space="preserve"> As a Cayman Islands exempted company, we are not obliged by the Cayman Companies Act, to call shareholders’ annual general meetings. Our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the chairman of our board of directors or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one or more shareholder present or by proxy, who alone or together hold not less than 50% of all votes attaching to all of our shares in issue and entitled to vote at such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does not provide shareholders with an express right to put forth any proposal before an annual meeting of the shareholders. However, the Cayman Companies Act may provide shareholders with limited rights to requisition a general meeting, but such rights must be stipulated in the articles of association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Ordinary Shares</w:t>
      </w:r>
      <w:r>
        <w:rPr>
          <w:rFonts w:ascii="Times New Roman;Times;Serif" w:hAnsi="Times New Roman;Times;Serif"/>
          <w:b w:val="false"/>
          <w:i w:val="false"/>
          <w:caps w:val="false"/>
          <w:smallCaps w:val="false"/>
          <w:sz w:val="20"/>
        </w:rPr>
        <w:t>. Subject to the restrictions set out below, any of our shareholders may transfer all or any of his or her Ordinary Shares by an instrument of transfer in the usual or common form or any other form approved by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113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1134" w:right="0" w:hanging="36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pPr>
            <w:r>
              <w:rPr/>
              <w:t>the instrument of transfer is in respect of only one class of shares;</w:t>
            </w:r>
          </w:p>
        </w:tc>
      </w:tr>
    </w:tbl>
    <w:p>
      <w:pPr>
        <w:pStyle w:val="TextBody"/>
        <w:bidi w:val="0"/>
        <w:spacing w:before="0" w:after="0"/>
        <w:ind w:left="1134" w:right="0" w:hanging="360"/>
        <w:jc w:val="both"/>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pPr>
            <w:r>
              <w:rPr/>
              <w:t>the instrument of transfer is properly stamped, if required;</w:t>
            </w:r>
          </w:p>
        </w:tc>
      </w:tr>
    </w:tbl>
    <w:p>
      <w:pPr>
        <w:pStyle w:val="TextBody"/>
        <w:bidi w:val="0"/>
        <w:spacing w:before="0" w:after="0"/>
        <w:ind w:left="113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the case of a transfer to joint holders, the number of joint holders to whom the ordinary share is to be transferred does not exceed four; and</w:t>
            </w:r>
          </w:p>
        </w:tc>
      </w:tr>
    </w:tbl>
    <w:p>
      <w:pPr>
        <w:pStyle w:val="TextBody"/>
        <w:bidi w:val="0"/>
        <w:spacing w:before="0" w:after="0"/>
        <w:ind w:left="113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fee of such maximum sum as Nasdaq may determine to be payable or such lesser sum as our directors may from time to time require is paid to us in respect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calendar months after the date on which the instrument of transfer was lodged, send to each of the transferor and the transferee notice of such refusal.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xml:space="preserve"> 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xml:space="preserve"> Our board of directors may from time to time make calls upon shareholders for any amounts unpaid on their shares in a notice served to such shareholders at least 14 calendar days prior to the specified time and place of payment. The shares that have been called upon and remain unpaid are subject to forfeiture.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Shares.</w:t>
      </w:r>
      <w:r>
        <w:rPr>
          <w:rFonts w:ascii="Times New Roman;Times;Serif" w:hAnsi="Times New Roman;Times;Serif"/>
          <w:b w:val="false"/>
          <w:i w:val="false"/>
          <w:caps w:val="false"/>
          <w:smallCaps w:val="false"/>
          <w:sz w:val="20"/>
        </w:rPr>
        <w:t xml:space="preserve"> Subject to the Cayman Companies Act, our amended and restated memorandum and articles of association and to any applicable requirements imposed from time to time by the Nasdaq, the SEC, or by any other recognized stock exchange on which our securities are listed, we may issue shares on terms that such shares are subject to redemption, at our option or at the option of the holders of these shares, on such terms and in such manner as may be determined by our board of directors or by a special resolution of our shareholders and we may also repurchase any of our shares on such terms and in such manner as have been approved by our board of directors or by an ordinary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the redemption or repurchase of any share may be paid out of our profits or out of the proceeds of a fresh issue of shares made for the purpose of such redemption or repurchase, or out of capital (including share premium account) if our company can, immediately following on which such payment is proposed to be made, pay its debts as they fall due in the ordinary course of business. In addition, under the Cayman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xml:space="preserve">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such existing class of shares, or the redemption or purchase of any shares of any class by us. The rights of the holders of shares shall not be deemed to be varied by the creation or issue of shares with preferred or other rights including, without limitation, the creation of shares with enhanced or weighted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xml:space="preserve"> Our amended and restated memorandum of association authorizes our board of directors to issue additional ordinary shares from time to time as our board of directors shall determine, to the extent of available 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596"/>
        <w:gridCol w:w="9477"/>
      </w:tblGrid>
      <w:tr>
        <w:trPr/>
        <w:tc>
          <w:tcPr>
            <w:tcW w:w="13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pPr>
            <w:r>
              <w:rPr/>
              <w:t>●</w:t>
            </w:r>
          </w:p>
        </w:tc>
        <w:tc>
          <w:tcPr>
            <w:tcW w:w="9477" w:type="dxa"/>
            <w:tcBorders/>
            <w:vAlign w:val="center"/>
          </w:tcPr>
          <w:p>
            <w:pPr>
              <w:pStyle w:val="TableContents"/>
              <w:bidi w:val="0"/>
              <w:spacing w:before="0" w:after="283"/>
              <w:jc w:val="both"/>
              <w:rPr/>
            </w:pPr>
            <w:r>
              <w:rPr/>
              <w:t>the designation of the series;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502"/>
        <w:gridCol w:w="9591"/>
      </w:tblGrid>
      <w:tr>
        <w:trPr/>
        <w:tc>
          <w:tcPr>
            <w:tcW w:w="11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pPr>
            <w:r>
              <w:rPr/>
              <w:t>●</w:t>
            </w:r>
          </w:p>
        </w:tc>
        <w:tc>
          <w:tcPr>
            <w:tcW w:w="9591" w:type="dxa"/>
            <w:tcBorders/>
            <w:vAlign w:val="center"/>
          </w:tcPr>
          <w:p>
            <w:pPr>
              <w:pStyle w:val="TableContents"/>
              <w:bidi w:val="0"/>
              <w:spacing w:before="0" w:after="283"/>
              <w:jc w:val="both"/>
              <w:rPr/>
            </w:pPr>
            <w:r>
              <w:rPr/>
              <w:t>the number of shares of the series;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40"/>
        <w:gridCol w:w="9790"/>
      </w:tblGrid>
      <w:tr>
        <w:trPr/>
        <w:tc>
          <w:tcPr>
            <w:tcW w:w="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w:t>
            </w:r>
          </w:p>
        </w:tc>
        <w:tc>
          <w:tcPr>
            <w:tcW w:w="9790" w:type="dxa"/>
            <w:tcBorders/>
            <w:vAlign w:val="center"/>
          </w:tcPr>
          <w:p>
            <w:pPr>
              <w:pStyle w:val="TableContents"/>
              <w:bidi w:val="0"/>
              <w:spacing w:before="0" w:after="283"/>
              <w:jc w:val="both"/>
              <w:rPr/>
            </w:pPr>
            <w:r>
              <w:rPr/>
              <w:t>the dividend rights, conversion rights, voting rights;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5"/>
        <w:gridCol w:w="9881"/>
      </w:tblGrid>
      <w:tr>
        <w:trPr/>
        <w:tc>
          <w:tcPr>
            <w:tcW w:w="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81" w:type="dxa"/>
            <w:tcBorders/>
            <w:vAlign w:val="center"/>
          </w:tcPr>
          <w:p>
            <w:pPr>
              <w:pStyle w:val="TableContents"/>
              <w:bidi w:val="0"/>
              <w:spacing w:before="0" w:after="283"/>
              <w:jc w:val="both"/>
              <w:rPr/>
            </w:pPr>
            <w:r>
              <w:rPr/>
              <w:t>the rights and terms of redemption and liquidation preferences;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9"/>
        <w:gridCol w:w="9962"/>
      </w:tblGrid>
      <w:tr>
        <w:trPr/>
        <w:tc>
          <w:tcPr>
            <w:tcW w:w="4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w:t>
            </w:r>
          </w:p>
        </w:tc>
        <w:tc>
          <w:tcPr>
            <w:tcW w:w="9962" w:type="dxa"/>
            <w:tcBorders/>
            <w:vAlign w:val="center"/>
          </w:tcPr>
          <w:p>
            <w:pPr>
              <w:pStyle w:val="TableContents"/>
              <w:bidi w:val="0"/>
              <w:spacing w:before="0" w:after="283"/>
              <w:jc w:val="both"/>
              <w:rPr/>
            </w:pPr>
            <w:r>
              <w:rPr/>
              <w:t>any other powers, preferences and relative, participating, optional and other special rights.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xml:space="preserve"> Holders of our ordinary shares will have no general right under Cayman Islands law to inspect or obtain copies of our corporate records (other than copies of our memorandum and articles, the register of mortgages or charges, and any special resolutions passed by our shareholders). However, we will provide our shareholders with annual audited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xml:space="preserve"> Some provisions of our amended and restated memorandum and articles of association may discourage, delay or prevent a change of control of our company or management that shareholders may consider favorable, including provisions that:</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authorize our board of directors to issue preference shares in one or more series and to designate the price, rights, preferences, privileges and restrictions of such preference shares without any further vote or action by our shareholders;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pPr>
            <w:r>
              <w:rPr/>
              <w:t>limit the ability of shareholders to requisition and convene general meetings of shareholders.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xml:space="preserve"> We are an exempted company with limited liability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pPr>
            <w:r>
              <w:rPr/>
              <w:t>is not required to open its register of members for inspection;</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357"/>
        <w:gridCol w:w="9769"/>
      </w:tblGrid>
      <w:tr>
        <w:trPr/>
        <w:tc>
          <w:tcPr>
            <w:tcW w:w="7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w:t>
            </w:r>
          </w:p>
        </w:tc>
        <w:tc>
          <w:tcPr>
            <w:tcW w:w="9769" w:type="dxa"/>
            <w:tcBorders/>
            <w:vAlign w:val="center"/>
          </w:tcPr>
          <w:p>
            <w:pPr>
              <w:pStyle w:val="TableContents"/>
              <w:bidi w:val="0"/>
              <w:spacing w:before="0" w:after="283"/>
              <w:jc w:val="both"/>
              <w:rPr/>
            </w:pPr>
            <w:r>
              <w:rPr/>
              <w:t>does not have to hold an annual general meeting;</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may obtain an undertaking against the imposition of any future taxation (such undertakings are usually given for 20 years in the first instance);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5"/>
        <w:gridCol w:w="9991"/>
      </w:tblGrid>
      <w:tr>
        <w:trPr/>
        <w:tc>
          <w:tcPr>
            <w:tcW w:w="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both"/>
              <w:rPr/>
            </w:pPr>
            <w:r>
              <w:rPr/>
              <w:t>may register by way of continuation in another jurisdiction and be deregistered in the Cayman Islands;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4"/>
        <w:gridCol w:w="9760"/>
      </w:tblGrid>
      <w:tr>
        <w:trPr/>
        <w:tc>
          <w:tcPr>
            <w:tcW w:w="8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w:t>
            </w:r>
          </w:p>
        </w:tc>
        <w:tc>
          <w:tcPr>
            <w:tcW w:w="9760" w:type="dxa"/>
            <w:tcBorders/>
            <w:vAlign w:val="center"/>
          </w:tcPr>
          <w:p>
            <w:pPr>
              <w:pStyle w:val="TableContents"/>
              <w:bidi w:val="0"/>
              <w:spacing w:before="0" w:after="283"/>
              <w:jc w:val="both"/>
              <w:rPr/>
            </w:pPr>
            <w:r>
              <w:rPr/>
              <w:t>may register as a limited duration company;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6"/>
        <w:gridCol w:w="9758"/>
      </w:tblGrid>
      <w:tr>
        <w:trPr/>
        <w:tc>
          <w:tcPr>
            <w:tcW w:w="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w:t>
            </w:r>
          </w:p>
        </w:tc>
        <w:tc>
          <w:tcPr>
            <w:tcW w:w="9758" w:type="dxa"/>
            <w:tcBorders/>
            <w:vAlign w:val="center"/>
          </w:tcPr>
          <w:p>
            <w:pPr>
              <w:pStyle w:val="TableContents"/>
              <w:bidi w:val="0"/>
              <w:spacing w:before="0" w:after="283"/>
              <w:jc w:val="both"/>
              <w:rPr/>
            </w:pPr>
            <w:r>
              <w:rPr/>
              <w:t>may register as a segregated portfolio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in Corporate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derived, to a large extent, from the older Companies Acts of England but does not follow recent English statutory enactments and accordingly there are significant differences between the Cayman Companies Act and the current Companies Act of England. In addition, the Cayman Companies Act differs from laws applicable to U.S. corporations and their shareholders. Set forth below is a summary of certain significant differences between the provisions of the Cayman Companies Act applicable to us and the comparable laws applicable to companies incorporated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xml:space="preserve"> The Cayman Companies Act permits mergers and consolidations between Cayman Islands companies and between Cayman Islands companies and non-Cayman Islands companies provided that the laws of the foreign jurisdiction permit such merger or consolidation.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new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or her shares (which, if not agreed between the parties, will be determined by the Cayman Islands court) upon dissenting to the merger or consolidation, provided that the dissenting shareholder complies strictly with the procedures set out in the Cayman Companies Act. The exercise of such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Cayman Companies Act also contains statutory provisions that facilitate the reconstruction and amalgamation of companies by way of schemes of arrangement, provided that the arrangement is approved by (i) seventy-five per cent (75%) in value of shareholders or class of shareholders, as the case may be, or (ii) a majority in number representing seventy-five per cent (75%) in value of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1"/>
        <w:gridCol w:w="9898"/>
      </w:tblGrid>
      <w:tr>
        <w:trPr/>
        <w:tc>
          <w:tcPr>
            <w:tcW w:w="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w:t>
            </w:r>
          </w:p>
        </w:tc>
        <w:tc>
          <w:tcPr>
            <w:tcW w:w="9898" w:type="dxa"/>
            <w:tcBorders/>
            <w:vAlign w:val="center"/>
          </w:tcPr>
          <w:p>
            <w:pPr>
              <w:pStyle w:val="TableContents"/>
              <w:bidi w:val="0"/>
              <w:spacing w:before="0" w:after="283"/>
              <w:jc w:val="both"/>
              <w:rPr/>
            </w:pPr>
            <w:r>
              <w:rPr/>
              <w:t>the statutory provisions as to the required majority vote have been met;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arrangement is such that may be reasonably approved by an intelligent and honest man of that class acting in respect of his interest;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arrangement is not one that would more properly be sanctioned under some other provision of the Cayman Companies 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also contains a statutory power of compulsory acquisition which may facilitate the “squeeze out” of dissentient minority shareholder upon a tender offer. When a tender offer is made and accepted by holders of not less than 90% in value of the shares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Suits.</w:t>
      </w:r>
      <w:r>
        <w:rPr>
          <w:rFonts w:ascii="Times New Roman;Times;Serif" w:hAnsi="Times New Roman;Times;Serif"/>
          <w:b w:val="false"/>
          <w:i w:val="false"/>
          <w:caps w:val="false"/>
          <w:smallCaps w:val="false"/>
          <w:sz w:val="20"/>
        </w:rPr>
        <w:t xml:space="preserve">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xml:space="preserve"> and the exceptions thereto) so that a non-controlling shareholder may be permitted to commence a class action against or derivative actions in the name of the company to challenge:</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act which is illegal or ultra vires with respect to the company and is therefore incapable of ratification by the shareholders ;</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act which, although not ultra vires, requires authorization by a qualified (or special) majority (that is, more than a simple majority) which has not been obtained;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act which constitutes a “fraud on the minority” where the wrongdoers are themselves in control of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xml:space="preserve">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an indemnified person’s own fraud, dishonesty, willful default or willful neglect or against the consequences of committing a crime. Our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amended and restated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xml:space="preserve">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Action by Written Resolution.</w:t>
      </w:r>
      <w:r>
        <w:rPr>
          <w:rFonts w:ascii="Times New Roman;Times;Serif" w:hAnsi="Times New Roman;Times;Serif"/>
          <w:b w:val="false"/>
          <w:i w:val="false"/>
          <w:caps w:val="false"/>
          <w:smallCaps w:val="false"/>
          <w:sz w:val="20"/>
        </w:rPr>
        <w:t xml:space="preserve"> Under the Delaware General Corporation Law, a corporation may eliminate the right of shareholders to act by written consent by amendment to its certificate of incorporation. Cayman Islands law and our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Proposals.</w:t>
      </w:r>
      <w:r>
        <w:rPr>
          <w:rFonts w:ascii="Times New Roman;Times;Serif" w:hAnsi="Times New Roman;Times;Serif"/>
          <w:b w:val="false"/>
          <w:i w:val="false"/>
          <w:caps w:val="false"/>
          <w:smallCaps w:val="false"/>
          <w:sz w:val="20"/>
        </w:rPr>
        <w:t xml:space="preserve">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provides shareholders with only limited rights to requisition a general meeting. However, these rights may be provided in a company’s articles of association. Our amended and restated articles of association provide that upon the requisition of any one or more of our shareholders who alone or together hold shares which carry in aggregate not less than one-third of the total number of votes attaching to all issued and outstanding shares of our company entitled to vote at general meetings on the date of deposit of the requisition, our board of directors will be required to convene an extraordinary general meeting. As a Cayman Islands exempted company, we may but are not obliged by law to call shareholders’ annual general meetings. See “—Description of Securities—General Meetings of Shareholders” for more information on the rights of our shareholders’ rights to put proposals before the annual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amended and restated articles of association do not provide for cumulative voting. As a result, our shareholders are not afforded any less protections or rights on this issue than shareholders of a Delaware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Removal of Directors.</w:t>
      </w:r>
      <w:r>
        <w:rPr>
          <w:rFonts w:ascii="Times New Roman;Times;Serif" w:hAnsi="Times New Roman;Times;Serif"/>
          <w:b w:val="false"/>
          <w:i w:val="false"/>
          <w:caps w:val="false"/>
          <w:smallCaps w:val="false"/>
          <w:sz w:val="20"/>
        </w:rPr>
        <w:t xml:space="preserve"> Under the Delaware General Corporation Law, a director of a corporation with a classified board may be removed only for cause with the approval of a majority of the outstanding shares entitled to vote, unless the certificate of incorporation provides otherwise. Under our amended and restated articles of association,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amended and restated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 with Interested Shareholders.</w:t>
      </w:r>
      <w:r>
        <w:rPr>
          <w:rFonts w:ascii="Times New Roman;Times;Serif" w:hAnsi="Times New Roman;Times;Serif"/>
          <w:b w:val="false"/>
          <w:i w:val="false"/>
          <w:caps w:val="false"/>
          <w:smallCaps w:val="false"/>
          <w:sz w:val="20"/>
        </w:rPr>
        <w:t xml:space="preserve">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Cayman Islands law has no comparable statute.</w:t>
      </w:r>
      <w:r>
        <w:rPr>
          <w:rFonts w:ascii="Times New Roman;Times;Serif" w:hAnsi="Times New Roman;Times;Serif"/>
          <w:b w:val="false"/>
          <w:i w:val="false"/>
          <w:caps w:val="false"/>
          <w:smallCaps w:val="false"/>
          <w:sz w:val="20"/>
        </w:rPr>
        <w:t xml:space="preserv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Dissolution; Winding up.</w:t>
      </w:r>
      <w:r>
        <w:rPr>
          <w:rFonts w:ascii="Times New Roman;Times;Serif" w:hAnsi="Times New Roman;Times;Serif"/>
          <w:b w:val="false"/>
          <w:i w:val="false"/>
          <w:caps w:val="false"/>
          <w:smallCaps w:val="false"/>
          <w:sz w:val="20"/>
        </w:rPr>
        <w:t xml:space="preserve">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Cayman Companies Act and our amended and restated articles of association, our company may be dissolved, liquidated or wound up by a special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Variation of Rights of Shares. </w:t>
      </w:r>
      <w:r>
        <w:rPr>
          <w:rFonts w:ascii="Times New Roman;Times;Serif" w:hAnsi="Times New Roman;Times;Serif"/>
          <w:b w:val="false"/>
          <w:i w:val="false"/>
          <w:caps w:val="false"/>
          <w:smallCaps w:val="false"/>
          <w:sz w:val="20"/>
        </w:rPr>
        <w:t xml:space="preserve">Under the Delaware General Corporation Law, a corporation may vary the rights of a class of shares with the approval of a majority of the outstanding shares of such class, unless the certificate of incorporation provides otherwise. Under Cayman Islands law and our amended and restated articles of association, if at any time our share capital is divided into different classes of shares, the rights attached to any class of shares (unless otherwise provided by the terms of issue of the shares of that class), whether or not we are being wound-up, may be varied with the consent in writing of the holders of two-thirds of the issued shares of that class or with the sanction of a special resolution passed at a separate meeting of the holders of the shares of the class. The rights conferred upon the holders of our shares of any class issued with preferred or other rights shall not, unless otherwise expressly provided by the terms of issuance of the shares of that class, be deemed to be varied by, inter alia,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or subsequent to such existing class of shares, or the redemption or purchase of any shares of any class by the Company. The rights of the holders of our shares shall not be deemed to be varied by the creation or issue of shares with preferred or other rights including, without limitation, the creation of shares with enhanced or weighted voting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of Governing Documents.</w:t>
      </w:r>
      <w:r>
        <w:rPr>
          <w:rFonts w:ascii="Times New Roman;Times;Serif" w:hAnsi="Times New Roman;Times;Serif"/>
          <w:b w:val="false"/>
          <w:i w:val="false"/>
          <w:caps w:val="false"/>
          <w:smallCaps w:val="false"/>
          <w:sz w:val="20"/>
        </w:rPr>
        <w:t xml:space="preserve"> Under the Delaware General Corporation Law, a corporation’s governing documents may be amended with the approval of a majority of the outstanding shares entitled to vote, unless the certificate of incorporation provides otherwise. Under the Cayman Companies Act and our amended and restated memorandum and articles of association, our memorandum and articles of association may only be amended by a special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of Non-resident or Foreign Shareholders.</w:t>
      </w:r>
      <w:r>
        <w:rPr>
          <w:rFonts w:ascii="Times New Roman;Times;Serif" w:hAnsi="Times New Roman;Times;Serif"/>
          <w:b w:val="false"/>
          <w:i w:val="false"/>
          <w:caps w:val="false"/>
          <w:smallCaps w:val="false"/>
          <w:sz w:val="20"/>
        </w:rPr>
        <w:t xml:space="preserve"> 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amended and restated memorandum and articles of association, our board of directors may, without further action by the members, fix the rights, preferences, privileges, restrictions and payment obligations of up to an aggregate of up to 200,000,000 (being the number of authorized but undesignated shares under our amended and restated memorandum and articles of association) preferred shares of a par value of US$0.0000001 each, in one or more series and authorize their issuance. The undesignated shares authorized under our amended and restated memorandum and articles of association are available for issuance without further action by the members, unless such action is required by applicable law or the rules of any stock exchange on which our securities may be listed, provided, however, before any preferred shares of any such series are issued, our board of directors shall by resolution of directors determine, with respect to any series of preferred shares, the terms and rights of that series. These rights, preferences and privileges could include dividend rights, conversion rights, voting rights, terms of redemption, preemption rights, liquidation preferences, sinking fund terms and the number of shares constituting any series or the designation of such series, any or all of which may be greater than the rights of the Class A ordinary shares. The specific terms of any series of preferred shares offered pursuant to this prospectus will be described in the prospectus supplement relating to that series of preferred shares. Any issuance of preferred shares could adversely affect the voting power of holders of Class A ordinary shares and the likelihood that such holders would receive dividend payments and payments on liquidation. In addition, the issuance of preferred shares could have the effect of delaying, deterring or preventing a change of control or other corporate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will have the terms described below unless otherwise provided in the prospectus supplement relating to a particular series of preferred shares. You should read the prospectus supplement relating to the particular series of preferred shares being offered for specific terms, including:</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both"/>
              <w:rPr/>
            </w:pPr>
            <w:r>
              <w:rPr/>
              <w:t>the designation and stated value per share of the preferred shares and the number of shares offered;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4"/>
        <w:gridCol w:w="9748"/>
      </w:tblGrid>
      <w:tr>
        <w:trPr/>
        <w:tc>
          <w:tcPr>
            <w:tcW w:w="8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w:t>
            </w:r>
          </w:p>
        </w:tc>
        <w:tc>
          <w:tcPr>
            <w:tcW w:w="9748" w:type="dxa"/>
            <w:tcBorders/>
            <w:vAlign w:val="center"/>
          </w:tcPr>
          <w:p>
            <w:pPr>
              <w:pStyle w:val="TableContents"/>
              <w:bidi w:val="0"/>
              <w:spacing w:before="0" w:after="283"/>
              <w:jc w:val="both"/>
              <w:rPr/>
            </w:pPr>
            <w:r>
              <w:rPr/>
              <w:t>the amount of liquidation preference per share;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32"/>
        <w:gridCol w:w="9800"/>
      </w:tblGrid>
      <w:tr>
        <w:trPr/>
        <w:tc>
          <w:tcPr>
            <w:tcW w:w="7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pPr>
            <w:r>
              <w:rPr/>
              <w:t>the price at which the preferred shares will be issued;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dividend rate, or method of calculation of dividends, the dates on which dividends will be payable, whether dividends will be cumulative or noncumulative and, if cumulative, the dates from which dividends will commence to accumulate;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2"/>
        <w:gridCol w:w="9713"/>
      </w:tblGrid>
      <w:tr>
        <w:trPr/>
        <w:tc>
          <w:tcPr>
            <w:tcW w:w="9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pPr>
            <w:r>
              <w:rPr/>
              <w:t>●</w:t>
            </w:r>
          </w:p>
        </w:tc>
        <w:tc>
          <w:tcPr>
            <w:tcW w:w="9713" w:type="dxa"/>
            <w:tcBorders/>
            <w:vAlign w:val="center"/>
          </w:tcPr>
          <w:p>
            <w:pPr>
              <w:pStyle w:val="TableContents"/>
              <w:bidi w:val="0"/>
              <w:spacing w:before="0" w:after="283"/>
              <w:jc w:val="both"/>
              <w:rPr/>
            </w:pPr>
            <w:r>
              <w:rPr/>
              <w:t>any redemption or sinking fund provisions;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other than the currency of the United States, the currency or currencies including composite currencies in which the preferred shares are denominated and/or in which payments will or may be payable;</w:t>
            </w:r>
          </w:p>
        </w:tc>
      </w:tr>
    </w:tbl>
    <w:p>
      <w:pPr>
        <w:pStyle w:val="TextBody"/>
        <w:bidi w:val="0"/>
        <w:spacing w:before="0" w:after="0"/>
        <w:ind w:left="1134"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5"/>
        <w:gridCol w:w="9539"/>
      </w:tblGrid>
      <w:tr>
        <w:trPr/>
        <w:tc>
          <w:tcPr>
            <w:tcW w:w="1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w:t>
            </w:r>
          </w:p>
        </w:tc>
        <w:tc>
          <w:tcPr>
            <w:tcW w:w="9539" w:type="dxa"/>
            <w:tcBorders/>
            <w:vAlign w:val="center"/>
          </w:tcPr>
          <w:p>
            <w:pPr>
              <w:pStyle w:val="TableContents"/>
              <w:bidi w:val="0"/>
              <w:spacing w:before="0" w:after="283"/>
              <w:jc w:val="both"/>
              <w:rPr/>
            </w:pPr>
            <w:r>
              <w:rPr/>
              <w:t>any conversion provisions;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7"/>
        <w:gridCol w:w="9964"/>
      </w:tblGrid>
      <w:tr>
        <w:trPr/>
        <w:tc>
          <w:tcPr>
            <w:tcW w:w="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both"/>
              <w:rPr/>
            </w:pPr>
            <w:r>
              <w:rPr/>
              <w:t>any other rights, preferences, privileges, limitations and restrictions on the preferred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will, when issued, be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2023, subject to a 10b5-1 Stock Repurchase Agreement dated June 16, 2023, our board of directors authorized the repurchase of up to US$1,000,000 of the Class A ordinary shares (the “Repurchase Program”), effective until September 15, 2023. The Repurchase Program was subsequently extended by our board of directors to be effective until December 15, 2023. We may repurchase all or a portion of our authorized repurchase amount. The Repurchase Program does not obligate us to repurchase any specific number of the Class A ordinary shares and the Repurchase Program may be suspended or terminated at any time at our management’s discretion. On October 18, 2023, subject to a 10b5-1 Stock Repurchase Agreement dated October 18, 2023, our board of directors authorized the repurchase of up to US$2,000,000 of our Class A ordinary shares, effective until April 17, 2024. During the year ended December 31, 2023, we purchased 606,756 Class A ordinary shares for approximately US$2.6 million under these repurchase programs. These shares were cancelled during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our board of directors approved a share repurchase program under which we may repurchase up to US$10.0 million worth of our Class A ordinary shares, effective from September 9, 2024 through September 8, 2025. As of the date of this prospectus, we have fully utilized the US$10.0 million under the foregoing share repurchase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our board of directors approved a share repurchase program under which we may repurchase up to US$20.0 million worth of our Class A ordinary shares, effective from February 28, 2025 through February 28, 2026. As of the date of this prospectus, we have fully utilized the US$20.0 million under the foregoing share repurchase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our board of directors approved a new share repurchase program to repurchase up to additional US$40.0 million worth of our Class A ordinary shares, effective from May 30, 2025 and ending on May 29, 2026. As of the date of this prospectus, we have fully utilized the US$40.0 million under the foregoing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Debt Securities, Warrants and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debt securities, warrants and units does not purport to be complete and is subject to, and qualified in its entirety by reference to, the provisions of the indenture, warrant agreement or unit agreement, as applicable, that will be filed with the SEC in connection with the offering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not limit the amount of debt securities that we may issue. It will provide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will not contain any covenants or other provisions designed to give holders of any debt securities protection against changes in our operations, financial condition or transactions involving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debt securities being offered, including:</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453"/>
        <w:gridCol w:w="9651"/>
      </w:tblGrid>
      <w:tr>
        <w:trPr/>
        <w:tc>
          <w:tcPr>
            <w:tcW w:w="1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w:t>
            </w:r>
          </w:p>
        </w:tc>
        <w:tc>
          <w:tcPr>
            <w:tcW w:w="9651" w:type="dxa"/>
            <w:tcBorders/>
            <w:vAlign w:val="center"/>
          </w:tcPr>
          <w:p>
            <w:pPr>
              <w:pStyle w:val="TableContents"/>
              <w:bidi w:val="0"/>
              <w:spacing w:before="0" w:after="283"/>
              <w:jc w:val="both"/>
              <w:rPr/>
            </w:pPr>
            <w:r>
              <w:rPr/>
              <w:t>the title of the series of debt securities;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limit upon the aggregate principal amount of the debt securities of the series that may be authenticated and delivered;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2"/>
        <w:gridCol w:w="9971"/>
      </w:tblGrid>
      <w:tr>
        <w:trPr/>
        <w:tc>
          <w:tcPr>
            <w:tcW w:w="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283"/>
              <w:jc w:val="both"/>
              <w:rPr/>
            </w:pPr>
            <w:r>
              <w:rPr/>
              <w:t>the maturity date or dates on which the principal of the debt securities of the series is payable;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6"/>
        <w:gridCol w:w="9709"/>
      </w:tblGrid>
      <w:tr>
        <w:trPr/>
        <w:tc>
          <w:tcPr>
            <w:tcW w:w="9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jc w:val="both"/>
              <w:rPr/>
            </w:pPr>
            <w:r>
              <w:rPr/>
              <w:t>the form of the debt securities of the series;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492"/>
        <w:gridCol w:w="9604"/>
      </w:tblGrid>
      <w:tr>
        <w:trPr/>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pPr>
            <w:r>
              <w:rPr/>
              <w:t>●</w:t>
            </w:r>
          </w:p>
        </w:tc>
        <w:tc>
          <w:tcPr>
            <w:tcW w:w="9604" w:type="dxa"/>
            <w:tcBorders/>
            <w:vAlign w:val="center"/>
          </w:tcPr>
          <w:p>
            <w:pPr>
              <w:pStyle w:val="TableContents"/>
              <w:bidi w:val="0"/>
              <w:spacing w:before="0" w:after="283"/>
              <w:jc w:val="both"/>
              <w:rPr/>
            </w:pPr>
            <w:r>
              <w:rPr/>
              <w:t>the applicability of any guarantees;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both"/>
              <w:rPr/>
            </w:pPr>
            <w:r>
              <w:rPr/>
              <w:t>whether the debt securities will be secured or unsecured, and the terms of any secured debt;</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the debt securities rank as senior debt, senior subordinated debt, subordinated debt or any combination thereof, and the terms of any subordination;</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7"/>
        <w:gridCol w:w="9989"/>
      </w:tblGrid>
      <w:tr>
        <w:trPr/>
        <w:tc>
          <w:tcPr>
            <w:tcW w:w="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both"/>
              <w:rPr/>
            </w:pPr>
            <w:r>
              <w:rPr/>
              <w:t>our right, if any, to defer the payment of interest and the maximum length of any such deferral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denominations in which we will issue the series of debt securities, if other than denominations of $1,000 and any integral multiple thereof;</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other than the full principal amount thereof, the portion of the principal amount of debt securities of the series which shall be payable upon declaration of acceleration of the maturity thereof;</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additions to or changes in the covenants applicable to the particular series of debt securities being issued, including, among others, the consolidation, merger or sale covenant;</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additions to or changes in the events of default with respect to the securities and any change in the right of the trustee or the holders to declare the principal, premium, if any, and interest, if any, with respect to such securities to be due and payable;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additions to or changes in or deletions of the provisions relating to covenant defeasance and legal defeasance;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0"/>
        <w:gridCol w:w="9973"/>
      </w:tblGrid>
      <w:tr>
        <w:trPr/>
        <w:tc>
          <w:tcPr>
            <w:tcW w:w="4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w:t>
            </w:r>
          </w:p>
        </w:tc>
        <w:tc>
          <w:tcPr>
            <w:tcW w:w="9973" w:type="dxa"/>
            <w:tcBorders/>
            <w:vAlign w:val="center"/>
          </w:tcPr>
          <w:p>
            <w:pPr>
              <w:pStyle w:val="TableContents"/>
              <w:bidi w:val="0"/>
              <w:spacing w:before="0" w:after="283"/>
              <w:jc w:val="both"/>
              <w:rPr/>
            </w:pPr>
            <w:r>
              <w:rPr/>
              <w:t>additions to or changes in the provisions relating to satisfaction and discharge of the indenture;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additions to or changes in the provisions relating to the modification of the indenture both with and without the consent of holders of debt securities issued under the indenture;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currency of payment of debt securities if other than U.S. dollars and the manner of determining the equivalent amount in U.S. dollars;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interest will be payable in cash or additional debt securities at our or the holders’ option and the terms and conditions upon which the election may be made;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terms and conditions, if any, upon which we will pay amounts in addition to the stated interest, premium, if any and principal amounts of the debt securities of the series to any holder that is not a “United States person” for federal tax purposes;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0"/>
        <w:gridCol w:w="9948"/>
      </w:tblGrid>
      <w:tr>
        <w:trPr/>
        <w:tc>
          <w:tcPr>
            <w:tcW w:w="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8" w:type="dxa"/>
            <w:tcBorders/>
            <w:vAlign w:val="center"/>
          </w:tcPr>
          <w:p>
            <w:pPr>
              <w:pStyle w:val="TableContents"/>
              <w:bidi w:val="0"/>
              <w:spacing w:before="0" w:after="283"/>
              <w:jc w:val="both"/>
              <w:rPr/>
            </w:pPr>
            <w:r>
              <w:rPr/>
              <w:t>any restrictions on transfer, sale or assignment of the debt securities of the series;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other specific terms, preferences, rights or limitations of, or restrictions on, the debt securities, any other additions or changes in the provisions of the indenture, and any terms that may be required by us or advisable under applicable laws or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Conversion or Exchange Rights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the terms on which a series of debt securities may be convertible into or exchangeable for cash, our common stock or other securities. We will include provisions as to settlement upon conversion or exchange and whether conversion or exchange is mandatory, at the option of the holder or at our option. We may include provisions pursuant to which the conversion or exchange rate would be subject to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Consolidation, Merger or Sale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Events of Default under the Indenture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applicable to a particular series of debt securities, the following will be events of default under the indenture with respect to any series of debt securities that we may issue:</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default in the payment of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default in the payment of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5"/>
        <w:gridCol w:w="9955"/>
      </w:tblGrid>
      <w:tr>
        <w:trPr/>
        <w:tc>
          <w:tcPr>
            <w:tcW w:w="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w:t>
            </w:r>
          </w:p>
        </w:tc>
        <w:tc>
          <w:tcPr>
            <w:tcW w:w="9955" w:type="dxa"/>
            <w:tcBorders/>
            <w:vAlign w:val="center"/>
          </w:tcPr>
          <w:p>
            <w:pPr>
              <w:pStyle w:val="TableContents"/>
              <w:bidi w:val="0"/>
              <w:spacing w:before="0" w:after="283"/>
              <w:jc w:val="both"/>
              <w:rPr/>
            </w:pPr>
            <w:r>
              <w:rPr/>
              <w:t>if specified events of bankruptcy, insolvency or reorganization occur with respect to 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on all the debt securities of that series due and payable immediately. If an event of default specified in the last bullet point above occurs with respect to us, the principal amount of and accrued interest, if any, on all the debt securities of that series then outstanding shall be due and payable without any notice or other action on the part of the trustee or any holder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such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(and if requested, provided) the trustee security or indemnity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both"/>
              <w:rPr/>
            </w:pPr>
            <w:r>
              <w:rPr/>
              <w:t>●</w:t>
            </w:r>
          </w:p>
        </w:tc>
        <w:tc>
          <w:tcPr>
            <w:tcW w:w="9981" w:type="dxa"/>
            <w:tcBorders/>
            <w:vAlign w:val="center"/>
          </w:tcPr>
          <w:p>
            <w:pPr>
              <w:pStyle w:val="TableContents"/>
              <w:bidi w:val="0"/>
              <w:spacing w:before="0" w:after="283"/>
              <w:jc w:val="both"/>
              <w:rPr/>
            </w:pPr>
            <w:r>
              <w:rPr/>
              <w:t>the direction so given by the holder is not in conflict with any law or the applicable indenture;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subject to its duties under the Trust Indenture Act, the trustee shall have the right to decline to follow any direct if the trustee in good faith determines that the proceeding so directed would involve it in personal liability or might be unduly prejudicial to the holders not involved in the proceeding.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have the right to institute a suit, action or proceeding under the indenture or to appoint a receiver or trustee, or to seek other remedies under the indenture only if:</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holder has given written notice to the trustee of a continuing event of default with respect to that series;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holders of at least 25% in aggregate principal amount of the outstanding debt securities of that series have made written request to institute such suit, action or proceeding;</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such holders have offered to the trustee indemnity satisfactory to it against the costs, expenses and liabilities to be incurred by the trustee in compliance with the request;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trustee does not institute the proceeding, and does not receive from the holders of a majority in aggregate principal amount of the outstanding debt securities of that series other conflicting directions within 90 days after such notice, request and offer.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trustee regarding our compliance with specified covenants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Modification of Indenture; Waiver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without the consent of any holders of the debt securities of a series, amend, modify or supplement the indenture with respect to specific matters: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to cure any ambiguity, defect or inconsistency in the indenture or in the debt securities of any series;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comply with the provisions described above under “Description of Debt Securities—Consolidation, Merger or Sale;”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pPr>
            <w:r>
              <w:rPr/>
              <w:t>to provide for uncertificated debt securities in addition to or in place of certificated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add to, delete from or revise the conditions, limitations, and restrictions on the authorized amount, terms, or purposes of issue, authentication and delivery of debt securities, as set forth in the indenture;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make any change that does not adversely affect the interests of any holder of debt securities of any series in any material respect;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both"/>
              <w:rPr/>
            </w:pPr>
            <w:r>
              <w:rPr/>
              <w:t>to evidence and provide for the acceptance of appointment under any indenture by a successor trustee;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comply with any requirements of the SEC in connection with the qualification of any indenture under the Trust Indenture 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 the rights of holders of a series of debt securities may be amended, modified or supplemented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extending the fixed maturity of any debt securities of any series, or reducing the principal amount thereof, or reducing the rate of or extending the time of payment of interest thereon, or reducing any premium payable upon the redemption thereof;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reducing the percentage of debt securities, the holders of which are required to consent to any amendment, supplement, modification or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Discharge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we can elect to be discharged from our obligations with respect to one or more series of debt securities, except for specified obligations, including obligations to:</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780"/>
        <w:gridCol w:w="9251"/>
      </w:tblGrid>
      <w:tr>
        <w:trPr/>
        <w:tc>
          <w:tcPr>
            <w:tcW w:w="17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pPr>
            <w:r>
              <w:rPr/>
              <w:t>●</w:t>
            </w:r>
          </w:p>
        </w:tc>
        <w:tc>
          <w:tcPr>
            <w:tcW w:w="9251" w:type="dxa"/>
            <w:tcBorders/>
            <w:vAlign w:val="center"/>
          </w:tcPr>
          <w:p>
            <w:pPr>
              <w:pStyle w:val="TableContents"/>
              <w:bidi w:val="0"/>
              <w:spacing w:before="0" w:after="283"/>
              <w:jc w:val="left"/>
              <w:rPr/>
            </w:pPr>
            <w:r>
              <w:rPr/>
              <w:t>provide for payment;</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82"/>
        <w:gridCol w:w="9861"/>
      </w:tblGrid>
      <w:tr>
        <w:trPr/>
        <w:tc>
          <w:tcPr>
            <w:tcW w:w="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1" w:type="dxa"/>
            <w:tcBorders/>
            <w:vAlign w:val="center"/>
          </w:tcPr>
          <w:p>
            <w:pPr>
              <w:pStyle w:val="TableContents"/>
              <w:bidi w:val="0"/>
              <w:spacing w:before="0" w:after="283"/>
              <w:jc w:val="left"/>
              <w:rPr/>
            </w:pPr>
            <w:r>
              <w:rPr/>
              <w:t>register the transfer or exchange of debt securities of the series;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9"/>
        <w:gridCol w:w="9840"/>
      </w:tblGrid>
      <w:tr>
        <w:trPr/>
        <w:tc>
          <w:tcPr>
            <w:tcW w:w="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w:t>
            </w:r>
          </w:p>
        </w:tc>
        <w:tc>
          <w:tcPr>
            <w:tcW w:w="9840" w:type="dxa"/>
            <w:tcBorders/>
            <w:vAlign w:val="center"/>
          </w:tcPr>
          <w:p>
            <w:pPr>
              <w:pStyle w:val="TableContents"/>
              <w:bidi w:val="0"/>
              <w:spacing w:before="0" w:after="283"/>
              <w:jc w:val="left"/>
              <w:rPr/>
            </w:pPr>
            <w:r>
              <w:rPr/>
              <w:t>replace stolen, lost or mutilated debt securities of the series;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1"/>
        <w:gridCol w:w="9923"/>
      </w:tblGrid>
      <w:tr>
        <w:trPr/>
        <w:tc>
          <w:tcPr>
            <w:tcW w:w="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23" w:type="dxa"/>
            <w:tcBorders/>
            <w:vAlign w:val="center"/>
          </w:tcPr>
          <w:p>
            <w:pPr>
              <w:pStyle w:val="TableContents"/>
              <w:bidi w:val="0"/>
              <w:spacing w:before="0" w:after="283"/>
              <w:jc w:val="left"/>
              <w:rPr/>
            </w:pPr>
            <w:r>
              <w:rPr/>
              <w:t>pay principal of and premium and interest on any debt securities of the series;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645"/>
        <w:gridCol w:w="9416"/>
      </w:tblGrid>
      <w:tr>
        <w:trPr/>
        <w:tc>
          <w:tcPr>
            <w:tcW w:w="1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both"/>
              <w:rPr/>
            </w:pPr>
            <w:r>
              <w:rPr/>
              <w:t>●</w:t>
            </w:r>
          </w:p>
        </w:tc>
        <w:tc>
          <w:tcPr>
            <w:tcW w:w="9416" w:type="dxa"/>
            <w:tcBorders/>
            <w:vAlign w:val="center"/>
          </w:tcPr>
          <w:p>
            <w:pPr>
              <w:pStyle w:val="TableContents"/>
              <w:bidi w:val="0"/>
              <w:spacing w:before="0" w:after="283"/>
              <w:jc w:val="both"/>
              <w:rPr/>
            </w:pPr>
            <w:r>
              <w:rPr/>
              <w:t>maintain paying agencies;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515"/>
        <w:gridCol w:w="9575"/>
      </w:tblGrid>
      <w:tr>
        <w:trPr/>
        <w:tc>
          <w:tcPr>
            <w:tcW w:w="1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both"/>
              <w:rPr/>
            </w:pPr>
            <w:r>
              <w:rPr/>
              <w:t>●</w:t>
            </w:r>
          </w:p>
        </w:tc>
        <w:tc>
          <w:tcPr>
            <w:tcW w:w="9575" w:type="dxa"/>
            <w:tcBorders/>
            <w:vAlign w:val="center"/>
          </w:tcPr>
          <w:p>
            <w:pPr>
              <w:pStyle w:val="TableContents"/>
              <w:bidi w:val="0"/>
              <w:spacing w:before="0" w:after="283"/>
              <w:jc w:val="both"/>
              <w:rPr/>
            </w:pPr>
            <w:r>
              <w:rPr/>
              <w:t>hold monies for payment in trust;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6"/>
        <w:gridCol w:w="9697"/>
      </w:tblGrid>
      <w:tr>
        <w:trPr/>
        <w:tc>
          <w:tcPr>
            <w:tcW w:w="9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both"/>
              <w:rPr/>
            </w:pPr>
            <w:r>
              <w:rPr/>
              <w:t>●</w:t>
            </w:r>
          </w:p>
        </w:tc>
        <w:tc>
          <w:tcPr>
            <w:tcW w:w="9697" w:type="dxa"/>
            <w:tcBorders/>
            <w:vAlign w:val="center"/>
          </w:tcPr>
          <w:p>
            <w:pPr>
              <w:pStyle w:val="TableContents"/>
              <w:bidi w:val="0"/>
              <w:spacing w:before="0" w:after="283"/>
              <w:jc w:val="both"/>
              <w:rPr/>
            </w:pPr>
            <w:r>
              <w:rPr/>
              <w:t>recover excess money held by the trustee;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7"/>
        <w:gridCol w:w="9708"/>
      </w:tblGrid>
      <w:tr>
        <w:trPr/>
        <w:tc>
          <w:tcPr>
            <w:tcW w:w="9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both"/>
              <w:rPr/>
            </w:pPr>
            <w:r>
              <w:rPr/>
              <w:t>●</w:t>
            </w:r>
          </w:p>
        </w:tc>
        <w:tc>
          <w:tcPr>
            <w:tcW w:w="9708" w:type="dxa"/>
            <w:tcBorders/>
            <w:vAlign w:val="center"/>
          </w:tcPr>
          <w:p>
            <w:pPr>
              <w:pStyle w:val="TableContents"/>
              <w:bidi w:val="0"/>
              <w:spacing w:before="0" w:after="283"/>
              <w:jc w:val="both"/>
              <w:rPr/>
            </w:pPr>
            <w:r>
              <w:rPr/>
              <w:t>compensate and indemnify the trustee;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569"/>
        <w:gridCol w:w="9509"/>
      </w:tblGrid>
      <w:tr>
        <w:trPr/>
        <w:tc>
          <w:tcPr>
            <w:tcW w:w="12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both"/>
              <w:rPr/>
            </w:pPr>
            <w:r>
              <w:rPr/>
              <w:t>●</w:t>
            </w:r>
          </w:p>
        </w:tc>
        <w:tc>
          <w:tcPr>
            <w:tcW w:w="9509" w:type="dxa"/>
            <w:tcBorders/>
            <w:vAlign w:val="center"/>
          </w:tcPr>
          <w:p>
            <w:pPr>
              <w:pStyle w:val="TableContents"/>
              <w:bidi w:val="0"/>
              <w:spacing w:before="0" w:after="283"/>
              <w:jc w:val="both"/>
              <w:rPr/>
            </w:pPr>
            <w:r>
              <w:rPr/>
              <w:t>appoint any successor trustee.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we must deposit with the trustee money or government obligations sufficient to pay all the principal of, any premium, if any, and interest on, the debt securities of the series on the dates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Exchange and Transfer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provide otherwise in the applicable prospectus supplement, in denominations of $1,000 and any integral multiple thereof. The indenture will provide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Concerning the Trustee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(and if requested, provided) security or indemnity against the costs, expenses and liabilities that it might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Payment and Paying Agents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Governing Law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internal laws of the State of New York, except to the extent that the Trust Indenture Act of 1939 is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set forth, to the extent required and as applicable, the following terms (non-exhaustive) of the warrants in respect of which the prospectus supplement is delivered:</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664"/>
        <w:gridCol w:w="9393"/>
      </w:tblGrid>
      <w:tr>
        <w:trPr/>
        <w:tc>
          <w:tcPr>
            <w:tcW w:w="14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both"/>
              <w:rPr/>
            </w:pPr>
            <w:r>
              <w:rPr/>
              <w:t>●</w:t>
            </w:r>
          </w:p>
        </w:tc>
        <w:tc>
          <w:tcPr>
            <w:tcW w:w="9393" w:type="dxa"/>
            <w:tcBorders/>
            <w:vAlign w:val="center"/>
          </w:tcPr>
          <w:p>
            <w:pPr>
              <w:pStyle w:val="TableContents"/>
              <w:bidi w:val="0"/>
              <w:spacing w:before="0" w:after="283"/>
              <w:jc w:val="both"/>
              <w:rPr/>
            </w:pPr>
            <w:r>
              <w:rPr/>
              <w:t>the title of such warrants;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8"/>
        <w:gridCol w:w="9670"/>
      </w:tblGrid>
      <w:tr>
        <w:trPr/>
        <w:tc>
          <w:tcPr>
            <w:tcW w:w="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both"/>
              <w:rPr/>
            </w:pPr>
            <w:r>
              <w:rPr/>
              <w:t>●</w:t>
            </w:r>
          </w:p>
        </w:tc>
        <w:tc>
          <w:tcPr>
            <w:tcW w:w="9670" w:type="dxa"/>
            <w:tcBorders/>
            <w:vAlign w:val="center"/>
          </w:tcPr>
          <w:p>
            <w:pPr>
              <w:pStyle w:val="TableContents"/>
              <w:bidi w:val="0"/>
              <w:spacing w:before="0" w:after="283"/>
              <w:jc w:val="both"/>
              <w:rPr/>
            </w:pPr>
            <w:r>
              <w:rPr/>
              <w:t>the aggregate number of such warrants;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2"/>
        <w:gridCol w:w="9824"/>
      </w:tblGrid>
      <w:tr>
        <w:trPr/>
        <w:tc>
          <w:tcPr>
            <w:tcW w:w="6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both"/>
              <w:rPr/>
            </w:pPr>
            <w:r>
              <w:rPr/>
              <w:t>●</w:t>
            </w:r>
          </w:p>
        </w:tc>
        <w:tc>
          <w:tcPr>
            <w:tcW w:w="9824" w:type="dxa"/>
            <w:tcBorders/>
            <w:vAlign w:val="center"/>
          </w:tcPr>
          <w:p>
            <w:pPr>
              <w:pStyle w:val="TableContents"/>
              <w:bidi w:val="0"/>
              <w:spacing w:before="0" w:after="283"/>
              <w:jc w:val="both"/>
              <w:rPr/>
            </w:pPr>
            <w:r>
              <w:rPr/>
              <w:t>the price or prices at which such warrants will be issued;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8"/>
        <w:gridCol w:w="9927"/>
      </w:tblGrid>
      <w:tr>
        <w:trPr/>
        <w:tc>
          <w:tcPr>
            <w:tcW w:w="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pPr>
            <w:r>
              <w:rPr/>
              <w:t>●</w:t>
            </w:r>
          </w:p>
        </w:tc>
        <w:tc>
          <w:tcPr>
            <w:tcW w:w="9927" w:type="dxa"/>
            <w:tcBorders/>
            <w:vAlign w:val="center"/>
          </w:tcPr>
          <w:p>
            <w:pPr>
              <w:pStyle w:val="TableContents"/>
              <w:bidi w:val="0"/>
              <w:spacing w:before="0" w:after="283"/>
              <w:jc w:val="both"/>
              <w:rPr/>
            </w:pPr>
            <w:r>
              <w:rPr/>
              <w:t>the currency or currencies in which the price of such warrants will be payable;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price at which and the currency or currencies in which the securities or other rights purchasable upon exercise of such warrants may be purchased;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date on which the right to exercise such warrants shall commence and the date on which such right shall expire;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if applicable, the minimum or maximum amount of such warrants which may be exercised at any one time;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if applicable, the designation and terms of the securities with which such warrants are issued and the number of such warrants issued with each such security;</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if applicable, the date on and after which such warrants and the related securities will be separately transferable;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4"/>
        <w:gridCol w:w="9833"/>
      </w:tblGrid>
      <w:tr>
        <w:trPr/>
        <w:tc>
          <w:tcPr>
            <w:tcW w:w="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both"/>
              <w:rPr/>
            </w:pPr>
            <w:r>
              <w:rPr/>
              <w:t>●</w:t>
            </w:r>
          </w:p>
        </w:tc>
        <w:tc>
          <w:tcPr>
            <w:tcW w:w="9833" w:type="dxa"/>
            <w:tcBorders/>
            <w:vAlign w:val="center"/>
          </w:tcPr>
          <w:p>
            <w:pPr>
              <w:pStyle w:val="TableContents"/>
              <w:bidi w:val="0"/>
              <w:spacing w:before="0" w:after="283"/>
              <w:jc w:val="both"/>
              <w:rPr/>
            </w:pPr>
            <w:r>
              <w:rPr/>
              <w:t>information with respect to book-entry procedures, if any;</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0"/>
        <w:gridCol w:w="9973"/>
      </w:tblGrid>
      <w:tr>
        <w:trPr/>
        <w:tc>
          <w:tcPr>
            <w:tcW w:w="4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both"/>
              <w:rPr/>
            </w:pPr>
            <w:r>
              <w:rPr/>
              <w:t>●</w:t>
            </w:r>
          </w:p>
        </w:tc>
        <w:tc>
          <w:tcPr>
            <w:tcW w:w="9973" w:type="dxa"/>
            <w:tcBorders/>
            <w:vAlign w:val="center"/>
          </w:tcPr>
          <w:p>
            <w:pPr>
              <w:pStyle w:val="TableContents"/>
              <w:bidi w:val="0"/>
              <w:spacing w:before="0" w:after="283"/>
              <w:jc w:val="both"/>
              <w:rPr/>
            </w:pPr>
            <w:r>
              <w:rPr/>
              <w:t>if applicable, a discussion of any material United States federal income tax considerations;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any other terms of such warrants, including terms, procedures and limitations relating to the exchange and exercise of such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720" w:right="0" w:hanging="360"/>
        <w:jc w:val="both"/>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17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pPr>
            <w:r>
              <w:rPr/>
              <w:t>any unit agreement under which the units will be issued;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provisions for the issuance, payment, settlement, transfer or exchange of the units or of the securities comprising the units; and</w:t>
            </w:r>
          </w:p>
        </w:tc>
      </w:tr>
    </w:tbl>
    <w:p>
      <w:pPr>
        <w:pStyle w:val="TextBody"/>
        <w:bidi w:val="0"/>
        <w:spacing w:before="0" w:after="0"/>
        <w:ind w:left="720" w:right="0" w:hanging="360"/>
        <w:jc w:val="both"/>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pPr>
            <w:r>
              <w:rPr/>
              <w:t>whether the units will be issued in fully registered or global form.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11" w:name="a_009"/>
      <w:bookmarkEnd w:id="11"/>
      <w:r>
        <w:rPr>
          <w:rFonts w:ascii="Times New Roman;Times;Serif" w:hAnsi="Times New Roman;Times;Serif"/>
          <w:b/>
          <w:i w:val="false"/>
          <w:smallCaps/>
          <w:sz w:val="20"/>
        </w:rPr>
        <w:t>FORMS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Bitdeer Technologies Group, the trustees, the warrant agents, the unit agents or any other agent of Bitdeer Technologies Group,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12" w:name="a_010"/>
      <w:bookmarkEnd w:id="12"/>
      <w:r>
        <w:rPr>
          <w:rFonts w:ascii="Times New Roman;Times;Serif" w:hAnsi="Times New Roman;Times;Serif"/>
          <w:b/>
          <w:i w:val="false"/>
          <w:smallCaps/>
          <w:sz w:val="20"/>
        </w:rPr>
        <w:t>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any selling securityholder may sell the securities in one or more of the following ways (or in any combination) from time to time:</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533"/>
        <w:gridCol w:w="9554"/>
      </w:tblGrid>
      <w:tr>
        <w:trPr/>
        <w:tc>
          <w:tcPr>
            <w:tcW w:w="11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pPr>
            <w:r>
              <w:rPr/>
              <w:t>●</w:t>
            </w:r>
          </w:p>
        </w:tc>
        <w:tc>
          <w:tcPr>
            <w:tcW w:w="9554" w:type="dxa"/>
            <w:tcBorders/>
            <w:vAlign w:val="center"/>
          </w:tcPr>
          <w:p>
            <w:pPr>
              <w:pStyle w:val="TableContents"/>
              <w:bidi w:val="0"/>
              <w:spacing w:before="0" w:after="283"/>
              <w:jc w:val="both"/>
              <w:rPr/>
            </w:pPr>
            <w:r>
              <w:rPr/>
              <w:t>through underwriters or dealers;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9"/>
        <w:gridCol w:w="9877"/>
      </w:tblGrid>
      <w:tr>
        <w:trPr/>
        <w:tc>
          <w:tcPr>
            <w:tcW w:w="5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77" w:type="dxa"/>
            <w:tcBorders/>
            <w:vAlign w:val="center"/>
          </w:tcPr>
          <w:p>
            <w:pPr>
              <w:pStyle w:val="TableContents"/>
              <w:bidi w:val="0"/>
              <w:spacing w:before="0" w:after="283"/>
              <w:jc w:val="both"/>
              <w:rPr/>
            </w:pPr>
            <w:r>
              <w:rPr/>
              <w:t>directly to a limited number of purchasers or to a single purchaser;</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block trades in which the broker-dealer will attempt to sell the ordinary shares as agent, but may position and resell a portion of the block as principal to facilitate the transaction;</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short sales and settlement of short sales entered into after the effective date of the registration statement of which this prospectus is a part;</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“at the market offerings,” within the meaning of Rule 415(a)(4) of the Securities Act, into an existing trading market on an exchange or otherwise;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888"/>
        <w:gridCol w:w="9119"/>
      </w:tblGrid>
      <w:tr>
        <w:trPr/>
        <w:tc>
          <w:tcPr>
            <w:tcW w:w="19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pPr>
            <w:r>
              <w:rPr/>
              <w:t>●</w:t>
            </w:r>
          </w:p>
        </w:tc>
        <w:tc>
          <w:tcPr>
            <w:tcW w:w="9119" w:type="dxa"/>
            <w:tcBorders/>
            <w:vAlign w:val="center"/>
          </w:tcPr>
          <w:p>
            <w:pPr>
              <w:pStyle w:val="TableContents"/>
              <w:bidi w:val="0"/>
              <w:spacing w:before="0" w:after="283"/>
              <w:jc w:val="both"/>
              <w:rPr/>
            </w:pPr>
            <w:r>
              <w:rPr/>
              <w:t>through agents; or</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through any other method permitted by applicable law and described in the applicable prospectus supplement.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state the terms of the offering of the securities, including:</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5"/>
        <w:gridCol w:w="9832"/>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w:t>
            </w:r>
          </w:p>
        </w:tc>
        <w:tc>
          <w:tcPr>
            <w:tcW w:w="9832" w:type="dxa"/>
            <w:tcBorders/>
            <w:vAlign w:val="center"/>
          </w:tcPr>
          <w:p>
            <w:pPr>
              <w:pStyle w:val="TableContents"/>
              <w:bidi w:val="0"/>
              <w:spacing w:before="0" w:after="283"/>
              <w:jc w:val="both"/>
              <w:rPr/>
            </w:pPr>
            <w:r>
              <w:rPr/>
              <w:t>the name or names of any underwriters, dealers or agents;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354"/>
        <w:gridCol w:w="9772"/>
      </w:tblGrid>
      <w:tr>
        <w:trPr/>
        <w:tc>
          <w:tcPr>
            <w:tcW w:w="7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w:t>
            </w:r>
          </w:p>
        </w:tc>
        <w:tc>
          <w:tcPr>
            <w:tcW w:w="9772" w:type="dxa"/>
            <w:tcBorders/>
            <w:vAlign w:val="center"/>
          </w:tcPr>
          <w:p>
            <w:pPr>
              <w:pStyle w:val="TableContents"/>
              <w:bidi w:val="0"/>
              <w:spacing w:before="0" w:after="283"/>
              <w:jc w:val="both"/>
              <w:rPr/>
            </w:pPr>
            <w:r>
              <w:rPr/>
              <w:t>the name or names of any selling securityholders;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8"/>
        <w:gridCol w:w="9939"/>
      </w:tblGrid>
      <w:tr>
        <w:trPr/>
        <w:tc>
          <w:tcPr>
            <w:tcW w:w="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w:t>
            </w:r>
          </w:p>
        </w:tc>
        <w:tc>
          <w:tcPr>
            <w:tcW w:w="9939" w:type="dxa"/>
            <w:tcBorders/>
            <w:vAlign w:val="center"/>
          </w:tcPr>
          <w:p>
            <w:pPr>
              <w:pStyle w:val="TableContents"/>
              <w:bidi w:val="0"/>
              <w:spacing w:before="0" w:after="283"/>
              <w:jc w:val="both"/>
              <w:rPr/>
            </w:pPr>
            <w:r>
              <w:rPr/>
              <w:t>the purchase price of such securities and the proceeds to be received by us, if any;</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underwriting discounts or agency fees and other items constituting underwriters’ or agents’ compensation;</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660"/>
        <w:gridCol w:w="9398"/>
      </w:tblGrid>
      <w:tr>
        <w:trPr/>
        <w:tc>
          <w:tcPr>
            <w:tcW w:w="14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pPr>
            <w:r>
              <w:rPr/>
              <w:t>●</w:t>
            </w:r>
          </w:p>
        </w:tc>
        <w:tc>
          <w:tcPr>
            <w:tcW w:w="9398" w:type="dxa"/>
            <w:tcBorders/>
            <w:vAlign w:val="center"/>
          </w:tcPr>
          <w:p>
            <w:pPr>
              <w:pStyle w:val="TableContents"/>
              <w:bidi w:val="0"/>
              <w:spacing w:before="0" w:after="283"/>
              <w:jc w:val="both"/>
              <w:rPr/>
            </w:pPr>
            <w:r>
              <w:rPr/>
              <w:t>any public offering price;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1"/>
        <w:gridCol w:w="9910"/>
      </w:tblGrid>
      <w:tr>
        <w:trPr/>
        <w:tc>
          <w:tcPr>
            <w:tcW w:w="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10" w:type="dxa"/>
            <w:tcBorders/>
            <w:vAlign w:val="center"/>
          </w:tcPr>
          <w:p>
            <w:pPr>
              <w:pStyle w:val="TableContents"/>
              <w:bidi w:val="0"/>
              <w:spacing w:before="0" w:after="283"/>
              <w:jc w:val="both"/>
              <w:rPr/>
            </w:pPr>
            <w:r>
              <w:rPr/>
              <w:t>any discounts or concessions allowed or reallowed or paid to dealers;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82"/>
        <w:gridCol w:w="9861"/>
      </w:tblGrid>
      <w:tr>
        <w:trPr/>
        <w:tc>
          <w:tcPr>
            <w:tcW w:w="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1" w:type="dxa"/>
            <w:tcBorders/>
            <w:vAlign w:val="center"/>
          </w:tcPr>
          <w:p>
            <w:pPr>
              <w:pStyle w:val="TableContents"/>
              <w:bidi w:val="0"/>
              <w:spacing w:before="0" w:after="283"/>
              <w:jc w:val="both"/>
              <w:rPr/>
            </w:pPr>
            <w:r>
              <w:rPr/>
              <w:t>any securities exchanges on which the securities may be listed.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offering price and any discounts or concessions allowed or reallowed or paid to dealers may be changed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securities will be acquired by the underwriters for their own account and may be resold from time to time in one or more transactions, including:</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709"/>
        <w:gridCol w:w="9338"/>
      </w:tblGrid>
      <w:tr>
        <w:trPr/>
        <w:tc>
          <w:tcPr>
            <w:tcW w:w="15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pPr>
            <w:r>
              <w:rPr/>
              <w:t>●</w:t>
            </w:r>
          </w:p>
        </w:tc>
        <w:tc>
          <w:tcPr>
            <w:tcW w:w="9338" w:type="dxa"/>
            <w:tcBorders/>
            <w:vAlign w:val="center"/>
          </w:tcPr>
          <w:p>
            <w:pPr>
              <w:pStyle w:val="TableContents"/>
              <w:bidi w:val="0"/>
              <w:spacing w:before="0" w:after="283"/>
              <w:jc w:val="both"/>
              <w:rPr/>
            </w:pPr>
            <w:r>
              <w:rPr/>
              <w:t>negotiated transactions;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both"/>
              <w:rPr/>
            </w:pPr>
            <w:r>
              <w:rPr/>
              <w:t>at a fixed public offering price or prices, which may be changed;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385"/>
        <w:gridCol w:w="9734"/>
      </w:tblGrid>
      <w:tr>
        <w:trPr/>
        <w:tc>
          <w:tcPr>
            <w:tcW w:w="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w:t>
            </w:r>
          </w:p>
        </w:tc>
        <w:tc>
          <w:tcPr>
            <w:tcW w:w="9734" w:type="dxa"/>
            <w:tcBorders/>
            <w:vAlign w:val="center"/>
          </w:tcPr>
          <w:p>
            <w:pPr>
              <w:pStyle w:val="TableContents"/>
              <w:bidi w:val="0"/>
              <w:spacing w:before="0" w:after="283"/>
              <w:jc w:val="both"/>
              <w:rPr/>
            </w:pPr>
            <w:r>
              <w:rPr/>
              <w:t>at market prices prevailing at the time of sale;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78"/>
        <w:gridCol w:w="9743"/>
      </w:tblGrid>
      <w:tr>
        <w:trPr/>
        <w:tc>
          <w:tcPr>
            <w:tcW w:w="8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w:t>
            </w:r>
          </w:p>
        </w:tc>
        <w:tc>
          <w:tcPr>
            <w:tcW w:w="9743" w:type="dxa"/>
            <w:tcBorders/>
            <w:vAlign w:val="center"/>
          </w:tcPr>
          <w:p>
            <w:pPr>
              <w:pStyle w:val="TableContents"/>
              <w:bidi w:val="0"/>
              <w:spacing w:before="0" w:after="283"/>
              <w:jc w:val="both"/>
              <w:rPr/>
            </w:pPr>
            <w:r>
              <w:rPr/>
              <w:t>at prices related to prevailing market prices; or</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820"/>
        <w:gridCol w:w="9203"/>
      </w:tblGrid>
      <w:tr>
        <w:trPr/>
        <w:tc>
          <w:tcPr>
            <w:tcW w:w="18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pPr>
            <w:r>
              <w:rPr/>
              <w:t>●</w:t>
            </w:r>
          </w:p>
        </w:tc>
        <w:tc>
          <w:tcPr>
            <w:tcW w:w="9203" w:type="dxa"/>
            <w:tcBorders/>
            <w:vAlign w:val="center"/>
          </w:tcPr>
          <w:p>
            <w:pPr>
              <w:pStyle w:val="TableContents"/>
              <w:bidi w:val="0"/>
              <w:spacing w:before="0" w:after="283"/>
              <w:jc w:val="both"/>
              <w:rPr/>
            </w:pPr>
            <w:r>
              <w:rPr/>
              <w:t>at negotiated prices.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through agents from time to time. The prospectus supplement will name any agent involved in the offer or sale of the securities and any commissions paid to them. Generally, any agent will be acting on a best effort basis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and agents may be customers of, engage in transactions with, or perform services for us and our affiliates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15c6-1 of the Exchange Act, trades in the secondary market generally are required to settle in one business day,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securities to be sold, the name of the selling securityholders, the respective purchase prices and public offering prices, the names of any agent, dealer or underwriter, any applicable commissions or discounts with respect to a particular offer and other relevant information will be set forth in an accompanying prospectus supplement. Selling securityholders may be deemed to be underwriters under the Securities Act in connection with the securities they resell and any profits on the sales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13" w:name="a_011"/>
      <w:bookmarkEnd w:id="13"/>
      <w:r>
        <w:rPr>
          <w:rFonts w:ascii="Times New Roman;Times;Serif" w:hAnsi="Times New Roman;Times;Serif"/>
          <w:b/>
          <w:i w:val="false"/>
          <w:smallCaps/>
          <w:sz w:val="20"/>
        </w:rPr>
        <w:t>EXPENSES RELATED TO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pStyle w:val="TextBody"/>
        <w:bidi w:val="0"/>
        <w:spacing w:before="0" w:after="0"/>
        <w:ind w:left="0" w:right="0" w:firstLine="72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4100"/>
        <w:gridCol w:w="60"/>
        <w:gridCol w:w="365"/>
        <w:gridCol w:w="120"/>
        <w:gridCol w:w="75"/>
      </w:tblGrid>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Filing Fee</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Printing and Miscellaneous Expenses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r>
              <w:rPr>
                <w:rFonts w:ascii="Times New Roman;Times;Serif" w:hAnsi="Times New Roman;Times;Serif"/>
                <w:b/>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position w:val="7"/>
                <w:sz w:val="16"/>
                <w:sz w:val="20"/>
              </w:rPr>
            </w:pPr>
            <w:r>
              <w:rPr>
                <w:position w:val="7"/>
                <w:sz w:val="16"/>
                <w:sz w:val="20"/>
              </w:rPr>
              <w:t>(1)</w:t>
            </w:r>
          </w:p>
        </w:tc>
        <w:tc>
          <w:tcPr>
            <w:tcW w:w="9997" w:type="dxa"/>
            <w:tcBorders/>
            <w:vAlign w:val="center"/>
          </w:tcPr>
          <w:p>
            <w:pPr>
              <w:pStyle w:val="TableContents"/>
              <w:bidi w:val="0"/>
              <w:spacing w:before="0" w:after="283"/>
              <w:jc w:val="both"/>
              <w:rPr/>
            </w:pPr>
            <w:r>
              <w:rPr/>
              <w:t>This registration statement relates to the registration of securities having an indeterminate maximum aggregate amount. Payment of the registration fee has been deferred and will be calculated and paid in accordance with Rule 456(b) and Rule 457(r).</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osition w:val="7"/>
                <w:sz w:val="16"/>
                <w:sz w:val="20"/>
              </w:rPr>
            </w:pPr>
            <w:r>
              <w:rPr>
                <w:position w:val="7"/>
                <w:sz w:val="16"/>
                <w:sz w:val="20"/>
              </w:rPr>
              <w:t>(2)</w:t>
            </w:r>
          </w:p>
        </w:tc>
        <w:tc>
          <w:tcPr>
            <w:tcW w:w="9990" w:type="dxa"/>
            <w:tcBorders/>
            <w:vAlign w:val="center"/>
          </w:tcPr>
          <w:p>
            <w:pPr>
              <w:pStyle w:val="TableContents"/>
              <w:bidi w:val="0"/>
              <w:spacing w:before="0" w:after="283"/>
              <w:jc w:val="both"/>
              <w:rPr/>
            </w:pPr>
            <w:r>
              <w:rPr/>
              <w:t>These fees and expenses depend on the securities offered and the number of issuances, and accordingly cannot be estimated at this time and will be reflected in the applicable prospectus supplement.</w:t>
            </w:r>
          </w:p>
        </w:tc>
      </w:tr>
    </w:tbl>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4" w:name="a_012"/>
      <w:bookmarkEnd w:id="14"/>
      <w:r>
        <w:rPr>
          <w:rFonts w:ascii="Times New Roman;Times;Serif" w:hAnsi="Times New Roman;Times;Serif"/>
          <w:b/>
          <w:i w:val="false"/>
          <w:smallCaps/>
          <w:sz w:val="20"/>
        </w:rPr>
        <w:t>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Material income tax consequences relating to the purchase, ownership and disposition of any of the securities offered by this prospectus other than Class A ordinary shares will be set forth in the applicable prospectus supplement relating to the offering of those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Considerations for U.S.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considerations generally applicable to the acquisition, ownership, and disposition of Class A ordinary shares by a “U.S. Holder” (as defined below). This discussion applies only to Class A ordinary shares that are held by a U.S. Holder as “capital assets” within the meaning of Section 1221 of the U.S. Internal Revenue Code of 1986, as amended (the “Code”) (generally, property held for investment). For purposes of this discussion, “ordinary shares” refer to Class A ordinary shares.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any alternative minimum tax, the special tax accounting rules under Section 451(b) of the Code, the Medicare contribution tax on net investment income, or any tax consequences that may be relevant to U.S. Holders that are subject to special tax rules, including, without limitation:</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482"/>
        <w:gridCol w:w="9616"/>
      </w:tblGrid>
      <w:tr>
        <w:trPr/>
        <w:tc>
          <w:tcPr>
            <w:tcW w:w="10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w:t>
            </w:r>
          </w:p>
        </w:tc>
        <w:tc>
          <w:tcPr>
            <w:tcW w:w="9616" w:type="dxa"/>
            <w:tcBorders/>
            <w:vAlign w:val="center"/>
          </w:tcPr>
          <w:p>
            <w:pPr>
              <w:pStyle w:val="TableContents"/>
              <w:bidi w:val="0"/>
              <w:spacing w:before="0" w:after="283"/>
              <w:jc w:val="both"/>
              <w:rPr/>
            </w:pPr>
            <w:r>
              <w:rPr/>
              <w:t>banks or other financial institutions;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765"/>
        <w:gridCol w:w="9270"/>
      </w:tblGrid>
      <w:tr>
        <w:trPr/>
        <w:tc>
          <w:tcPr>
            <w:tcW w:w="1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pPr>
            <w:r>
              <w:rPr/>
              <w:t>●</w:t>
            </w:r>
          </w:p>
        </w:tc>
        <w:tc>
          <w:tcPr>
            <w:tcW w:w="9270" w:type="dxa"/>
            <w:tcBorders/>
            <w:vAlign w:val="center"/>
          </w:tcPr>
          <w:p>
            <w:pPr>
              <w:pStyle w:val="TableContents"/>
              <w:bidi w:val="0"/>
              <w:spacing w:before="0" w:after="283"/>
              <w:jc w:val="both"/>
              <w:rPr/>
            </w:pPr>
            <w:r>
              <w:rPr/>
              <w:t>insurance companies;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132"/>
        <w:gridCol w:w="8821"/>
      </w:tblGrid>
      <w:tr>
        <w:trPr/>
        <w:tc>
          <w:tcPr>
            <w:tcW w:w="25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w:t>
            </w:r>
          </w:p>
        </w:tc>
        <w:tc>
          <w:tcPr>
            <w:tcW w:w="8821" w:type="dxa"/>
            <w:tcBorders/>
            <w:vAlign w:val="center"/>
          </w:tcPr>
          <w:p>
            <w:pPr>
              <w:pStyle w:val="TableContents"/>
              <w:bidi w:val="0"/>
              <w:spacing w:before="0" w:after="283"/>
              <w:jc w:val="both"/>
              <w:rPr/>
            </w:pPr>
            <w:r>
              <w:rPr/>
              <w:t>mutual funds;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8"/>
        <w:gridCol w:w="9462"/>
      </w:tblGrid>
      <w:tr>
        <w:trPr/>
        <w:tc>
          <w:tcPr>
            <w:tcW w:w="13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pPr>
            <w:r>
              <w:rPr/>
              <w:t>●</w:t>
            </w:r>
          </w:p>
        </w:tc>
        <w:tc>
          <w:tcPr>
            <w:tcW w:w="9462" w:type="dxa"/>
            <w:tcBorders/>
            <w:vAlign w:val="center"/>
          </w:tcPr>
          <w:p>
            <w:pPr>
              <w:pStyle w:val="TableContents"/>
              <w:bidi w:val="0"/>
              <w:spacing w:before="0" w:after="283"/>
              <w:jc w:val="both"/>
              <w:rPr/>
            </w:pPr>
            <w:r>
              <w:rPr/>
              <w:t>pension or retirement plans;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040"/>
        <w:gridCol w:w="8933"/>
      </w:tblGrid>
      <w:tr>
        <w:trPr/>
        <w:tc>
          <w:tcPr>
            <w:tcW w:w="2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pPr>
            <w:r>
              <w:rPr/>
              <w:t>●</w:t>
            </w:r>
          </w:p>
        </w:tc>
        <w:tc>
          <w:tcPr>
            <w:tcW w:w="8933" w:type="dxa"/>
            <w:tcBorders/>
            <w:vAlign w:val="center"/>
          </w:tcPr>
          <w:p>
            <w:pPr>
              <w:pStyle w:val="TableContents"/>
              <w:bidi w:val="0"/>
              <w:spacing w:before="0" w:after="283"/>
              <w:jc w:val="both"/>
              <w:rPr/>
            </w:pPr>
            <w:r>
              <w:rPr/>
              <w:t>S corporations;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400"/>
        <w:gridCol w:w="9716"/>
      </w:tblGrid>
      <w:tr>
        <w:trPr/>
        <w:tc>
          <w:tcPr>
            <w:tcW w:w="8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w:t>
            </w:r>
          </w:p>
        </w:tc>
        <w:tc>
          <w:tcPr>
            <w:tcW w:w="9716" w:type="dxa"/>
            <w:tcBorders/>
            <w:vAlign w:val="center"/>
          </w:tcPr>
          <w:p>
            <w:pPr>
              <w:pStyle w:val="TableContents"/>
              <w:bidi w:val="0"/>
              <w:spacing w:before="0" w:after="283"/>
              <w:jc w:val="both"/>
              <w:rPr/>
            </w:pPr>
            <w:r>
              <w:rPr/>
              <w:t>broker or dealers in securities or currencies;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8"/>
        <w:gridCol w:w="9816"/>
      </w:tblGrid>
      <w:tr>
        <w:trPr/>
        <w:tc>
          <w:tcPr>
            <w:tcW w:w="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w:t>
            </w:r>
          </w:p>
        </w:tc>
        <w:tc>
          <w:tcPr>
            <w:tcW w:w="9816" w:type="dxa"/>
            <w:tcBorders/>
            <w:vAlign w:val="center"/>
          </w:tcPr>
          <w:p>
            <w:pPr>
              <w:pStyle w:val="TableContents"/>
              <w:bidi w:val="0"/>
              <w:spacing w:before="0" w:after="283"/>
              <w:jc w:val="both"/>
              <w:rPr/>
            </w:pPr>
            <w:r>
              <w:rPr/>
              <w:t>traders in securities that elect mark-to-market treatment;</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523"/>
        <w:gridCol w:w="9566"/>
      </w:tblGrid>
      <w:tr>
        <w:trPr/>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w:t>
            </w:r>
          </w:p>
        </w:tc>
        <w:tc>
          <w:tcPr>
            <w:tcW w:w="9566" w:type="dxa"/>
            <w:tcBorders/>
            <w:vAlign w:val="center"/>
          </w:tcPr>
          <w:p>
            <w:pPr>
              <w:pStyle w:val="TableContents"/>
              <w:bidi w:val="0"/>
              <w:spacing w:before="0" w:after="283"/>
              <w:jc w:val="both"/>
              <w:rPr/>
            </w:pPr>
            <w:r>
              <w:rPr/>
              <w:t>regulated investment companies;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4"/>
        <w:gridCol w:w="9466"/>
      </w:tblGrid>
      <w:tr>
        <w:trPr/>
        <w:tc>
          <w:tcPr>
            <w:tcW w:w="1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pPr>
            <w:r>
              <w:rPr/>
              <w:t>●</w:t>
            </w:r>
          </w:p>
        </w:tc>
        <w:tc>
          <w:tcPr>
            <w:tcW w:w="9466" w:type="dxa"/>
            <w:tcBorders/>
            <w:vAlign w:val="center"/>
          </w:tcPr>
          <w:p>
            <w:pPr>
              <w:pStyle w:val="TableContents"/>
              <w:bidi w:val="0"/>
              <w:spacing w:before="0" w:after="283"/>
              <w:jc w:val="both"/>
              <w:rPr/>
            </w:pPr>
            <w:r>
              <w:rPr/>
              <w:t>real estate investment trusts;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004"/>
        <w:gridCol w:w="8977"/>
      </w:tblGrid>
      <w:tr>
        <w:trPr/>
        <w:tc>
          <w:tcPr>
            <w:tcW w:w="22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pPr>
            <w:r>
              <w:rPr/>
              <w:t>●</w:t>
            </w:r>
          </w:p>
        </w:tc>
        <w:tc>
          <w:tcPr>
            <w:tcW w:w="8977" w:type="dxa"/>
            <w:tcBorders/>
            <w:vAlign w:val="center"/>
          </w:tcPr>
          <w:p>
            <w:pPr>
              <w:pStyle w:val="TableContents"/>
              <w:bidi w:val="0"/>
              <w:spacing w:before="0" w:after="283"/>
              <w:jc w:val="both"/>
              <w:rPr/>
            </w:pPr>
            <w:r>
              <w:rPr/>
              <w:t>trusts or estates;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8"/>
        <w:gridCol w:w="9829"/>
      </w:tblGrid>
      <w:tr>
        <w:trPr/>
        <w:tc>
          <w:tcPr>
            <w:tcW w:w="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w:t>
            </w:r>
          </w:p>
        </w:tc>
        <w:tc>
          <w:tcPr>
            <w:tcW w:w="9829" w:type="dxa"/>
            <w:tcBorders/>
            <w:vAlign w:val="center"/>
          </w:tcPr>
          <w:p>
            <w:pPr>
              <w:pStyle w:val="TableContents"/>
              <w:bidi w:val="0"/>
              <w:spacing w:before="0" w:after="283"/>
              <w:jc w:val="both"/>
              <w:rPr/>
            </w:pPr>
            <w:r>
              <w:rPr/>
              <w:t>tax-exempt organizations (including private foundations);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persons that hold Ordinary Shares as part of a “straddle,” “hedge,” “conversion,” “synthetic security,” “constructive sale,” or other integrated transaction for U.S. federal income tax purposes;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69"/>
        <w:gridCol w:w="9876"/>
      </w:tblGrid>
      <w:tr>
        <w:trPr/>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76" w:type="dxa"/>
            <w:tcBorders/>
            <w:vAlign w:val="center"/>
          </w:tcPr>
          <w:p>
            <w:pPr>
              <w:pStyle w:val="TableContents"/>
              <w:bidi w:val="0"/>
              <w:spacing w:before="0" w:after="283"/>
              <w:jc w:val="both"/>
              <w:rPr/>
            </w:pPr>
            <w:r>
              <w:rPr/>
              <w:t>persons that have a functional currency other than the U.S. dollar;</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1"/>
        <w:gridCol w:w="9911"/>
      </w:tblGrid>
      <w:tr>
        <w:trPr/>
        <w:tc>
          <w:tcPr>
            <w:tcW w:w="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11" w:type="dxa"/>
            <w:tcBorders/>
            <w:vAlign w:val="center"/>
          </w:tcPr>
          <w:p>
            <w:pPr>
              <w:pStyle w:val="TableContents"/>
              <w:bidi w:val="0"/>
              <w:spacing w:before="0" w:after="283"/>
              <w:jc w:val="both"/>
              <w:rPr/>
            </w:pPr>
            <w:r>
              <w:rPr/>
              <w:t>certain U.S. expatriates or former long-term residents of the United States;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0"/>
        <w:gridCol w:w="9985"/>
      </w:tblGrid>
      <w:tr>
        <w:trPr/>
        <w:tc>
          <w:tcPr>
            <w:tcW w:w="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w:t>
            </w:r>
          </w:p>
        </w:tc>
        <w:tc>
          <w:tcPr>
            <w:tcW w:w="9985" w:type="dxa"/>
            <w:tcBorders/>
            <w:vAlign w:val="center"/>
          </w:tcPr>
          <w:p>
            <w:pPr>
              <w:pStyle w:val="TableContents"/>
              <w:bidi w:val="0"/>
              <w:spacing w:before="0" w:after="283"/>
              <w:jc w:val="both"/>
              <w:rPr/>
            </w:pPr>
            <w:r>
              <w:rPr/>
              <w:t>persons owning (directly, indirectly, or constructively) 5% (by vote or value) or more of our shares;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persons that acquired Ordinary Shares pursuant to an exercise of employee stock options or otherwise as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partnerships or other entities or arrangements treated as pass-through entities for U.S. federal income tax purposes and investors in such entities;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2"/>
        <w:gridCol w:w="9946"/>
      </w:tblGrid>
      <w:tr>
        <w:trPr/>
        <w:tc>
          <w:tcPr>
            <w:tcW w:w="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w:t>
            </w:r>
          </w:p>
        </w:tc>
        <w:tc>
          <w:tcPr>
            <w:tcW w:w="9946" w:type="dxa"/>
            <w:tcBorders/>
            <w:vAlign w:val="center"/>
          </w:tcPr>
          <w:p>
            <w:pPr>
              <w:pStyle w:val="TableContents"/>
              <w:bidi w:val="0"/>
              <w:spacing w:before="0" w:after="283"/>
              <w:jc w:val="both"/>
              <w:rPr/>
            </w:pPr>
            <w:r>
              <w:rPr/>
              <w:t>“</w:t>
            </w:r>
            <w:r>
              <w:rPr/>
              <w:t>controlled foreign corporations” within the meaning of Section 957(a) of the Code;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5"/>
        <w:gridCol w:w="9979"/>
      </w:tblGrid>
      <w:tr>
        <w:trPr/>
        <w:tc>
          <w:tcPr>
            <w:tcW w:w="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w:t>
            </w:r>
          </w:p>
        </w:tc>
        <w:tc>
          <w:tcPr>
            <w:tcW w:w="9979" w:type="dxa"/>
            <w:tcBorders/>
            <w:vAlign w:val="center"/>
          </w:tcPr>
          <w:p>
            <w:pPr>
              <w:pStyle w:val="TableContents"/>
              <w:bidi w:val="0"/>
              <w:spacing w:before="0" w:after="283"/>
              <w:jc w:val="both"/>
              <w:rPr/>
            </w:pPr>
            <w:r>
              <w:rPr/>
              <w:t>“</w:t>
            </w:r>
            <w:r>
              <w:rPr/>
              <w:t>passive foreign investment companies” within the meaning of Section 1297(a) of the Code;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8"/>
        <w:gridCol w:w="9902"/>
      </w:tblGrid>
      <w:tr>
        <w:trPr/>
        <w:tc>
          <w:tcPr>
            <w:tcW w:w="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w:t>
            </w:r>
          </w:p>
        </w:tc>
        <w:tc>
          <w:tcPr>
            <w:tcW w:w="9902" w:type="dxa"/>
            <w:tcBorders/>
            <w:vAlign w:val="center"/>
          </w:tcPr>
          <w:p>
            <w:pPr>
              <w:pStyle w:val="TableContents"/>
              <w:bidi w:val="0"/>
              <w:spacing w:before="0" w:after="283"/>
              <w:jc w:val="both"/>
              <w:rPr/>
            </w:pPr>
            <w:r>
              <w:rPr/>
              <w:t>corporations that accumulate earnings to avoid U.S. federal income tax.</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ordinary shares, that is, for U.S. federal income tax purposes:</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5"/>
        <w:gridCol w:w="9881"/>
      </w:tblGrid>
      <w:tr>
        <w:trPr/>
        <w:tc>
          <w:tcPr>
            <w:tcW w:w="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81" w:type="dxa"/>
            <w:tcBorders/>
            <w:vAlign w:val="center"/>
          </w:tcPr>
          <w:p>
            <w:pPr>
              <w:pStyle w:val="TableContents"/>
              <w:bidi w:val="0"/>
              <w:spacing w:before="0" w:after="283"/>
              <w:jc w:val="both"/>
              <w:rPr/>
            </w:pPr>
            <w:r>
              <w:rPr/>
              <w:t>an individual who is a U.S. citizen or resident of the United States;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corporation (including an entity treated as a corporation for U.S. federal income tax purposes) created or organized in or under the laws of the United States, any state thereof, or the District of Columbia;</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3"/>
        <w:gridCol w:w="9982"/>
      </w:tblGrid>
      <w:tr>
        <w:trPr/>
        <w:tc>
          <w:tcPr>
            <w:tcW w:w="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both"/>
              <w:rPr/>
            </w:pPr>
            <w:r>
              <w:rPr/>
              <w:t>an estate the income of which is subject to U.S. federal income taxation regardless of its source; or</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(B) that has in effect a valid election under applicable U.S. Treasury regulations to be treated as a United States person.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FOR GENERAL INFORMATIONAL PURPOSES ONLY AND IS NOT TAX ADVICE. U.S. HOLDERS SHOULD CONSULT THEIR TAX ADVISORS REGARDING THE TAX CONSEQUENCES OF THE ACQUISITION, OWNERSHIP, AND DISPOSITION OF ORDINARY SHARES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 on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passive foreign investment company (“PFIC”) rules discussed below under “––Passive Foreign Investment Company Rules,”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the ordinary shares and will be treated as described below under “—Sale or Other Taxable Disposition of Ordinary Shares.” 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advisors regarding the application of such rules, including the creditability of foreign taxes,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or Other Taxable Disposition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under “—Passive Foreign Investment Company Rules,” upon any sale or other taxable disposition of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Any such gain or loss recognized by a U.S. Holder will generally be treated as U.S. source gain or loss for foreign tax credit limitation purposes. Consequently, a U.S. Holder may not be able to use any foreign tax credit arising from any foreign tax imposed on the disposition of our ordinary shares unless such credit can be applied (subject to applicable limitations) against tax due on other income treated as derived from non-U.S. 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 However, if our ordinary shares are treated as traded on an “established securities market” and the U.S. Holder is either a cash basis taxpayer or an accrual basis taxpayer that has made a special election (which must be applied consistently from year to year and cannot be changed without the consent of the IRS), the U.S. Holder will determine the U.S. dollar value of the amount realized in a non-U.S. dollar currency by translating the amount received at the spot rate of exchange on the settlement date of the sale. Any such foreign currency gain or loss will be U.S.-source for foreign tax credit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Foreign Investment Company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treatment of U.S. Holders could be materially different from that described above if we are treated as a PFIC for U.S. federal income tax purposes. In general, a non-U.S. corporation is a PFIC for U.S. federal income tax purposes for any taxable year in which (i) 50% or more of the average value of its assets (generally determined on the basis of a weighted quarterly average) during such year consists of assets that produce, or are held for the production of, passive income, or (ii) 75% or more of its gross income for such year consists of passive income. Passive income generally includes dividends, interest, royalties, rents, annuities,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indirectly or constructively, at least 25% by value of the stock of another corporation is treated as if it held its proportionate share of the assets of the other corporation, and received directly its proportionate share of the income of the other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analysis of our income, assets, activities, and market capitalization, we believe that we were not a PFIC, for the taxable year ended December 31, 2025. However, our PFIC status for any taxable year is a factual annual determination that can be made only after the end of that year and will depend on the composition of our income and assets and the value of our assets from time to time (including the value of our goodwill, which may be determined in large part by reference to the market price of our ordinary shares from time to time, which could be volatile). In addition, the risk of us being a PFIC for any taxable year will increase if our market capitalization declines substantially during that year. Furthermore, whether and to which extent our income and assets, including goodwill, will be characterized as active or passive will depend on various factors that are subject to uncertainty, including our future business plan and the application of laws that are subject to varying interpretation. For example, there is no authority that directly addresses the proper treatment of certain items of our income, such as income from cryptocurrency self-mining, cloud hash rate, or hosting for purposes of the PFIC rules and, although we currently treat these items of income as active, such treatment is uncertain. Moreover, certain of our business activities generate passive income and, although the amount of such income is currently small, our risk of being a PFIC will increase if the proportion of our revenue earned from such business activities increases in future taxable years. Accordingly, there can be no assurances that we will not be a PFIC for our current or any future taxable year, and our U.S. counsel expresses no opinion with respect to our PFIC status for any taxable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PFIC status is generally determined annually, if we are determined to be a PFIC for any taxable year (or portion thereof) that is included in the holding period of a U.S. Holder in the U.S. Holder’s ordinary shares and the U.S. Holder did not make either a mark-to-market election or a qualifying electing fund (“QEF”) election, which are referred to collectively as the “PFIC Elections” for purposes of this discussion, for the first taxable year in which we are treated as a PFIC, and in which the U.S. Holder held (or was deemed to hold) ordinary shares, or the U.S. Holder does not otherwise make a purging election, as described below, the U.S. Holder generally will be subject to special and adverse rules with respect to (i) any gain recognized by the U.S. Holder on the sale or other taxable disposition of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 Under these rules:</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U.S. Holder’s gain or excess distribution will be allocated ratably over the U.S. Holder’s holding period in its ordinary shares;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w:t>
            </w:r>
          </w:p>
        </w:tc>
      </w:tr>
    </w:tbl>
    <w:p>
      <w:pPr>
        <w:pStyle w:val="TextBody"/>
        <w:bidi w:val="0"/>
        <w:spacing w:before="0" w:after="0"/>
        <w:ind w:left="1134" w:right="0" w:hanging="360"/>
        <w:jc w:val="both"/>
        <w:rPr>
          <w:caps w:val="false"/>
          <w:smallCaps w:val="false"/>
        </w:rPr>
      </w:pPr>
      <w:r>
        <w:rPr>
          <w:caps w:val="false"/>
          <w:smallCaps w:val="false"/>
        </w:rPr>
        <w:t> </w:t>
      </w:r>
    </w:p>
    <w:p>
      <w:pPr>
        <w:pStyle w:val="TextBody"/>
        <w:bidi w:val="0"/>
        <w:spacing w:before="0" w:after="0"/>
        <w:ind w:left="1134"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amount allocated to other taxable years (or portions thereof) of the U.S. Holder and included in the U.S. Holder’s holding period will be taxed at the highest tax rate in effect for that year and applicable to the U.S. Holder;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additional tax equal to the interest charge generally applicable to underpayments of tax will be imposed on the U.S. Holder with respect to the tax attributable to each such other taxable year of the U.S.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PFIC Elections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our ordinary shares constitute “marketable stock,” a U.S. Holder may avoid the adverse PFIC tax consequences discussed above if such U.S. Holder makes a mark-to-market election with respect to its ordinary shares for the first taxable year in which the U.S. Holder holds (or is deemed to hold) the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generally, stock that is regularly traded on a national securities exchange that is registered with the SEC,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made, a mark-to-market election would be effective for the taxable year for which the election was made and for all subsequent taxable years unless our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that would apply if we were a PFIC and a U.S. Holder made a valid QEF election would also be different from the adverse PFIC tax consequences described above. In order to comply with the requirements of a QEF election, however, a U.S. Holder generally must receive a PFIC Annual Information Statement from us. If we are determined to be a PFIC for any taxable year, we do not currently intend to provide the information necessary for U.S. Holders to make or maintain a QEF election. As such, U.S. Holders should assume that a QEF election will not be available with respect to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the U.S. Holder’s ordinary shares solely for purposes of the PFIC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PFIC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at any time, have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PFIC RULES ARE VERY COMPLEX AND U.S. HOLDERS SHOULD CONSULT THEIR TAX ADVISORS REGARDING THE APPLICATION OF SUCH RULES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certain entities that own “specified foreign financial assets” with an aggregate value in excess of certain thresholds generally are required to file an information report with respect to such assets with their tax returns. U.S. Holders should consult their tax advisors regarding the information reporting requirements and the application of the backup withholding rules in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AND THE EFFECT OF ANY TAX TREATIES,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should consult their professional advisors on the possible tax consequences of buying, holding or selling any shares under the laws of their country of citizenship, residence or domicile.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on certain Cayman Islands income tax consequences of an investment in the Class A ordinary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Existing Cayman Islands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securities will not be subject to taxation in the Cayman Islands and no withholding will be required on the payment of interest and principal or a dividend or capital to any holder of Class A ordinary shares, nor will gains derived from the disposal of the Class A ordinary shares be subject to Cayman Islands income or corporation tax. The Cayman Islands currently have no income, corporation or capital gains tax and no estate duty, inheritance tax or gift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duty is payable in respect of the issue of our securities or on an instrument of transfer in respect of our securities, except for stamp duties which may be applicable on instruments executed in, or, after execution, brought within the jurisdiction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levy no taxes on individuals or corporations based upon profits, income, gains or appreciations and there is no taxation in the nature of inheritance tax or estate duty. There are no other taxes likely to be material to us levied by the Government of the Cayman Islands save certain stamp duties which may be applicable, from time to time, on certain instruments executed in or brought within the jurisdiction of the Cayman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15" w:name="a_013"/>
      <w:bookmarkEnd w:id="15"/>
      <w:r>
        <w:rPr>
          <w:rFonts w:ascii="Times New Roman;Times;Serif" w:hAnsi="Times New Roman;Times;Serif"/>
          <w:b/>
          <w:i w:val="false"/>
          <w:smallCaps/>
          <w:sz w:val="20"/>
        </w:rPr>
        <w:t>LEGAL MATTERS</w:t>
      </w:r>
    </w:p>
    <w:p>
      <w:pPr>
        <w:pStyle w:val="TextBody"/>
        <w:bidi w:val="0"/>
        <w:spacing w:before="0" w:after="0"/>
        <w:ind w:left="0" w:right="0" w:firstLine="720"/>
        <w:jc w:val="both"/>
        <w:rPr>
          <w:caps w:val="false"/>
          <w:smallCaps w:val="false"/>
          <w:color w:val="231F20"/>
        </w:rPr>
      </w:pPr>
      <w:r>
        <w:rPr>
          <w:caps w:val="false"/>
          <w:smallCaps w:val="false"/>
          <w:color w:val="231F2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are being represented by Cooley LLP with respect to certain legal matters as to United States federal securities and New York State law. The validity of the securities being registered has been passed on by Ogier.</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6" w:name="a_014"/>
      <w:bookmarkEnd w:id="16"/>
      <w:r>
        <w:rPr>
          <w:rFonts w:ascii="Times New Roman;Times;Serif" w:hAnsi="Times New Roman;Times;Serif"/>
          <w:b/>
          <w:i w:val="false"/>
          <w:smallCaps/>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financial statements and management’s assessment of the effectiveness of internal control over financial reporting (which is included in Management’s Annual Report on Internal Control over Financial Reporting) of Bitdeer Technologies Group incorporated in this prospectus by reference to the Annual Report on Form 20-F for the year ended December 31, 2025 have been so incorporated in reliance on the report of MaloneBailey, LLP, an independent registered public accounting firm, given on the authority of said firm as experts in auditing and accounting.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17" w:name="a_015"/>
      <w:bookmarkEnd w:id="17"/>
      <w:r>
        <w:rPr>
          <w:rFonts w:ascii="Times New Roman;Times;Serif" w:hAnsi="Times New Roman;Times;Serif"/>
          <w:b/>
          <w:i w:val="false"/>
          <w:smallCaps/>
          <w:sz w:val="20"/>
        </w:rPr>
        <w:t>ENFORCEABILITY OF CIVIL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to take advantage of certain benefits associated with being a Cayman Islands exempted company, such as:</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537"/>
        <w:gridCol w:w="9548"/>
      </w:tblGrid>
      <w:tr>
        <w:trPr/>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w:t>
            </w:r>
          </w:p>
        </w:tc>
        <w:tc>
          <w:tcPr>
            <w:tcW w:w="9548" w:type="dxa"/>
            <w:tcBorders/>
            <w:vAlign w:val="center"/>
          </w:tcPr>
          <w:p>
            <w:pPr>
              <w:pStyle w:val="TableContents"/>
              <w:bidi w:val="0"/>
              <w:spacing w:before="0" w:after="283"/>
              <w:jc w:val="both"/>
              <w:rPr/>
            </w:pPr>
            <w:r>
              <w:rPr/>
              <w:t>political and economic stability;</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8"/>
        <w:gridCol w:w="9462"/>
      </w:tblGrid>
      <w:tr>
        <w:trPr/>
        <w:tc>
          <w:tcPr>
            <w:tcW w:w="13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pPr>
            <w:r>
              <w:rPr/>
              <w:t>●</w:t>
            </w:r>
          </w:p>
        </w:tc>
        <w:tc>
          <w:tcPr>
            <w:tcW w:w="9462" w:type="dxa"/>
            <w:tcBorders/>
            <w:vAlign w:val="center"/>
          </w:tcPr>
          <w:p>
            <w:pPr>
              <w:pStyle w:val="TableContents"/>
              <w:bidi w:val="0"/>
              <w:spacing w:before="0" w:after="283"/>
              <w:jc w:val="both"/>
              <w:rPr/>
            </w:pPr>
            <w:r>
              <w:rPr/>
              <w:t>an effective judicial system;</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132"/>
        <w:gridCol w:w="8821"/>
      </w:tblGrid>
      <w:tr>
        <w:trPr/>
        <w:tc>
          <w:tcPr>
            <w:tcW w:w="25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w:t>
            </w:r>
          </w:p>
        </w:tc>
        <w:tc>
          <w:tcPr>
            <w:tcW w:w="8821" w:type="dxa"/>
            <w:tcBorders/>
            <w:vAlign w:val="center"/>
          </w:tcPr>
          <w:p>
            <w:pPr>
              <w:pStyle w:val="TableContents"/>
              <w:bidi w:val="0"/>
              <w:spacing w:before="0" w:after="283"/>
              <w:jc w:val="both"/>
              <w:rPr/>
            </w:pPr>
            <w:r>
              <w:rPr/>
              <w:t>tax neutrality;</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pPr>
            <w:r>
              <w:rPr/>
              <w:t>the absence of exchange control or currency restrictions;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9"/>
        <w:gridCol w:w="9791"/>
      </w:tblGrid>
      <w:tr>
        <w:trPr/>
        <w:tc>
          <w:tcPr>
            <w:tcW w:w="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w:t>
            </w:r>
          </w:p>
        </w:tc>
        <w:tc>
          <w:tcPr>
            <w:tcW w:w="9791" w:type="dxa"/>
            <w:tcBorders/>
            <w:vAlign w:val="center"/>
          </w:tcPr>
          <w:p>
            <w:pPr>
              <w:pStyle w:val="TableContents"/>
              <w:bidi w:val="0"/>
              <w:spacing w:before="0" w:after="283"/>
              <w:jc w:val="both"/>
              <w:rPr/>
            </w:pPr>
            <w:r>
              <w:rPr/>
              <w:t>the availability of professional and support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Cayman Islands has a less developed body of securities laws as compared to the United States and these securities laws provide significantly less protection to investors as compared to those of the United States;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pPr>
            <w:r>
              <w:rPr/>
              <w:t>Cayman Islands companies may not have standing to sue before the federal courts of the United States.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constituent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located at 122 East 42nd Street, 18th Floor, New York, NY 10168, as our agent upon whom process may be served in any action brought against us under the securities laws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Ogier, our counsel as to Cayman Islands law, has advised us that there is uncertainty as to whether the courts of the Cayman Islands would (i) recognize or enforce against us judgments of courts of the United States based on certain civil liability provisions of U.S. securities laws, and (ii) entertain original actions brought in the Cayman Islands against us or our directors or officers that are predicated upon the federal securities laws of the United States or the securities laws of any state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is no statutory enforcement in the Cayman Islands of judgments obtained in the United States, the courts of the Cayman Islands will in certain circumstances recognize and enforce a foreign judgment, without any re-examination or re-litigation of matters adjudicated upon, provided such judgment:</w:t>
      </w:r>
    </w:p>
    <w:p>
      <w:pPr>
        <w:pStyle w:val="TextBody"/>
        <w:bidi w:val="0"/>
        <w:spacing w:before="0" w:after="0"/>
        <w:ind w:left="1276" w:right="0" w:hanging="567"/>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75"/>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970" w:type="dxa"/>
            <w:tcBorders/>
            <w:vAlign w:val="center"/>
          </w:tcPr>
          <w:p>
            <w:pPr>
              <w:pStyle w:val="TableContents"/>
              <w:bidi w:val="0"/>
              <w:spacing w:before="0" w:after="283"/>
              <w:jc w:val="both"/>
              <w:rPr/>
            </w:pPr>
            <w:r>
              <w:rPr/>
              <w:t>is given by a foreign court of competent jurisdiction;</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283"/>
              <w:jc w:val="both"/>
              <w:rPr/>
            </w:pPr>
            <w:r>
              <w:rPr/>
              <w:t>imposes on the judgment debtor a liability to pay a liquidated sum for which the judgment has been given;</w:t>
            </w:r>
          </w:p>
        </w:tc>
      </w:tr>
    </w:tbl>
    <w:p>
      <w:pPr>
        <w:pStyle w:val="TextBody"/>
        <w:bidi w:val="0"/>
        <w:spacing w:before="0" w:after="0"/>
        <w:ind w:left="1276" w:right="0" w:hanging="567"/>
        <w:jc w:val="both"/>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275"/>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195" w:type="dxa"/>
            <w:tcBorders/>
            <w:vAlign w:val="center"/>
          </w:tcPr>
          <w:p>
            <w:pPr>
              <w:pStyle w:val="TableContents"/>
              <w:bidi w:val="0"/>
              <w:spacing w:before="0" w:after="283"/>
              <w:jc w:val="both"/>
              <w:rPr/>
            </w:pPr>
            <w:r>
              <w:rPr/>
              <w:t>is final and conclusive;</w:t>
            </w:r>
          </w:p>
        </w:tc>
      </w:tr>
    </w:tbl>
    <w:p>
      <w:pPr>
        <w:pStyle w:val="TextBody"/>
        <w:bidi w:val="0"/>
        <w:spacing w:before="0" w:after="0"/>
        <w:ind w:left="1276" w:right="0" w:hanging="567"/>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29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4175" w:type="dxa"/>
            <w:tcBorders/>
            <w:vAlign w:val="center"/>
          </w:tcPr>
          <w:p>
            <w:pPr>
              <w:pStyle w:val="TableContents"/>
              <w:bidi w:val="0"/>
              <w:spacing w:before="0" w:after="283"/>
              <w:jc w:val="both"/>
              <w:rPr/>
            </w:pPr>
            <w:r>
              <w:rPr/>
              <w:t>is not in respect of taxes, a fine or a penalty;</w:t>
            </w:r>
          </w:p>
        </w:tc>
      </w:tr>
    </w:tbl>
    <w:p>
      <w:pPr>
        <w:pStyle w:val="TextBody"/>
        <w:bidi w:val="0"/>
        <w:spacing w:before="0" w:after="0"/>
        <w:ind w:left="1276" w:right="0" w:hanging="567"/>
        <w:jc w:val="both"/>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27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2960" w:type="dxa"/>
            <w:tcBorders/>
            <w:vAlign w:val="center"/>
          </w:tcPr>
          <w:p>
            <w:pPr>
              <w:pStyle w:val="TableContents"/>
              <w:bidi w:val="0"/>
              <w:spacing w:before="0" w:after="283"/>
              <w:jc w:val="both"/>
              <w:rPr/>
            </w:pPr>
            <w:r>
              <w:rPr/>
              <w:t>was not obtained by fraud; and</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(f)</w:t>
            </w:r>
          </w:p>
        </w:tc>
        <w:tc>
          <w:tcPr>
            <w:tcW w:w="9929" w:type="dxa"/>
            <w:tcBorders/>
            <w:vAlign w:val="center"/>
          </w:tcPr>
          <w:p>
            <w:pPr>
              <w:pStyle w:val="TableContents"/>
              <w:bidi w:val="0"/>
              <w:spacing w:before="0" w:after="283"/>
              <w:jc w:val="both"/>
              <w:rPr/>
            </w:pPr>
            <w:r>
              <w:rPr/>
              <w:t>is not of a kind the enforcement of which is contrary to natural justice or the public policy of the Cayman Islands.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jc w:val="left"/>
        <w:rPr>
          <w:smallCaps/>
        </w:rPr>
      </w:pPr>
      <w:r>
        <w:rPr>
          <w:small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jc w:val="left"/>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8" w:name="a_016"/>
      <w:bookmarkEnd w:id="18"/>
      <w:r>
        <w:rPr>
          <w:rFonts w:ascii="Times New Roman;Times;Serif" w:hAnsi="Times New Roman;Times;Serif"/>
          <w:b/>
          <w:i w:val="false"/>
          <w:smallCaps/>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an automatic “shelf” registration statement (including amendments and exhibits to the registration statement) on Form F-3 under the Securities Act. This prospectus, which is part of the registration statement, does not contain all of the information included in the registration statement. For further information pertaining to us and our securities, you should refer to the registration statement and our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applicable to foreign private issuers. Accordingly, we will be required to file or furnish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with respect to their purchase and sale of our Class A ordinary shares.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 filings, including the registration statement, are available to you on the SEC’s website at http://www.sec.gov. This site contains reports, proxy and information statements and other information regarding issuers that file electronically with the SEC. We also maintain a website at https://www.bitdeer.com/.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9" w:name="a_017"/>
      <w:bookmarkEnd w:id="19"/>
      <w:r>
        <w:rPr>
          <w:rFonts w:ascii="Times New Roman;Times;Serif" w:hAnsi="Times New Roman;Times;Serif"/>
          <w:b/>
          <w:i w:val="false"/>
          <w:smallCaps/>
          <w:sz w:val="20"/>
        </w:rPr>
        <w:t>INFORMATION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incorporates by reference important information about the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any document incorporated or deemed to be incorporated by reference herein shall be deemed to be modified or superseded for purposes of this prospectus to the extent that a statement contained in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Annual Report for the year ended December 31, 2025 on </w:t>
            </w:r>
            <w:hyperlink r:id="rId3">
              <w:r>
                <w:rPr>
                  <w:rStyle w:val="InternetLink"/>
                </w:rPr>
                <w:t>Form 20-F</w:t>
              </w:r>
            </w:hyperlink>
            <w:r>
              <w:rPr/>
              <w:t>, filed with the SEC on April 30, 2026;</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Current Reports on Form 6-K furnished to the SEC on </w:t>
            </w:r>
            <w:hyperlink r:id="rId4">
              <w:r>
                <w:rPr>
                  <w:rStyle w:val="InternetLink"/>
                </w:rPr>
                <w:t>May 27, 2026</w:t>
              </w:r>
            </w:hyperlink>
            <w:r>
              <w:rPr/>
              <w:t xml:space="preserve">, </w:t>
            </w:r>
            <w:hyperlink r:id="rId5">
              <w:r>
                <w:rPr>
                  <w:rStyle w:val="InternetLink"/>
                </w:rPr>
                <w:t>June 8, 2026</w:t>
              </w:r>
            </w:hyperlink>
            <w:r>
              <w:rPr/>
              <w:t xml:space="preserve">, </w:t>
            </w:r>
            <w:hyperlink r:id="rId6">
              <w:r>
                <w:rPr>
                  <w:rStyle w:val="InternetLink"/>
                </w:rPr>
                <w:t>July 6, 2026</w:t>
              </w:r>
            </w:hyperlink>
            <w:r>
              <w:rPr/>
              <w:t xml:space="preserve"> and </w:t>
            </w:r>
            <w:hyperlink r:id="rId7">
              <w:r>
                <w:rPr>
                  <w:rStyle w:val="InternetLink"/>
                </w:rPr>
                <w:t>August 3, 2026</w:t>
              </w:r>
            </w:hyperlink>
            <w:r>
              <w:rPr/>
              <w:t>;</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description of our ordinary shares contained in our registration statement on </w:t>
            </w:r>
            <w:hyperlink r:id="rId8">
              <w:r>
                <w:rPr>
                  <w:rStyle w:val="InternetLink"/>
                </w:rPr>
                <w:t>Form 8-A</w:t>
              </w:r>
            </w:hyperlink>
            <w:r>
              <w:rPr/>
              <w:t xml:space="preserve"> filed with the SEC on April 12, 2023, and any amendment or report filed for the purpose of updating such description;</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Current Report on </w:t>
            </w:r>
            <w:hyperlink r:id="rId9">
              <w:r>
                <w:rPr>
                  <w:rStyle w:val="InternetLink"/>
                </w:rPr>
                <w:t>Form 6-K</w:t>
              </w:r>
            </w:hyperlink>
            <w:r>
              <w:rPr/>
              <w:t xml:space="preserve"> furnished to the SEC on May 14, 2026 that attaches as an exhibit our Unaudited Interim Condensed Consolidated Financial Statements, for the three months ended March 31, 2026 and 2025 (other than to the extent the filing includes forward-looking guidance or projections);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Current Report on </w:t>
            </w:r>
            <w:hyperlink r:id="rId10">
              <w:r>
                <w:rPr>
                  <w:rStyle w:val="InternetLink"/>
                </w:rPr>
                <w:t>Form 6-K</w:t>
              </w:r>
            </w:hyperlink>
            <w:r>
              <w:rPr/>
              <w:t xml:space="preserve"> furnished to the SEC on August 10, 2026 that attaches as an exhibit our Unaudited Interim Condensed Consolidated Financial Statements, for the six months ended June 30, 2026 and 2025 (other than to the extent the filing includes forward-looking guidance or projections).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(i) after the filing of the registration statement of which this prospectus forms a part and prior to the effectiveness of such registration statement and (ii) after the date of this prospectus and prior to the completion of an offering of securities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filings with the SEC, including annual reports on Form 20-F and current reports on Form 6-K and amendments to those reports, are available electronically on the SEC’s website at www.sec.gov.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br/>
        <w:t>08 Kallang Avenue</w:t>
        <w:br/>
        <w:t>Aperia tower 1, #09-03/04</w:t>
        <w:br/>
        <w:t>Singapore 339509</w:t>
        <w:br/>
        <w:t>Tel: +65 62828220</w:t>
        <w:br/>
        <w:t>Attention: Investor Relations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or any accompanying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200400"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3200400" cy="6191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br/>
        <w:t>Debt Securities</w:t>
        <w:br/>
        <w:t>Warrants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or any supplement or amendment hereto. We have not authorized anyone to provide you with different information. You should not assume that the information contained in this prospectus or any supplement or amendment hereto is accurate as of any date other than the date of this prospectus or any such supplement or amendment. 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the indemnified person’s own fraud, dishonesty, willful default or willful neglect or against the consequences of committing a crime.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currently effective memorandum and articles of association provide that we shall indemnify our directors and officers (each an indemnified person) against all actions, proceedings, costs, charges, expenses, losses, damages or liabilities incurred or sustained by such indemnified person,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executive officers in connection with the closing of the Business Combination.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 AND FINANCIAL STATEMENT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 Index.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Financial Statement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have been omitted because the information required to be set forth therein is not applicable or is shown in the Consolidated Financial Statements or the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during any period in which offers or sales are being made, a post-effective amendment to this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include any prospectus required by section 10(a)(3) of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 (a)(2) and (a)(3) of this section do not apply if the registration statement is on Form S-3 or Form F-3 and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remove from registration by means of a post-effective amendment any of the securities being registered which remain unsold at the termination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(d)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Exchange Act that are incorporated by reference in the Form F-3.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for the purpose of determining liability under the Securities Act to any purchaser: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preliminary prospectus or prospectus of the undersigned registrant relating to the offering required to be filed pursuant to Rule 424;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free writing prospectus relating to the offering prepared by or on behalf of the undersigned registrant or used or referred to by the undersigned registrant;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communication that is an offer in the offering made by the undersigned registrant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INDEX</w:t>
      </w:r>
    </w:p>
    <w:p>
      <w:pPr>
        <w:pStyle w:val="TextBody"/>
        <w:bidi w:val="0"/>
        <w:spacing w:before="0" w:after="0"/>
        <w:jc w:val="left"/>
        <w:rPr>
          <w:smallCaps/>
        </w:rPr>
      </w:pPr>
      <w:r>
        <w:rPr>
          <w:smallCaps/>
        </w:rPr>
        <w:t> </w:t>
      </w:r>
    </w:p>
    <w:tbl>
      <w:tblPr>
        <w:tblW w:w="10205" w:type="dxa"/>
        <w:jc w:val="left"/>
        <w:tblInd w:w="0" w:type="dxa"/>
        <w:tblLayout w:type="fixed"/>
        <w:tblCellMar>
          <w:top w:w="0" w:type="dxa"/>
          <w:left w:w="0" w:type="dxa"/>
          <w:bottom w:w="0" w:type="dxa"/>
          <w:right w:w="0" w:type="dxa"/>
        </w:tblCellMar>
      </w:tblPr>
      <w:tblGrid>
        <w:gridCol w:w="872"/>
        <w:gridCol w:w="60"/>
        <w:gridCol w:w="6393"/>
        <w:gridCol w:w="60"/>
        <w:gridCol w:w="590"/>
        <w:gridCol w:w="60"/>
        <w:gridCol w:w="830"/>
        <w:gridCol w:w="60"/>
        <w:gridCol w:w="380"/>
        <w:gridCol w:w="60"/>
        <w:gridCol w:w="840"/>
      </w:tblGrid>
      <w:tr>
        <w:trPr/>
        <w:tc>
          <w:tcPr>
            <w:tcW w:w="8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3" w:type="dxa"/>
            <w:tcBorders/>
            <w:vAlign w:val="center"/>
          </w:tcPr>
          <w:p>
            <w:pPr>
              <w:pStyle w:val="TableContents"/>
              <w:bidi w:val="0"/>
              <w:spacing w:before="0" w:after="283"/>
              <w:jc w:val="both"/>
              <w:rPr/>
            </w:pPr>
            <w:r>
              <w:rPr/>
              <w:t> </w:t>
            </w:r>
          </w:p>
        </w:tc>
        <w:tc>
          <w:tcPr>
            <w:tcW w:w="2880" w:type="dxa"/>
            <w:gridSpan w:val="8"/>
            <w:tcBorders>
              <w:bottom w:val="single" w:sz="12" w:space="0" w:color="000000"/>
            </w:tcBorders>
            <w:tcMar>
              <w:bottom w:w="28" w:type="dxa"/>
            </w:tcMar>
            <w:vAlign w:val="center"/>
          </w:tcPr>
          <w:p>
            <w:pPr>
              <w:pStyle w:val="TableContents"/>
              <w:bidi w:val="0"/>
              <w:spacing w:before="0" w:after="283"/>
              <w:jc w:val="center"/>
              <w:rPr>
                <w:b/>
              </w:rPr>
            </w:pPr>
            <w:r>
              <w:rPr>
                <w:b/>
              </w:rPr>
              <w:t>Incorporation by Reference Exhibit</w:t>
            </w:r>
          </w:p>
        </w:tc>
      </w:tr>
      <w:tr>
        <w:trPr/>
        <w:tc>
          <w:tcPr>
            <w:tcW w:w="872" w:type="dxa"/>
            <w:tcBorders>
              <w:bottom w:val="single" w:sz="12" w:space="0" w:color="000000"/>
            </w:tcBorders>
            <w:tcMar>
              <w:bottom w:w="28" w:type="dxa"/>
            </w:tcMar>
            <w:vAlign w:val="center"/>
          </w:tcPr>
          <w:p>
            <w:pPr>
              <w:pStyle w:val="TableContents"/>
              <w:bidi w:val="0"/>
              <w:spacing w:before="0" w:after="283"/>
              <w:jc w:val="left"/>
              <w:rPr>
                <w:b/>
              </w:rPr>
            </w:pPr>
            <w:r>
              <w:rPr>
                <w:b/>
              </w:rPr>
              <w:t>Exhibit No.</w:t>
            </w:r>
          </w:p>
        </w:tc>
        <w:tc>
          <w:tcPr>
            <w:tcW w:w="60" w:type="dxa"/>
            <w:tcBorders/>
            <w:vAlign w:val="center"/>
          </w:tcPr>
          <w:p>
            <w:pPr>
              <w:pStyle w:val="TableContents"/>
              <w:bidi w:val="0"/>
              <w:spacing w:before="0" w:after="283"/>
              <w:jc w:val="center"/>
              <w:rPr/>
            </w:pPr>
            <w:r>
              <w:rPr/>
              <w:t> </w:t>
            </w:r>
          </w:p>
        </w:tc>
        <w:tc>
          <w:tcPr>
            <w:tcW w:w="6393" w:type="dxa"/>
            <w:tcBorders>
              <w:bottom w:val="single" w:sz="12" w:space="0" w:color="000000"/>
            </w:tcBorders>
            <w:tcMar>
              <w:bottom w:w="28" w:type="dxa"/>
            </w:tcMar>
            <w:vAlign w:val="center"/>
          </w:tcPr>
          <w:p>
            <w:pPr>
              <w:pStyle w:val="TableContents"/>
              <w:bidi w:val="0"/>
              <w:spacing w:before="0" w:after="283"/>
              <w:jc w:val="both"/>
              <w:rPr>
                <w:b/>
              </w:rPr>
            </w:pPr>
            <w:r>
              <w:rPr>
                <w:b/>
              </w:rPr>
              <w:t>Description of Document</w:t>
            </w:r>
          </w:p>
        </w:tc>
        <w:tc>
          <w:tcPr>
            <w:tcW w:w="60" w:type="dxa"/>
            <w:tcBorders/>
            <w:vAlign w:val="center"/>
          </w:tcPr>
          <w:p>
            <w:pPr>
              <w:pStyle w:val="TableContents"/>
              <w:bidi w:val="0"/>
              <w:spacing w:before="0" w:after="283"/>
              <w:jc w:val="center"/>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Form</w:t>
            </w:r>
          </w:p>
        </w:tc>
        <w:tc>
          <w:tcPr>
            <w:tcW w:w="60" w:type="dxa"/>
            <w:tcBorders/>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283"/>
              <w:jc w:val="center"/>
              <w:rPr>
                <w:b/>
              </w:rPr>
            </w:pPr>
            <w:r>
              <w:rPr>
                <w:b/>
              </w:rPr>
              <w:t>File No.</w:t>
            </w:r>
          </w:p>
        </w:tc>
        <w:tc>
          <w:tcPr>
            <w:tcW w:w="60" w:type="dxa"/>
            <w:tcBorders/>
            <w:vAlign w:val="center"/>
          </w:tcPr>
          <w:p>
            <w:pPr>
              <w:pStyle w:val="TableContents"/>
              <w:bidi w:val="0"/>
              <w:spacing w:before="0" w:after="283"/>
              <w:jc w:val="center"/>
              <w:rPr/>
            </w:pPr>
            <w:r>
              <w:rPr/>
              <w:t> </w:t>
            </w:r>
          </w:p>
        </w:tc>
        <w:tc>
          <w:tcPr>
            <w:tcW w:w="380" w:type="dxa"/>
            <w:tcBorders>
              <w:bottom w:val="single" w:sz="12" w:space="0" w:color="000000"/>
            </w:tcBorders>
            <w:tcMar>
              <w:bottom w:w="28" w:type="dxa"/>
            </w:tcMar>
            <w:vAlign w:val="center"/>
          </w:tcPr>
          <w:p>
            <w:pPr>
              <w:pStyle w:val="TableContents"/>
              <w:bidi w:val="0"/>
              <w:spacing w:before="0" w:after="283"/>
              <w:jc w:val="center"/>
              <w:rPr>
                <w:b/>
              </w:rPr>
            </w:pPr>
            <w:r>
              <w:rPr>
                <w:b/>
              </w:rPr>
              <w:t>No.</w:t>
            </w:r>
          </w:p>
        </w:tc>
        <w:tc>
          <w:tcPr>
            <w:tcW w:w="60" w:type="dxa"/>
            <w:tcBorders/>
            <w:vAlign w:val="center"/>
          </w:tcPr>
          <w:p>
            <w:pPr>
              <w:pStyle w:val="TableContents"/>
              <w:bidi w:val="0"/>
              <w:spacing w:before="0" w:after="283"/>
              <w:jc w:val="center"/>
              <w:rPr/>
            </w:pPr>
            <w:r>
              <w:rPr/>
              <w:t> </w:t>
            </w:r>
          </w:p>
        </w:tc>
        <w:tc>
          <w:tcPr>
            <w:tcW w:w="840" w:type="dxa"/>
            <w:tcBorders>
              <w:bottom w:val="single" w:sz="12" w:space="0" w:color="000000"/>
            </w:tcBorders>
            <w:tcMar>
              <w:bottom w:w="28" w:type="dxa"/>
            </w:tcMar>
            <w:vAlign w:val="center"/>
          </w:tcPr>
          <w:p>
            <w:pPr>
              <w:pStyle w:val="TableContents"/>
              <w:bidi w:val="0"/>
              <w:spacing w:before="0" w:after="283"/>
              <w:jc w:val="center"/>
              <w:rPr>
                <w:b/>
              </w:rPr>
            </w:pPr>
            <w:r>
              <w:rPr>
                <w:b/>
              </w:rPr>
              <w:t>Filing Date</w:t>
            </w:r>
          </w:p>
        </w:tc>
      </w:tr>
      <w:tr>
        <w:trPr/>
        <w:tc>
          <w:tcPr>
            <w:tcW w:w="872" w:type="dxa"/>
            <w:tcBorders/>
            <w:shd w:fill="CCEEFF" w:val="clear"/>
            <w:vAlign w:val="center"/>
          </w:tcPr>
          <w:p>
            <w:pPr>
              <w:pStyle w:val="TableContents"/>
              <w:bidi w:val="0"/>
              <w:spacing w:before="0" w:after="283"/>
              <w:jc w:val="left"/>
              <w:rPr/>
            </w:pPr>
            <w:r>
              <w:rPr/>
              <w:t>1.1*</w:t>
            </w:r>
          </w:p>
        </w:tc>
        <w:tc>
          <w:tcPr>
            <w:tcW w:w="60" w:type="dxa"/>
            <w:tcBorders/>
            <w:shd w:fill="CCEEFF" w:val="clear"/>
            <w:vAlign w:val="center"/>
          </w:tcPr>
          <w:p>
            <w:pPr>
              <w:pStyle w:val="TableContents"/>
              <w:bidi w:val="0"/>
              <w:spacing w:before="0" w:after="283"/>
              <w:jc w:val="left"/>
              <w:rPr/>
            </w:pPr>
            <w:r>
              <w:rPr/>
              <w:t> </w:t>
            </w:r>
          </w:p>
        </w:tc>
        <w:tc>
          <w:tcPr>
            <w:tcW w:w="6393" w:type="dxa"/>
            <w:tcBorders/>
            <w:shd w:fill="CCEEFF" w:val="clear"/>
            <w:vAlign w:val="center"/>
          </w:tcPr>
          <w:p>
            <w:pPr>
              <w:pStyle w:val="TableContents"/>
              <w:bidi w:val="0"/>
              <w:spacing w:before="0" w:after="283"/>
              <w:jc w:val="both"/>
              <w:rPr/>
            </w:pPr>
            <w:r>
              <w:rPr/>
              <w:t>Form of Underwriting Agreement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center"/>
              <w:rPr/>
            </w:pPr>
            <w:r>
              <w:rPr/>
              <w:t> </w:t>
            </w:r>
          </w:p>
        </w:tc>
      </w:tr>
      <w:tr>
        <w:trPr/>
        <w:tc>
          <w:tcPr>
            <w:tcW w:w="872" w:type="dxa"/>
            <w:tcBorders/>
            <w:shd w:fill="FFFFFF" w:val="clear"/>
            <w:vAlign w:val="center"/>
          </w:tcPr>
          <w:p>
            <w:pPr>
              <w:pStyle w:val="TableContents"/>
              <w:bidi w:val="0"/>
              <w:spacing w:before="0" w:after="283"/>
              <w:jc w:val="left"/>
              <w:rPr/>
            </w:pPr>
            <w:r>
              <w:rPr/>
              <w:t>2.1†</w:t>
            </w:r>
          </w:p>
        </w:tc>
        <w:tc>
          <w:tcPr>
            <w:tcW w:w="60" w:type="dxa"/>
            <w:tcBorders/>
            <w:shd w:fill="FFFFFF" w:val="clear"/>
            <w:vAlign w:val="center"/>
          </w:tcPr>
          <w:p>
            <w:pPr>
              <w:pStyle w:val="TableContents"/>
              <w:bidi w:val="0"/>
              <w:spacing w:before="0" w:after="283"/>
              <w:jc w:val="left"/>
              <w:rPr/>
            </w:pPr>
            <w:r>
              <w:rPr/>
              <w:t> </w:t>
            </w:r>
          </w:p>
        </w:tc>
        <w:tc>
          <w:tcPr>
            <w:tcW w:w="6393" w:type="dxa"/>
            <w:tcBorders/>
            <w:shd w:fill="FFFFFF" w:val="clear"/>
            <w:vAlign w:val="center"/>
          </w:tcPr>
          <w:p>
            <w:pPr>
              <w:pStyle w:val="TableContents"/>
              <w:bidi w:val="0"/>
              <w:spacing w:before="0" w:after="283"/>
              <w:jc w:val="both"/>
              <w:rPr/>
            </w:pPr>
            <w:r>
              <w:fldChar w:fldCharType="begin"/>
            </w:r>
            <w:r>
              <w:rPr>
                <w:rStyle w:val="InternetLink"/>
              </w:rPr>
              <w:instrText xml:space="preserve"> HYPERLINK "https://www.sec.gov/Archives/edgar/data/1899123/000110465923035912/tm2135137-53_f4a.htm" \l "tANNA"</w:instrText>
            </w:r>
            <w:r>
              <w:rPr>
                <w:rStyle w:val="InternetLink"/>
              </w:rPr>
              <w:fldChar w:fldCharType="separate"/>
            </w:r>
            <w:r>
              <w:rPr>
                <w:rStyle w:val="InternetLink"/>
              </w:rPr>
              <w:t>Amended and Restated Agreement and Plan of Merger, dated as of December 15, 2021, by and among the Company, Bitdeer, Blue Safari Merge Limited, Blue Safari Merge II Limited, Bitdeer Merge Limited, BSGA and Blue Safari Mini Corp.</w:t>
            </w:r>
            <w:r>
              <w:rPr>
                <w:rStyle w:val="InternetLink"/>
              </w:rPr>
              <w:fldChar w:fldCharType="end"/>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F-4</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333-270345</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2.1</w:t>
            </w:r>
          </w:p>
        </w:tc>
        <w:tc>
          <w:tcPr>
            <w:tcW w:w="6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center"/>
              <w:rPr/>
            </w:pPr>
            <w:r>
              <w:rPr/>
              <w:t>March 23, 2023</w:t>
            </w:r>
          </w:p>
        </w:tc>
      </w:tr>
      <w:tr>
        <w:trPr/>
        <w:tc>
          <w:tcPr>
            <w:tcW w:w="872" w:type="dxa"/>
            <w:tcBorders/>
            <w:shd w:fill="CCEEFF" w:val="clear"/>
            <w:vAlign w:val="center"/>
          </w:tcPr>
          <w:p>
            <w:pPr>
              <w:pStyle w:val="TableContents"/>
              <w:bidi w:val="0"/>
              <w:spacing w:before="0" w:after="283"/>
              <w:jc w:val="left"/>
              <w:rPr/>
            </w:pPr>
            <w:r>
              <w:rPr/>
              <w:t>2.2†</w:t>
            </w:r>
          </w:p>
        </w:tc>
        <w:tc>
          <w:tcPr>
            <w:tcW w:w="60" w:type="dxa"/>
            <w:tcBorders/>
            <w:shd w:fill="CCEEFF" w:val="clear"/>
            <w:vAlign w:val="center"/>
          </w:tcPr>
          <w:p>
            <w:pPr>
              <w:pStyle w:val="TableContents"/>
              <w:bidi w:val="0"/>
              <w:spacing w:before="0" w:after="283"/>
              <w:jc w:val="left"/>
              <w:rPr/>
            </w:pPr>
            <w:r>
              <w:rPr/>
              <w:t> </w:t>
            </w:r>
          </w:p>
        </w:tc>
        <w:tc>
          <w:tcPr>
            <w:tcW w:w="6393" w:type="dxa"/>
            <w:tcBorders/>
            <w:shd w:fill="CCEEFF" w:val="clear"/>
            <w:vAlign w:val="center"/>
          </w:tcPr>
          <w:p>
            <w:pPr>
              <w:pStyle w:val="TableContents"/>
              <w:bidi w:val="0"/>
              <w:spacing w:before="0" w:after="283"/>
              <w:jc w:val="both"/>
              <w:rPr/>
            </w:pPr>
            <w:r>
              <w:fldChar w:fldCharType="begin"/>
            </w:r>
            <w:r>
              <w:rPr>
                <w:rStyle w:val="InternetLink"/>
              </w:rPr>
              <w:instrText xml:space="preserve"> HYPERLINK "https://www.sec.gov/Archives/edgar/data/1899123/000110465923035912/tm2135137-53_f4a.htm" \l "tANNA2"</w:instrText>
            </w:r>
            <w:r>
              <w:rPr>
                <w:rStyle w:val="InternetLink"/>
              </w:rPr>
              <w:fldChar w:fldCharType="separate"/>
            </w:r>
            <w:r>
              <w:rPr>
                <w:rStyle w:val="InternetLink"/>
              </w:rPr>
              <w:t>First Amendment to Amended and Restated Agreement and Plan of Merger, dated as of May 30, 2022, by and among the Company, Bitdeer, Blue Safari Merge Limited, Blue Safari Merge II Limited, Bitdeer Merge Limited, BSGA and Blue Safari Mini Corp.</w:t>
            </w:r>
            <w:r>
              <w:rPr>
                <w:rStyle w:val="InternetLink"/>
              </w:rPr>
              <w:fldChar w:fldCharType="end"/>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F-4</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333-270345</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2.2</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center"/>
              <w:rPr/>
            </w:pPr>
            <w:r>
              <w:rPr/>
              <w:t>March 23, 2023</w:t>
            </w:r>
          </w:p>
        </w:tc>
      </w:tr>
      <w:tr>
        <w:trPr/>
        <w:tc>
          <w:tcPr>
            <w:tcW w:w="872" w:type="dxa"/>
            <w:tcBorders/>
            <w:shd w:fill="FFFFFF" w:val="clear"/>
            <w:vAlign w:val="center"/>
          </w:tcPr>
          <w:p>
            <w:pPr>
              <w:pStyle w:val="TableContents"/>
              <w:bidi w:val="0"/>
              <w:spacing w:before="0" w:after="283"/>
              <w:jc w:val="left"/>
              <w:rPr/>
            </w:pPr>
            <w:r>
              <w:rPr/>
              <w:t>2.3†</w:t>
            </w:r>
          </w:p>
        </w:tc>
        <w:tc>
          <w:tcPr>
            <w:tcW w:w="60" w:type="dxa"/>
            <w:tcBorders/>
            <w:shd w:fill="FFFFFF" w:val="clear"/>
            <w:vAlign w:val="center"/>
          </w:tcPr>
          <w:p>
            <w:pPr>
              <w:pStyle w:val="TableContents"/>
              <w:bidi w:val="0"/>
              <w:spacing w:before="0" w:after="283"/>
              <w:jc w:val="left"/>
              <w:rPr/>
            </w:pPr>
            <w:r>
              <w:rPr/>
              <w:t> </w:t>
            </w:r>
          </w:p>
        </w:tc>
        <w:tc>
          <w:tcPr>
            <w:tcW w:w="6393" w:type="dxa"/>
            <w:tcBorders/>
            <w:shd w:fill="FFFFFF" w:val="clear"/>
            <w:vAlign w:val="center"/>
          </w:tcPr>
          <w:p>
            <w:pPr>
              <w:pStyle w:val="TableContents"/>
              <w:bidi w:val="0"/>
              <w:spacing w:before="0" w:after="283"/>
              <w:jc w:val="both"/>
              <w:rPr/>
            </w:pPr>
            <w:r>
              <w:fldChar w:fldCharType="begin"/>
            </w:r>
            <w:r>
              <w:rPr>
                <w:rStyle w:val="InternetLink"/>
              </w:rPr>
              <w:instrText xml:space="preserve"> HYPERLINK "https://www.sec.gov/Archives/edgar/data/1899123/000110465923035912/tm2135137-53_f4a.htm" \l "tANNEA5"</w:instrText>
            </w:r>
            <w:r>
              <w:rPr>
                <w:rStyle w:val="InternetLink"/>
              </w:rPr>
              <w:fldChar w:fldCharType="separate"/>
            </w:r>
            <w:r>
              <w:rPr>
                <w:rStyle w:val="InternetLink"/>
              </w:rPr>
              <w:t>Second Amendment to Amended and Restated Agreement and Plan of Merger, dated as of December 2, 2022, by and among the Company, Bitdeer, Blue Safari Merge Limited, Blue Safari Merge II Limited, Bitdeer Merge Limited, BSGA and Blue Safari Mini Corp.</w:t>
            </w:r>
            <w:r>
              <w:rPr>
                <w:rStyle w:val="InternetLink"/>
              </w:rPr>
              <w:fldChar w:fldCharType="end"/>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F-4</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333-270345</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2.3</w:t>
            </w:r>
          </w:p>
        </w:tc>
        <w:tc>
          <w:tcPr>
            <w:tcW w:w="6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center"/>
              <w:rPr/>
            </w:pPr>
            <w:r>
              <w:rPr/>
              <w:t>March 23, 2023</w:t>
            </w:r>
          </w:p>
        </w:tc>
      </w:tr>
      <w:tr>
        <w:trPr/>
        <w:tc>
          <w:tcPr>
            <w:tcW w:w="872" w:type="dxa"/>
            <w:tcBorders/>
            <w:shd w:fill="CCEEFF" w:val="clear"/>
            <w:vAlign w:val="center"/>
          </w:tcPr>
          <w:p>
            <w:pPr>
              <w:pStyle w:val="TableContents"/>
              <w:bidi w:val="0"/>
              <w:spacing w:before="0" w:after="283"/>
              <w:jc w:val="left"/>
              <w:rPr/>
            </w:pPr>
            <w:r>
              <w:rPr/>
              <w:t>2.4</w:t>
            </w:r>
          </w:p>
        </w:tc>
        <w:tc>
          <w:tcPr>
            <w:tcW w:w="60" w:type="dxa"/>
            <w:tcBorders/>
            <w:shd w:fill="CCEEFF" w:val="clear"/>
            <w:vAlign w:val="center"/>
          </w:tcPr>
          <w:p>
            <w:pPr>
              <w:pStyle w:val="TableContents"/>
              <w:bidi w:val="0"/>
              <w:spacing w:before="0" w:after="283"/>
              <w:jc w:val="left"/>
              <w:rPr/>
            </w:pPr>
            <w:r>
              <w:rPr/>
              <w:t> </w:t>
            </w:r>
          </w:p>
        </w:tc>
        <w:tc>
          <w:tcPr>
            <w:tcW w:w="6393" w:type="dxa"/>
            <w:tcBorders/>
            <w:shd w:fill="CCEEFF" w:val="clear"/>
            <w:vAlign w:val="center"/>
          </w:tcPr>
          <w:p>
            <w:pPr>
              <w:pStyle w:val="TableContents"/>
              <w:bidi w:val="0"/>
              <w:spacing w:before="0" w:after="283"/>
              <w:jc w:val="both"/>
              <w:rPr/>
            </w:pPr>
            <w:r>
              <w:fldChar w:fldCharType="begin"/>
            </w:r>
            <w:r>
              <w:rPr>
                <w:rStyle w:val="InternetLink"/>
              </w:rPr>
              <w:instrText xml:space="preserve"> HYPERLINK "https://www.sec.gov/Archives/edgar/data/1899123/000110465923035912/tm2135137-53_f4a.htm" \l "tAnnex4"</w:instrText>
            </w:r>
            <w:r>
              <w:rPr>
                <w:rStyle w:val="InternetLink"/>
              </w:rPr>
              <w:fldChar w:fldCharType="separate"/>
            </w:r>
            <w:r>
              <w:rPr>
                <w:rStyle w:val="InternetLink"/>
              </w:rPr>
              <w:t>Third Amendment to Amended and Restated Agreement and Plan of Merger, dated as of March 7, 2023, by and among the Company, Bitdeer, Blue Safari Merge Limited, Blue Safari Merge II Limited, Bitdeer Merge Limited, BSGA and Blue Safari Mini Corp.</w:t>
            </w:r>
            <w:r>
              <w:rPr>
                <w:rStyle w:val="InternetLink"/>
              </w:rPr>
              <w:fldChar w:fldCharType="end"/>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F-4</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333-270345</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2.4</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center"/>
              <w:rPr/>
            </w:pPr>
            <w:r>
              <w:rPr/>
              <w:t>March 23, 2023</w:t>
            </w:r>
          </w:p>
        </w:tc>
      </w:tr>
      <w:tr>
        <w:trPr/>
        <w:tc>
          <w:tcPr>
            <w:tcW w:w="872" w:type="dxa"/>
            <w:tcBorders/>
            <w:shd w:fill="FFFFFF" w:val="clear"/>
            <w:vAlign w:val="center"/>
          </w:tcPr>
          <w:p>
            <w:pPr>
              <w:pStyle w:val="TableContents"/>
              <w:bidi w:val="0"/>
              <w:spacing w:before="0" w:after="283"/>
              <w:jc w:val="left"/>
              <w:rPr/>
            </w:pPr>
            <w:r>
              <w:rPr/>
              <w:t>3.1</w:t>
            </w:r>
          </w:p>
        </w:tc>
        <w:tc>
          <w:tcPr>
            <w:tcW w:w="60" w:type="dxa"/>
            <w:tcBorders/>
            <w:shd w:fill="FFFFFF" w:val="clear"/>
            <w:vAlign w:val="center"/>
          </w:tcPr>
          <w:p>
            <w:pPr>
              <w:pStyle w:val="TableContents"/>
              <w:bidi w:val="0"/>
              <w:spacing w:before="0" w:after="283"/>
              <w:jc w:val="left"/>
              <w:rPr/>
            </w:pPr>
            <w:r>
              <w:rPr/>
              <w:t> </w:t>
            </w:r>
          </w:p>
        </w:tc>
        <w:tc>
          <w:tcPr>
            <w:tcW w:w="6393" w:type="dxa"/>
            <w:tcBorders/>
            <w:shd w:fill="FFFFFF" w:val="clear"/>
            <w:vAlign w:val="center"/>
          </w:tcPr>
          <w:p>
            <w:pPr>
              <w:pStyle w:val="TableContents"/>
              <w:bidi w:val="0"/>
              <w:spacing w:before="0" w:after="283"/>
              <w:jc w:val="both"/>
              <w:rPr/>
            </w:pPr>
            <w:hyperlink r:id="rId12">
              <w:r>
                <w:rPr>
                  <w:rStyle w:val="InternetLink"/>
                </w:rPr>
                <w:t>Amended and Restated Memorandum and Articles of Association of the Company, effective on April 13, 2023</w:t>
              </w:r>
            </w:hyperlink>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20-F</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001-41687</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center"/>
              <w:rPr/>
            </w:pPr>
            <w:r>
              <w:rPr/>
              <w:t>April 19, 2023</w:t>
            </w:r>
          </w:p>
        </w:tc>
      </w:tr>
      <w:tr>
        <w:trPr/>
        <w:tc>
          <w:tcPr>
            <w:tcW w:w="872" w:type="dxa"/>
            <w:tcBorders/>
            <w:shd w:fill="CCEEFF" w:val="clear"/>
            <w:vAlign w:val="center"/>
          </w:tcPr>
          <w:p>
            <w:pPr>
              <w:pStyle w:val="TableContents"/>
              <w:bidi w:val="0"/>
              <w:spacing w:before="0" w:after="283"/>
              <w:jc w:val="left"/>
              <w:rPr/>
            </w:pPr>
            <w:r>
              <w:rPr/>
              <w:t>4.1</w:t>
            </w:r>
          </w:p>
        </w:tc>
        <w:tc>
          <w:tcPr>
            <w:tcW w:w="60" w:type="dxa"/>
            <w:tcBorders/>
            <w:shd w:fill="CCEEFF" w:val="clear"/>
            <w:vAlign w:val="center"/>
          </w:tcPr>
          <w:p>
            <w:pPr>
              <w:pStyle w:val="TableContents"/>
              <w:bidi w:val="0"/>
              <w:spacing w:before="0" w:after="283"/>
              <w:jc w:val="left"/>
              <w:rPr/>
            </w:pPr>
            <w:r>
              <w:rPr/>
              <w:t> </w:t>
            </w:r>
          </w:p>
        </w:tc>
        <w:tc>
          <w:tcPr>
            <w:tcW w:w="6393" w:type="dxa"/>
            <w:tcBorders/>
            <w:shd w:fill="CCEEFF" w:val="clear"/>
            <w:vAlign w:val="center"/>
          </w:tcPr>
          <w:p>
            <w:pPr>
              <w:pStyle w:val="TableContents"/>
              <w:bidi w:val="0"/>
              <w:spacing w:before="0" w:after="283"/>
              <w:jc w:val="both"/>
              <w:rPr/>
            </w:pPr>
            <w:hyperlink r:id="rId13">
              <w:r>
                <w:rPr>
                  <w:rStyle w:val="InternetLink"/>
                </w:rPr>
                <w:t>Specimen Ordinary Share Certificate of the Company</w:t>
              </w:r>
            </w:hyperlink>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F-4</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333-270345</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4.1</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center"/>
              <w:rPr/>
            </w:pPr>
            <w:r>
              <w:rPr/>
              <w:t>March 23, 2023</w:t>
            </w:r>
          </w:p>
        </w:tc>
      </w:tr>
      <w:tr>
        <w:trPr/>
        <w:tc>
          <w:tcPr>
            <w:tcW w:w="872" w:type="dxa"/>
            <w:tcBorders/>
            <w:shd w:fill="FFFFFF" w:val="clear"/>
            <w:vAlign w:val="center"/>
          </w:tcPr>
          <w:p>
            <w:pPr>
              <w:pStyle w:val="TableContents"/>
              <w:bidi w:val="0"/>
              <w:spacing w:before="0" w:after="283"/>
              <w:jc w:val="left"/>
              <w:rPr/>
            </w:pPr>
            <w:r>
              <w:rPr/>
              <w:t>4.2*</w:t>
            </w:r>
          </w:p>
        </w:tc>
        <w:tc>
          <w:tcPr>
            <w:tcW w:w="60" w:type="dxa"/>
            <w:tcBorders/>
            <w:shd w:fill="FFFFFF" w:val="clear"/>
            <w:vAlign w:val="center"/>
          </w:tcPr>
          <w:p>
            <w:pPr>
              <w:pStyle w:val="TableContents"/>
              <w:bidi w:val="0"/>
              <w:spacing w:before="0" w:after="283"/>
              <w:jc w:val="left"/>
              <w:rPr/>
            </w:pPr>
            <w:r>
              <w:rPr/>
              <w:t> </w:t>
            </w:r>
          </w:p>
        </w:tc>
        <w:tc>
          <w:tcPr>
            <w:tcW w:w="6393" w:type="dxa"/>
            <w:tcBorders/>
            <w:shd w:fill="FFFFFF" w:val="clear"/>
            <w:vAlign w:val="center"/>
          </w:tcPr>
          <w:p>
            <w:pPr>
              <w:pStyle w:val="TableContents"/>
              <w:bidi w:val="0"/>
              <w:spacing w:before="0" w:after="283"/>
              <w:jc w:val="both"/>
              <w:rPr/>
            </w:pPr>
            <w:r>
              <w:rPr/>
              <w:t>Form of Specimen Preferred Share Certificate and Form of Certificate of Designation of Preferred Shares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center"/>
              <w:rPr/>
            </w:pPr>
            <w:r>
              <w:rPr/>
              <w:t> </w:t>
            </w:r>
          </w:p>
        </w:tc>
      </w:tr>
      <w:tr>
        <w:trPr/>
        <w:tc>
          <w:tcPr>
            <w:tcW w:w="872" w:type="dxa"/>
            <w:tcBorders/>
            <w:shd w:fill="CCEEFF" w:val="clear"/>
            <w:vAlign w:val="center"/>
          </w:tcPr>
          <w:p>
            <w:pPr>
              <w:pStyle w:val="TableContents"/>
              <w:bidi w:val="0"/>
              <w:spacing w:before="0" w:after="283"/>
              <w:jc w:val="left"/>
              <w:rPr/>
            </w:pPr>
            <w:r>
              <w:rPr/>
              <w:t>4.3**</w:t>
            </w:r>
          </w:p>
        </w:tc>
        <w:tc>
          <w:tcPr>
            <w:tcW w:w="60" w:type="dxa"/>
            <w:tcBorders/>
            <w:shd w:fill="CCEEFF" w:val="clear"/>
            <w:vAlign w:val="center"/>
          </w:tcPr>
          <w:p>
            <w:pPr>
              <w:pStyle w:val="TableContents"/>
              <w:bidi w:val="0"/>
              <w:spacing w:before="0" w:after="283"/>
              <w:jc w:val="left"/>
              <w:rPr/>
            </w:pPr>
            <w:r>
              <w:rPr/>
              <w:t> </w:t>
            </w:r>
          </w:p>
        </w:tc>
        <w:tc>
          <w:tcPr>
            <w:tcW w:w="6393" w:type="dxa"/>
            <w:tcBorders/>
            <w:shd w:fill="CCEEFF" w:val="clear"/>
            <w:vAlign w:val="center"/>
          </w:tcPr>
          <w:p>
            <w:pPr>
              <w:pStyle w:val="TableContents"/>
              <w:bidi w:val="0"/>
              <w:spacing w:before="0" w:after="283"/>
              <w:jc w:val="both"/>
              <w:rPr/>
            </w:pPr>
            <w:hyperlink w:anchor="ea030073701ex4-3.htm">
              <w:r>
                <w:rPr>
                  <w:rStyle w:val="InternetLink"/>
                </w:rPr>
                <w:t>Form of Indenture</w:t>
              </w:r>
            </w:hyperlink>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center"/>
              <w:rPr/>
            </w:pPr>
            <w:r>
              <w:rPr/>
              <w:t> </w:t>
            </w:r>
          </w:p>
        </w:tc>
      </w:tr>
      <w:tr>
        <w:trPr/>
        <w:tc>
          <w:tcPr>
            <w:tcW w:w="872" w:type="dxa"/>
            <w:tcBorders/>
            <w:shd w:fill="FFFFFF" w:val="clear"/>
            <w:vAlign w:val="center"/>
          </w:tcPr>
          <w:p>
            <w:pPr>
              <w:pStyle w:val="TableContents"/>
              <w:bidi w:val="0"/>
              <w:spacing w:before="0" w:after="283"/>
              <w:jc w:val="left"/>
              <w:rPr/>
            </w:pPr>
            <w:r>
              <w:rPr/>
              <w:t>4.4*</w:t>
            </w:r>
          </w:p>
        </w:tc>
        <w:tc>
          <w:tcPr>
            <w:tcW w:w="60" w:type="dxa"/>
            <w:tcBorders/>
            <w:shd w:fill="FFFFFF" w:val="clear"/>
            <w:vAlign w:val="center"/>
          </w:tcPr>
          <w:p>
            <w:pPr>
              <w:pStyle w:val="TableContents"/>
              <w:bidi w:val="0"/>
              <w:spacing w:before="0" w:after="283"/>
              <w:jc w:val="left"/>
              <w:rPr/>
            </w:pPr>
            <w:r>
              <w:rPr/>
              <w:t> </w:t>
            </w:r>
          </w:p>
        </w:tc>
        <w:tc>
          <w:tcPr>
            <w:tcW w:w="6393" w:type="dxa"/>
            <w:tcBorders/>
            <w:shd w:fill="FFFFFF" w:val="clear"/>
            <w:vAlign w:val="center"/>
          </w:tcPr>
          <w:p>
            <w:pPr>
              <w:pStyle w:val="TableContents"/>
              <w:bidi w:val="0"/>
              <w:spacing w:before="0" w:after="283"/>
              <w:jc w:val="both"/>
              <w:rPr/>
            </w:pPr>
            <w:r>
              <w:rPr/>
              <w:t>Form of Debt Securities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center"/>
              <w:rPr/>
            </w:pPr>
            <w:r>
              <w:rPr/>
              <w:t> </w:t>
            </w:r>
          </w:p>
        </w:tc>
      </w:tr>
      <w:tr>
        <w:trPr/>
        <w:tc>
          <w:tcPr>
            <w:tcW w:w="872" w:type="dxa"/>
            <w:tcBorders/>
            <w:shd w:fill="CCEEFF" w:val="clear"/>
            <w:vAlign w:val="center"/>
          </w:tcPr>
          <w:p>
            <w:pPr>
              <w:pStyle w:val="TableContents"/>
              <w:bidi w:val="0"/>
              <w:spacing w:before="0" w:after="283"/>
              <w:jc w:val="left"/>
              <w:rPr/>
            </w:pPr>
            <w:r>
              <w:rPr/>
              <w:t>4.5**</w:t>
            </w:r>
          </w:p>
        </w:tc>
        <w:tc>
          <w:tcPr>
            <w:tcW w:w="60" w:type="dxa"/>
            <w:tcBorders/>
            <w:shd w:fill="CCEEFF" w:val="clear"/>
            <w:vAlign w:val="center"/>
          </w:tcPr>
          <w:p>
            <w:pPr>
              <w:pStyle w:val="TableContents"/>
              <w:bidi w:val="0"/>
              <w:spacing w:before="0" w:after="283"/>
              <w:jc w:val="left"/>
              <w:rPr/>
            </w:pPr>
            <w:r>
              <w:rPr/>
              <w:t> </w:t>
            </w:r>
          </w:p>
        </w:tc>
        <w:tc>
          <w:tcPr>
            <w:tcW w:w="6393" w:type="dxa"/>
            <w:tcBorders/>
            <w:shd w:fill="CCEEFF" w:val="clear"/>
            <w:vAlign w:val="center"/>
          </w:tcPr>
          <w:p>
            <w:pPr>
              <w:pStyle w:val="TableContents"/>
              <w:bidi w:val="0"/>
              <w:spacing w:before="0" w:after="283"/>
              <w:jc w:val="both"/>
              <w:rPr/>
            </w:pPr>
            <w:hyperlink w:anchor="ea030073701ex4-5.htm">
              <w:r>
                <w:rPr>
                  <w:rStyle w:val="InternetLink"/>
                </w:rPr>
                <w:t>Form of Ordinary Share Warrant Agreement and Warrant Certificate</w:t>
              </w:r>
            </w:hyperlink>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center"/>
              <w:rPr/>
            </w:pPr>
            <w:r>
              <w:rPr/>
              <w:t> </w:t>
            </w:r>
          </w:p>
        </w:tc>
      </w:tr>
      <w:tr>
        <w:trPr/>
        <w:tc>
          <w:tcPr>
            <w:tcW w:w="872" w:type="dxa"/>
            <w:tcBorders/>
            <w:shd w:fill="FFFFFF" w:val="clear"/>
            <w:vAlign w:val="center"/>
          </w:tcPr>
          <w:p>
            <w:pPr>
              <w:pStyle w:val="TableContents"/>
              <w:bidi w:val="0"/>
              <w:spacing w:before="0" w:after="283"/>
              <w:jc w:val="left"/>
              <w:rPr/>
            </w:pPr>
            <w:r>
              <w:rPr/>
              <w:t>4.6**</w:t>
            </w:r>
          </w:p>
        </w:tc>
        <w:tc>
          <w:tcPr>
            <w:tcW w:w="60" w:type="dxa"/>
            <w:tcBorders/>
            <w:shd w:fill="FFFFFF" w:val="clear"/>
            <w:vAlign w:val="center"/>
          </w:tcPr>
          <w:p>
            <w:pPr>
              <w:pStyle w:val="TableContents"/>
              <w:bidi w:val="0"/>
              <w:spacing w:before="0" w:after="283"/>
              <w:jc w:val="left"/>
              <w:rPr/>
            </w:pPr>
            <w:r>
              <w:rPr/>
              <w:t> </w:t>
            </w:r>
          </w:p>
        </w:tc>
        <w:tc>
          <w:tcPr>
            <w:tcW w:w="6393" w:type="dxa"/>
            <w:tcBorders/>
            <w:shd w:fill="FFFFFF" w:val="clear"/>
            <w:vAlign w:val="center"/>
          </w:tcPr>
          <w:p>
            <w:pPr>
              <w:pStyle w:val="TableContents"/>
              <w:bidi w:val="0"/>
              <w:spacing w:before="0" w:after="283"/>
              <w:jc w:val="both"/>
              <w:rPr/>
            </w:pPr>
            <w:hyperlink w:anchor="ea030073701ex4-6.htm">
              <w:r>
                <w:rPr>
                  <w:rStyle w:val="InternetLink"/>
                </w:rPr>
                <w:t>Form of Preferred Share Warrant Agreement and Warrant Certificate</w:t>
              </w:r>
            </w:hyperlink>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center"/>
              <w:rPr/>
            </w:pPr>
            <w:r>
              <w:rPr/>
              <w:t> </w:t>
            </w:r>
          </w:p>
        </w:tc>
      </w:tr>
      <w:tr>
        <w:trPr/>
        <w:tc>
          <w:tcPr>
            <w:tcW w:w="872" w:type="dxa"/>
            <w:tcBorders/>
            <w:shd w:fill="CCEEFF" w:val="clear"/>
            <w:vAlign w:val="center"/>
          </w:tcPr>
          <w:p>
            <w:pPr>
              <w:pStyle w:val="TableContents"/>
              <w:bidi w:val="0"/>
              <w:spacing w:before="0" w:after="283"/>
              <w:jc w:val="left"/>
              <w:rPr/>
            </w:pPr>
            <w:r>
              <w:rPr/>
              <w:t>4.7**</w:t>
            </w:r>
          </w:p>
        </w:tc>
        <w:tc>
          <w:tcPr>
            <w:tcW w:w="60" w:type="dxa"/>
            <w:tcBorders/>
            <w:shd w:fill="CCEEFF" w:val="clear"/>
            <w:vAlign w:val="center"/>
          </w:tcPr>
          <w:p>
            <w:pPr>
              <w:pStyle w:val="TableContents"/>
              <w:bidi w:val="0"/>
              <w:spacing w:before="0" w:after="283"/>
              <w:jc w:val="left"/>
              <w:rPr/>
            </w:pPr>
            <w:r>
              <w:rPr/>
              <w:t> </w:t>
            </w:r>
          </w:p>
        </w:tc>
        <w:tc>
          <w:tcPr>
            <w:tcW w:w="6393" w:type="dxa"/>
            <w:tcBorders/>
            <w:shd w:fill="CCEEFF" w:val="clear"/>
            <w:vAlign w:val="center"/>
          </w:tcPr>
          <w:p>
            <w:pPr>
              <w:pStyle w:val="TableContents"/>
              <w:bidi w:val="0"/>
              <w:spacing w:before="0" w:after="283"/>
              <w:jc w:val="both"/>
              <w:rPr/>
            </w:pPr>
            <w:hyperlink w:anchor="ea030073701ex4-7.htm">
              <w:r>
                <w:rPr>
                  <w:rStyle w:val="InternetLink"/>
                </w:rPr>
                <w:t>Form of Debt Securities Warrant Agreement and Warrant Certificate</w:t>
              </w:r>
            </w:hyperlink>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center"/>
              <w:rPr/>
            </w:pPr>
            <w:r>
              <w:rPr/>
              <w:t> </w:t>
            </w:r>
          </w:p>
        </w:tc>
      </w:tr>
      <w:tr>
        <w:trPr/>
        <w:tc>
          <w:tcPr>
            <w:tcW w:w="872" w:type="dxa"/>
            <w:tcBorders/>
            <w:shd w:fill="FFFFFF" w:val="clear"/>
            <w:vAlign w:val="center"/>
          </w:tcPr>
          <w:p>
            <w:pPr>
              <w:pStyle w:val="TableContents"/>
              <w:bidi w:val="0"/>
              <w:spacing w:before="0" w:after="283"/>
              <w:jc w:val="left"/>
              <w:rPr/>
            </w:pPr>
            <w:r>
              <w:rPr/>
              <w:t>4.8*</w:t>
            </w:r>
          </w:p>
        </w:tc>
        <w:tc>
          <w:tcPr>
            <w:tcW w:w="60" w:type="dxa"/>
            <w:tcBorders/>
            <w:shd w:fill="FFFFFF" w:val="clear"/>
            <w:vAlign w:val="center"/>
          </w:tcPr>
          <w:p>
            <w:pPr>
              <w:pStyle w:val="TableContents"/>
              <w:bidi w:val="0"/>
              <w:spacing w:before="0" w:after="283"/>
              <w:jc w:val="left"/>
              <w:rPr/>
            </w:pPr>
            <w:r>
              <w:rPr/>
              <w:t> </w:t>
            </w:r>
          </w:p>
        </w:tc>
        <w:tc>
          <w:tcPr>
            <w:tcW w:w="6393" w:type="dxa"/>
            <w:tcBorders/>
            <w:shd w:fill="FFFFFF" w:val="clear"/>
            <w:vAlign w:val="center"/>
          </w:tcPr>
          <w:p>
            <w:pPr>
              <w:pStyle w:val="TableContents"/>
              <w:bidi w:val="0"/>
              <w:spacing w:before="0" w:after="283"/>
              <w:jc w:val="both"/>
              <w:rPr/>
            </w:pPr>
            <w:r>
              <w:rPr/>
              <w:t>Form of Unit Agreement (including form of Unit Certificate)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center"/>
              <w:rPr/>
            </w:pPr>
            <w:r>
              <w:rPr/>
              <w:t> </w:t>
            </w:r>
          </w:p>
        </w:tc>
      </w:tr>
      <w:tr>
        <w:trPr/>
        <w:tc>
          <w:tcPr>
            <w:tcW w:w="872" w:type="dxa"/>
            <w:tcBorders/>
            <w:shd w:fill="CCEEFF" w:val="clear"/>
            <w:vAlign w:val="center"/>
          </w:tcPr>
          <w:p>
            <w:pPr>
              <w:pStyle w:val="TableContents"/>
              <w:bidi w:val="0"/>
              <w:spacing w:before="0" w:after="283"/>
              <w:jc w:val="left"/>
              <w:rPr/>
            </w:pPr>
            <w:r>
              <w:rPr/>
              <w:t>5.1**</w:t>
            </w:r>
          </w:p>
        </w:tc>
        <w:tc>
          <w:tcPr>
            <w:tcW w:w="60" w:type="dxa"/>
            <w:tcBorders/>
            <w:shd w:fill="CCEEFF" w:val="clear"/>
            <w:vAlign w:val="center"/>
          </w:tcPr>
          <w:p>
            <w:pPr>
              <w:pStyle w:val="TableContents"/>
              <w:bidi w:val="0"/>
              <w:spacing w:before="0" w:after="283"/>
              <w:jc w:val="left"/>
              <w:rPr/>
            </w:pPr>
            <w:r>
              <w:rPr/>
              <w:t> </w:t>
            </w:r>
          </w:p>
        </w:tc>
        <w:tc>
          <w:tcPr>
            <w:tcW w:w="6393" w:type="dxa"/>
            <w:tcBorders/>
            <w:shd w:fill="CCEEFF" w:val="clear"/>
            <w:vAlign w:val="center"/>
          </w:tcPr>
          <w:p>
            <w:pPr>
              <w:pStyle w:val="TableContents"/>
              <w:bidi w:val="0"/>
              <w:spacing w:before="0" w:after="283"/>
              <w:jc w:val="both"/>
              <w:rPr/>
            </w:pPr>
            <w:hyperlink w:anchor="ea030073701ex5-1.htm">
              <w:r>
                <w:rPr>
                  <w:rStyle w:val="InternetLink"/>
                </w:rPr>
                <w:t>Opinion of Ogier as to the validity of securities being registered and certain Cayman Islands legal matters</w:t>
              </w:r>
            </w:hyperlink>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center"/>
              <w:rPr/>
            </w:pPr>
            <w:r>
              <w:rPr/>
              <w:t> </w:t>
            </w:r>
          </w:p>
        </w:tc>
      </w:tr>
      <w:tr>
        <w:trPr/>
        <w:tc>
          <w:tcPr>
            <w:tcW w:w="872" w:type="dxa"/>
            <w:tcBorders/>
            <w:shd w:fill="FFFFFF" w:val="clear"/>
            <w:vAlign w:val="center"/>
          </w:tcPr>
          <w:p>
            <w:pPr>
              <w:pStyle w:val="TableContents"/>
              <w:bidi w:val="0"/>
              <w:spacing w:before="0" w:after="283"/>
              <w:jc w:val="left"/>
              <w:rPr/>
            </w:pPr>
            <w:r>
              <w:rPr/>
              <w:t>5.2**</w:t>
            </w:r>
          </w:p>
        </w:tc>
        <w:tc>
          <w:tcPr>
            <w:tcW w:w="60" w:type="dxa"/>
            <w:tcBorders/>
            <w:shd w:fill="FFFFFF" w:val="clear"/>
            <w:vAlign w:val="center"/>
          </w:tcPr>
          <w:p>
            <w:pPr>
              <w:pStyle w:val="TableContents"/>
              <w:bidi w:val="0"/>
              <w:spacing w:before="0" w:after="283"/>
              <w:jc w:val="left"/>
              <w:rPr/>
            </w:pPr>
            <w:r>
              <w:rPr/>
              <w:t> </w:t>
            </w:r>
          </w:p>
        </w:tc>
        <w:tc>
          <w:tcPr>
            <w:tcW w:w="6393" w:type="dxa"/>
            <w:tcBorders/>
            <w:shd w:fill="FFFFFF" w:val="clear"/>
            <w:vAlign w:val="center"/>
          </w:tcPr>
          <w:p>
            <w:pPr>
              <w:pStyle w:val="TableContents"/>
              <w:bidi w:val="0"/>
              <w:spacing w:before="0" w:after="283"/>
              <w:jc w:val="both"/>
              <w:rPr/>
            </w:pPr>
            <w:hyperlink w:anchor="ea030073701ex5-2.htm">
              <w:r>
                <w:rPr>
                  <w:rStyle w:val="InternetLink"/>
                </w:rPr>
                <w:t>Opinion of Cooley LLP</w:t>
              </w:r>
            </w:hyperlink>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center"/>
              <w:rPr/>
            </w:pPr>
            <w:r>
              <w:rPr/>
              <w:t> </w:t>
            </w:r>
          </w:p>
        </w:tc>
      </w:tr>
      <w:tr>
        <w:trPr/>
        <w:tc>
          <w:tcPr>
            <w:tcW w:w="872" w:type="dxa"/>
            <w:tcBorders/>
            <w:shd w:fill="CCEEFF" w:val="clear"/>
            <w:vAlign w:val="center"/>
          </w:tcPr>
          <w:p>
            <w:pPr>
              <w:pStyle w:val="TableContents"/>
              <w:bidi w:val="0"/>
              <w:spacing w:before="0" w:after="283"/>
              <w:jc w:val="left"/>
              <w:rPr/>
            </w:pPr>
            <w:r>
              <w:rPr/>
              <w:t>8.1**</w:t>
            </w:r>
          </w:p>
        </w:tc>
        <w:tc>
          <w:tcPr>
            <w:tcW w:w="60" w:type="dxa"/>
            <w:tcBorders/>
            <w:shd w:fill="CCEEFF" w:val="clear"/>
            <w:vAlign w:val="center"/>
          </w:tcPr>
          <w:p>
            <w:pPr>
              <w:pStyle w:val="TableContents"/>
              <w:bidi w:val="0"/>
              <w:spacing w:before="0" w:after="283"/>
              <w:jc w:val="left"/>
              <w:rPr/>
            </w:pPr>
            <w:r>
              <w:rPr/>
              <w:t> </w:t>
            </w:r>
          </w:p>
        </w:tc>
        <w:tc>
          <w:tcPr>
            <w:tcW w:w="6393" w:type="dxa"/>
            <w:tcBorders/>
            <w:shd w:fill="CCEEFF" w:val="clear"/>
            <w:vAlign w:val="center"/>
          </w:tcPr>
          <w:p>
            <w:pPr>
              <w:pStyle w:val="TableContents"/>
              <w:bidi w:val="0"/>
              <w:spacing w:before="0" w:after="283"/>
              <w:jc w:val="both"/>
              <w:rPr/>
            </w:pPr>
            <w:hyperlink w:anchor="ea030073701ex5-1.htm">
              <w:r>
                <w:rPr>
                  <w:rStyle w:val="InternetLink"/>
                </w:rPr>
                <w:t>Opinion of Ogier regarding certain Cayman Islands tax matters (included in Exhibit 5.1)</w:t>
              </w:r>
            </w:hyperlink>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center"/>
              <w:rPr/>
            </w:pPr>
            <w:r>
              <w:rPr/>
              <w:t> </w:t>
            </w:r>
          </w:p>
        </w:tc>
      </w:tr>
      <w:tr>
        <w:trPr/>
        <w:tc>
          <w:tcPr>
            <w:tcW w:w="872" w:type="dxa"/>
            <w:tcBorders/>
            <w:shd w:fill="FFFFFF" w:val="clear"/>
            <w:vAlign w:val="center"/>
          </w:tcPr>
          <w:p>
            <w:pPr>
              <w:pStyle w:val="TableContents"/>
              <w:bidi w:val="0"/>
              <w:spacing w:before="0" w:after="283"/>
              <w:jc w:val="left"/>
              <w:rPr/>
            </w:pPr>
            <w:r>
              <w:rPr/>
              <w:t>23.1**</w:t>
            </w:r>
          </w:p>
        </w:tc>
        <w:tc>
          <w:tcPr>
            <w:tcW w:w="60" w:type="dxa"/>
            <w:tcBorders/>
            <w:shd w:fill="FFFFFF" w:val="clear"/>
            <w:vAlign w:val="center"/>
          </w:tcPr>
          <w:p>
            <w:pPr>
              <w:pStyle w:val="TableContents"/>
              <w:bidi w:val="0"/>
              <w:spacing w:before="0" w:after="283"/>
              <w:jc w:val="left"/>
              <w:rPr/>
            </w:pPr>
            <w:r>
              <w:rPr/>
              <w:t> </w:t>
            </w:r>
          </w:p>
        </w:tc>
        <w:tc>
          <w:tcPr>
            <w:tcW w:w="6393" w:type="dxa"/>
            <w:tcBorders/>
            <w:shd w:fill="FFFFFF" w:val="clear"/>
            <w:vAlign w:val="center"/>
          </w:tcPr>
          <w:p>
            <w:pPr>
              <w:pStyle w:val="TableContents"/>
              <w:bidi w:val="0"/>
              <w:spacing w:before="0" w:after="283"/>
              <w:jc w:val="both"/>
              <w:rPr/>
            </w:pPr>
            <w:hyperlink w:anchor="ea030073701ex23-1.htm">
              <w:r>
                <w:rPr>
                  <w:rStyle w:val="InternetLink"/>
                </w:rPr>
                <w:t>Consent of MaloneBailey, LLP</w:t>
              </w:r>
            </w:hyperlink>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center"/>
              <w:rPr/>
            </w:pPr>
            <w:r>
              <w:rPr/>
              <w:t> </w:t>
            </w:r>
          </w:p>
        </w:tc>
      </w:tr>
      <w:tr>
        <w:trPr/>
        <w:tc>
          <w:tcPr>
            <w:tcW w:w="872" w:type="dxa"/>
            <w:tcBorders/>
            <w:shd w:fill="CCEEFF" w:val="clear"/>
            <w:vAlign w:val="center"/>
          </w:tcPr>
          <w:p>
            <w:pPr>
              <w:pStyle w:val="TableContents"/>
              <w:bidi w:val="0"/>
              <w:spacing w:before="0" w:after="283"/>
              <w:jc w:val="left"/>
              <w:rPr/>
            </w:pPr>
            <w:r>
              <w:rPr/>
              <w:t>23.2**</w:t>
            </w:r>
          </w:p>
        </w:tc>
        <w:tc>
          <w:tcPr>
            <w:tcW w:w="60" w:type="dxa"/>
            <w:tcBorders/>
            <w:shd w:fill="CCEEFF" w:val="clear"/>
            <w:vAlign w:val="center"/>
          </w:tcPr>
          <w:p>
            <w:pPr>
              <w:pStyle w:val="TableContents"/>
              <w:bidi w:val="0"/>
              <w:spacing w:before="0" w:after="283"/>
              <w:jc w:val="left"/>
              <w:rPr/>
            </w:pPr>
            <w:r>
              <w:rPr/>
              <w:t> </w:t>
            </w:r>
          </w:p>
        </w:tc>
        <w:tc>
          <w:tcPr>
            <w:tcW w:w="6393" w:type="dxa"/>
            <w:tcBorders/>
            <w:shd w:fill="CCEEFF" w:val="clear"/>
            <w:vAlign w:val="center"/>
          </w:tcPr>
          <w:p>
            <w:pPr>
              <w:pStyle w:val="TableContents"/>
              <w:bidi w:val="0"/>
              <w:spacing w:before="0" w:after="283"/>
              <w:jc w:val="both"/>
              <w:rPr/>
            </w:pPr>
            <w:hyperlink w:anchor="ea030073701ex5-1.htm">
              <w:r>
                <w:rPr>
                  <w:rStyle w:val="InternetLink"/>
                </w:rPr>
                <w:t>Consent of Ogier (included in Exhibit 5.1)</w:t>
              </w:r>
            </w:hyperlink>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center"/>
              <w:rPr/>
            </w:pPr>
            <w:r>
              <w:rPr/>
              <w:t> </w:t>
            </w:r>
          </w:p>
        </w:tc>
      </w:tr>
      <w:tr>
        <w:trPr/>
        <w:tc>
          <w:tcPr>
            <w:tcW w:w="872" w:type="dxa"/>
            <w:tcBorders/>
            <w:shd w:fill="FFFFFF" w:val="clear"/>
            <w:vAlign w:val="center"/>
          </w:tcPr>
          <w:p>
            <w:pPr>
              <w:pStyle w:val="TableContents"/>
              <w:bidi w:val="0"/>
              <w:spacing w:before="0" w:after="283"/>
              <w:jc w:val="left"/>
              <w:rPr/>
            </w:pPr>
            <w:r>
              <w:rPr/>
              <w:t>23.3**</w:t>
            </w:r>
          </w:p>
        </w:tc>
        <w:tc>
          <w:tcPr>
            <w:tcW w:w="60" w:type="dxa"/>
            <w:tcBorders/>
            <w:shd w:fill="FFFFFF" w:val="clear"/>
            <w:vAlign w:val="center"/>
          </w:tcPr>
          <w:p>
            <w:pPr>
              <w:pStyle w:val="TableContents"/>
              <w:bidi w:val="0"/>
              <w:spacing w:before="0" w:after="283"/>
              <w:jc w:val="left"/>
              <w:rPr/>
            </w:pPr>
            <w:r>
              <w:rPr/>
              <w:t> </w:t>
            </w:r>
          </w:p>
        </w:tc>
        <w:tc>
          <w:tcPr>
            <w:tcW w:w="6393" w:type="dxa"/>
            <w:tcBorders/>
            <w:shd w:fill="FFFFFF" w:val="clear"/>
            <w:vAlign w:val="center"/>
          </w:tcPr>
          <w:p>
            <w:pPr>
              <w:pStyle w:val="TableContents"/>
              <w:bidi w:val="0"/>
              <w:spacing w:before="0" w:after="283"/>
              <w:jc w:val="both"/>
              <w:rPr/>
            </w:pPr>
            <w:hyperlink w:anchor="ea030073701ex5-2.htm">
              <w:r>
                <w:rPr>
                  <w:rStyle w:val="InternetLink"/>
                </w:rPr>
                <w:t>Consent of Cooley LLP (included in Exhibit 5.2)</w:t>
              </w:r>
            </w:hyperlink>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center"/>
              <w:rPr/>
            </w:pPr>
            <w:r>
              <w:rPr/>
              <w:t> </w:t>
            </w:r>
          </w:p>
        </w:tc>
      </w:tr>
      <w:tr>
        <w:trPr/>
        <w:tc>
          <w:tcPr>
            <w:tcW w:w="872" w:type="dxa"/>
            <w:tcBorders/>
            <w:shd w:fill="CCEEFF" w:val="clear"/>
            <w:vAlign w:val="center"/>
          </w:tcPr>
          <w:p>
            <w:pPr>
              <w:pStyle w:val="TableContents"/>
              <w:bidi w:val="0"/>
              <w:spacing w:before="0" w:after="283"/>
              <w:jc w:val="left"/>
              <w:rPr/>
            </w:pPr>
            <w:r>
              <w:rPr/>
              <w:t>24.1**</w:t>
            </w:r>
          </w:p>
        </w:tc>
        <w:tc>
          <w:tcPr>
            <w:tcW w:w="60" w:type="dxa"/>
            <w:tcBorders/>
            <w:shd w:fill="CCEEFF" w:val="clear"/>
            <w:vAlign w:val="center"/>
          </w:tcPr>
          <w:p>
            <w:pPr>
              <w:pStyle w:val="TableContents"/>
              <w:bidi w:val="0"/>
              <w:spacing w:before="0" w:after="283"/>
              <w:jc w:val="left"/>
              <w:rPr/>
            </w:pPr>
            <w:r>
              <w:rPr/>
              <w:t> </w:t>
            </w:r>
          </w:p>
        </w:tc>
        <w:tc>
          <w:tcPr>
            <w:tcW w:w="6393" w:type="dxa"/>
            <w:tcBorders/>
            <w:shd w:fill="CCEEFF" w:val="clear"/>
            <w:vAlign w:val="center"/>
          </w:tcPr>
          <w:p>
            <w:pPr>
              <w:pStyle w:val="TableContents"/>
              <w:bidi w:val="0"/>
              <w:spacing w:before="0" w:after="283"/>
              <w:jc w:val="both"/>
              <w:rPr/>
            </w:pPr>
            <w:hyperlink w:anchor="a_018">
              <w:r>
                <w:rPr>
                  <w:rStyle w:val="InternetLink"/>
                </w:rPr>
                <w:t>Power of Attorney (included on the signature page)</w:t>
              </w:r>
            </w:hyperlink>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center"/>
              <w:rPr/>
            </w:pPr>
            <w:r>
              <w:rPr/>
              <w:t> </w:t>
            </w:r>
          </w:p>
        </w:tc>
      </w:tr>
      <w:tr>
        <w:trPr/>
        <w:tc>
          <w:tcPr>
            <w:tcW w:w="872" w:type="dxa"/>
            <w:tcBorders/>
            <w:shd w:fill="FFFFFF" w:val="clear"/>
            <w:vAlign w:val="center"/>
          </w:tcPr>
          <w:p>
            <w:pPr>
              <w:pStyle w:val="TableContents"/>
              <w:bidi w:val="0"/>
              <w:spacing w:before="0" w:after="283"/>
              <w:jc w:val="left"/>
              <w:rPr/>
            </w:pPr>
            <w:r>
              <w:rPr/>
              <w:t>25.1*</w:t>
            </w:r>
          </w:p>
        </w:tc>
        <w:tc>
          <w:tcPr>
            <w:tcW w:w="60" w:type="dxa"/>
            <w:tcBorders/>
            <w:shd w:fill="FFFFFF" w:val="clear"/>
            <w:vAlign w:val="center"/>
          </w:tcPr>
          <w:p>
            <w:pPr>
              <w:pStyle w:val="TableContents"/>
              <w:bidi w:val="0"/>
              <w:spacing w:before="0" w:after="283"/>
              <w:jc w:val="left"/>
              <w:rPr/>
            </w:pPr>
            <w:r>
              <w:rPr/>
              <w:t> </w:t>
            </w:r>
          </w:p>
        </w:tc>
        <w:tc>
          <w:tcPr>
            <w:tcW w:w="6393" w:type="dxa"/>
            <w:tcBorders/>
            <w:shd w:fill="FFFFFF" w:val="clear"/>
            <w:vAlign w:val="center"/>
          </w:tcPr>
          <w:p>
            <w:pPr>
              <w:pStyle w:val="TableContents"/>
              <w:bidi w:val="0"/>
              <w:spacing w:before="0" w:after="283"/>
              <w:jc w:val="both"/>
              <w:rPr/>
            </w:pPr>
            <w:r>
              <w:rPr/>
              <w:t>Statement of Eligibility of Trustee under the Indenture (to be filed separately under the electronic form type 305B2, if applicable)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center"/>
              <w:rPr/>
            </w:pPr>
            <w:r>
              <w:rPr/>
              <w:t> </w:t>
            </w:r>
          </w:p>
        </w:tc>
      </w:tr>
      <w:tr>
        <w:trPr/>
        <w:tc>
          <w:tcPr>
            <w:tcW w:w="872" w:type="dxa"/>
            <w:tcBorders/>
            <w:shd w:fill="CCEEFF" w:val="clear"/>
            <w:vAlign w:val="center"/>
          </w:tcPr>
          <w:p>
            <w:pPr>
              <w:pStyle w:val="TableContents"/>
              <w:bidi w:val="0"/>
              <w:spacing w:before="0" w:after="283"/>
              <w:jc w:val="left"/>
              <w:rPr/>
            </w:pPr>
            <w:r>
              <w:rPr/>
              <w:t>107**</w:t>
            </w:r>
          </w:p>
        </w:tc>
        <w:tc>
          <w:tcPr>
            <w:tcW w:w="60" w:type="dxa"/>
            <w:tcBorders/>
            <w:shd w:fill="CCEEFF" w:val="clear"/>
            <w:vAlign w:val="center"/>
          </w:tcPr>
          <w:p>
            <w:pPr>
              <w:pStyle w:val="TableContents"/>
              <w:bidi w:val="0"/>
              <w:spacing w:before="0" w:after="283"/>
              <w:jc w:val="left"/>
              <w:rPr/>
            </w:pPr>
            <w:r>
              <w:rPr/>
              <w:t> </w:t>
            </w:r>
          </w:p>
        </w:tc>
        <w:tc>
          <w:tcPr>
            <w:tcW w:w="6393" w:type="dxa"/>
            <w:tcBorders/>
            <w:shd w:fill="CCEEFF" w:val="clear"/>
            <w:vAlign w:val="center"/>
          </w:tcPr>
          <w:p>
            <w:pPr>
              <w:pStyle w:val="TableContents"/>
              <w:bidi w:val="0"/>
              <w:spacing w:before="0" w:after="283"/>
              <w:jc w:val="both"/>
              <w:rPr/>
            </w:pPr>
            <w:hyperlink w:anchor="ea030073701ex-fee.htm">
              <w:r>
                <w:rPr>
                  <w:rStyle w:val="InternetLink"/>
                </w:rPr>
                <w:t>Calculation of Filing Fee Table</w:t>
              </w:r>
            </w:hyperlink>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center"/>
              <w:rPr/>
            </w:pPr>
            <w:r>
              <w:rPr/>
              <w:t> </w:t>
            </w:r>
          </w:p>
        </w:tc>
      </w:tr>
    </w:tbl>
    <w:p>
      <w:pPr>
        <w:pStyle w:val="TextBody"/>
        <w:bidi w:val="0"/>
        <w:spacing w:before="0" w:after="0"/>
        <w:jc w:val="left"/>
        <w:rPr>
          <w:smallCaps/>
        </w:rPr>
      </w:pPr>
      <w:r>
        <w:rPr>
          <w:smallCaps/>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pPr>
            <w:r>
              <w:rPr/>
              <w:t>*</w:t>
            </w:r>
          </w:p>
        </w:tc>
        <w:tc>
          <w:tcPr>
            <w:tcW w:w="10050" w:type="dxa"/>
            <w:tcBorders/>
            <w:vAlign w:val="center"/>
          </w:tcPr>
          <w:p>
            <w:pPr>
              <w:pStyle w:val="TableContents"/>
              <w:bidi w:val="0"/>
              <w:spacing w:before="0" w:after="283"/>
              <w:jc w:val="both"/>
              <w:rPr/>
            </w:pPr>
            <w:r>
              <w:rPr/>
              <w:t>To be filed by an amendment or as an exhibit to a document to be incorporated by reference into this registration statement.</w:t>
            </w:r>
          </w:p>
        </w:tc>
      </w:tr>
      <w:tr>
        <w:trPr/>
        <w:tc>
          <w:tcPr>
            <w:tcW w:w="155" w:type="dxa"/>
            <w:tcBorders/>
            <w:vAlign w:val="center"/>
          </w:tcPr>
          <w:p>
            <w:pPr>
              <w:pStyle w:val="TableContents"/>
              <w:bidi w:val="0"/>
              <w:spacing w:before="0" w:after="283"/>
              <w:jc w:val="both"/>
              <w:rPr/>
            </w:pPr>
            <w:r>
              <w:rPr/>
              <w:t> </w:t>
            </w:r>
          </w:p>
        </w:tc>
        <w:tc>
          <w:tcPr>
            <w:tcW w:w="10050" w:type="dxa"/>
            <w:tcBorders/>
            <w:vAlign w:val="center"/>
          </w:tcPr>
          <w:p>
            <w:pPr>
              <w:pStyle w:val="TableContents"/>
              <w:bidi w:val="0"/>
              <w:spacing w:before="0" w:after="283"/>
              <w:jc w:val="both"/>
              <w:rPr/>
            </w:pPr>
            <w:r>
              <w:rPr/>
              <w:t> </w:t>
            </w:r>
          </w:p>
        </w:tc>
      </w:tr>
    </w:tbl>
    <w:tbl>
      <w:tblPr>
        <w:tblW w:w="1675" w:type="dxa"/>
        <w:jc w:val="left"/>
        <w:tblInd w:w="0" w:type="dxa"/>
        <w:tblLayout w:type="fixed"/>
        <w:tblCellMar>
          <w:top w:w="0" w:type="dxa"/>
          <w:left w:w="0" w:type="dxa"/>
          <w:bottom w:w="0" w:type="dxa"/>
          <w:right w:w="0" w:type="dxa"/>
        </w:tblCellMar>
      </w:tblPr>
      <w:tblGrid>
        <w:gridCol w:w="275"/>
        <w:gridCol w:w="1400"/>
      </w:tblGrid>
      <w:tr>
        <w:trPr/>
        <w:tc>
          <w:tcPr>
            <w:tcW w:w="275" w:type="dxa"/>
            <w:tcBorders/>
            <w:vAlign w:val="center"/>
          </w:tcPr>
          <w:p>
            <w:pPr>
              <w:pStyle w:val="TableContents"/>
              <w:bidi w:val="0"/>
              <w:spacing w:before="0" w:after="283"/>
              <w:jc w:val="both"/>
              <w:rPr/>
            </w:pPr>
            <w:r>
              <w:rPr/>
              <w:t>**</w:t>
            </w:r>
          </w:p>
        </w:tc>
        <w:tc>
          <w:tcPr>
            <w:tcW w:w="1400" w:type="dxa"/>
            <w:tcBorders/>
            <w:vAlign w:val="center"/>
          </w:tcPr>
          <w:p>
            <w:pPr>
              <w:pStyle w:val="TableContents"/>
              <w:bidi w:val="0"/>
              <w:spacing w:before="0" w:after="283"/>
              <w:jc w:val="both"/>
              <w:rPr/>
            </w:pPr>
            <w:r>
              <w:rPr/>
              <w:t>Filed herewith</w:t>
            </w:r>
          </w:p>
        </w:tc>
      </w:tr>
      <w:tr>
        <w:trPr/>
        <w:tc>
          <w:tcPr>
            <w:tcW w:w="275" w:type="dxa"/>
            <w:tcBorders/>
            <w:vAlign w:val="center"/>
          </w:tcPr>
          <w:p>
            <w:pPr>
              <w:pStyle w:val="TableContents"/>
              <w:bidi w:val="0"/>
              <w:spacing w:before="0" w:after="283"/>
              <w:jc w:val="both"/>
              <w:rPr/>
            </w:pPr>
            <w:r>
              <w:rPr/>
              <w:t> </w:t>
            </w:r>
          </w:p>
        </w:tc>
        <w:tc>
          <w:tcPr>
            <w:tcW w:w="140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pPr>
            <w:r>
              <w:rPr/>
              <w:t>†</w:t>
            </w:r>
          </w:p>
        </w:tc>
        <w:tc>
          <w:tcPr>
            <w:tcW w:w="10050" w:type="dxa"/>
            <w:tcBorders/>
            <w:vAlign w:val="center"/>
          </w:tcPr>
          <w:p>
            <w:pPr>
              <w:pStyle w:val="TableContents"/>
              <w:bidi w:val="0"/>
              <w:spacing w:before="0" w:after="283"/>
              <w:jc w:val="both"/>
              <w:rPr/>
            </w:pPr>
            <w:r>
              <w:rPr/>
              <w:t>Schedules and certain portions of the exhibits omitted pursuant to Item 601(b)(2) of Regulation S-K. The Company agrees to furnish supplementally a copy of such schedules, or any section thereof, to the SEC upon request.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20" w:name="a_018"/>
      <w:bookmarkEnd w:id="20"/>
      <w:r>
        <w:rPr>
          <w:rFonts w:ascii="Times New Roman;Times;Serif" w:hAnsi="Times New Roman;Times;Serif"/>
          <w:b/>
          <w:i w:val="false"/>
          <w:smallCaps/>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the city of Singapore, on August 10, 2026.</w:t>
      </w:r>
    </w:p>
    <w:p>
      <w:pPr>
        <w:pStyle w:val="TextBody"/>
        <w:bidi w:val="0"/>
        <w:spacing w:before="0" w:after="0"/>
        <w:jc w:val="left"/>
        <w:rPr>
          <w:caps w:val="false"/>
          <w:smallCaps w:val="false"/>
        </w:rPr>
      </w:pPr>
      <w:r>
        <w:rPr>
          <w:caps w:val="false"/>
          <w:smallCaps w:val="false"/>
        </w:rPr>
        <w:t> </w:t>
      </w:r>
    </w:p>
    <w:tbl>
      <w:tblPr>
        <w:tblW w:w="6090" w:type="dxa"/>
        <w:jc w:val="left"/>
        <w:tblInd w:w="0" w:type="dxa"/>
        <w:tblLayout w:type="fixed"/>
        <w:tblCellMar>
          <w:top w:w="0" w:type="dxa"/>
          <w:left w:w="0" w:type="dxa"/>
          <w:bottom w:w="0" w:type="dxa"/>
          <w:right w:w="0" w:type="dxa"/>
        </w:tblCellMar>
      </w:tblPr>
      <w:tblGrid>
        <w:gridCol w:w="75"/>
        <w:gridCol w:w="365"/>
        <w:gridCol w:w="710"/>
        <w:gridCol w:w="4940"/>
      </w:tblGrid>
      <w:tr>
        <w:trPr/>
        <w:tc>
          <w:tcPr>
            <w:tcW w:w="75" w:type="dxa"/>
            <w:tcBorders/>
            <w:vAlign w:val="center"/>
          </w:tcPr>
          <w:p>
            <w:pPr>
              <w:pStyle w:val="TableContents"/>
              <w:bidi w:val="0"/>
              <w:spacing w:before="0" w:after="283"/>
              <w:jc w:val="left"/>
              <w:rPr/>
            </w:pPr>
            <w:r>
              <w:rPr/>
              <w:t> </w:t>
            </w:r>
          </w:p>
        </w:tc>
        <w:tc>
          <w:tcPr>
            <w:tcW w:w="6015" w:type="dxa"/>
            <w:gridSpan w:val="3"/>
            <w:tcBorders/>
            <w:vAlign w:val="center"/>
          </w:tcPr>
          <w:p>
            <w:pPr>
              <w:pStyle w:val="TableContents"/>
              <w:bidi w:val="0"/>
              <w:spacing w:before="0" w:after="283"/>
              <w:jc w:val="left"/>
              <w:rPr>
                <w:b/>
              </w:rPr>
            </w:pPr>
            <w:r>
              <w:rPr>
                <w:b/>
              </w:rPr>
              <w:t>Bitdeer Technologies Group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650" w:type="dxa"/>
            <w:gridSpan w:val="2"/>
            <w:tcBorders>
              <w:bottom w:val="single" w:sz="12" w:space="0" w:color="000000"/>
            </w:tcBorders>
            <w:tcMar>
              <w:bottom w:w="28" w:type="dxa"/>
            </w:tcMar>
            <w:vAlign w:val="center"/>
          </w:tcPr>
          <w:p>
            <w:pPr>
              <w:pStyle w:val="TableContents"/>
              <w:bidi w:val="0"/>
              <w:spacing w:before="0" w:after="283"/>
              <w:jc w:val="left"/>
              <w:rPr/>
            </w:pPr>
            <w:r>
              <w:rPr/>
              <w:t>/s/ Jihan Wu</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4940" w:type="dxa"/>
            <w:tcBorders/>
            <w:vAlign w:val="center"/>
          </w:tcPr>
          <w:p>
            <w:pPr>
              <w:pStyle w:val="TableContents"/>
              <w:bidi w:val="0"/>
              <w:spacing w:before="0" w:after="283"/>
              <w:jc w:val="left"/>
              <w:rPr/>
            </w:pPr>
            <w:r>
              <w:rPr/>
              <w:t>Jihan Wu</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4940" w:type="dxa"/>
            <w:tcBorders/>
            <w:vAlign w:val="center"/>
          </w:tcPr>
          <w:p>
            <w:pPr>
              <w:pStyle w:val="TableContents"/>
              <w:bidi w:val="0"/>
              <w:spacing w:before="0" w:after="283"/>
              <w:jc w:val="left"/>
              <w:rPr/>
            </w:pPr>
            <w:r>
              <w:rPr/>
              <w:t>Chairman of the Board and 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POWER OF ATTORNEY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of the undersigned constitutes and appoints Jihan Wu,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sign any registration statement for the same offerings covered by this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attorney-in-fact and agent, or his or her substitutes or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indicated below on August 10, 2026.</w:t>
      </w:r>
    </w:p>
    <w:p>
      <w:pPr>
        <w:pStyle w:val="TextBody"/>
        <w:bidi w:val="0"/>
        <w:spacing w:before="0" w:after="0"/>
        <w:ind w:left="0" w:right="0" w:firstLine="720"/>
        <w:jc w:val="both"/>
        <w:rPr>
          <w:caps w:val="false"/>
          <w:smallCaps w:val="false"/>
        </w:rPr>
      </w:pPr>
      <w:r>
        <w:rPr>
          <w:caps w:val="false"/>
          <w:smallCaps w:val="false"/>
        </w:rPr>
        <w:t> </w:t>
      </w:r>
    </w:p>
    <w:tbl>
      <w:tblPr>
        <w:tblW w:w="9085" w:type="dxa"/>
        <w:jc w:val="left"/>
        <w:tblInd w:w="0" w:type="dxa"/>
        <w:tblLayout w:type="fixed"/>
        <w:tblCellMar>
          <w:top w:w="0" w:type="dxa"/>
          <w:left w:w="0" w:type="dxa"/>
          <w:bottom w:w="28" w:type="dxa"/>
          <w:right w:w="0" w:type="dxa"/>
        </w:tblCellMar>
      </w:tblPr>
      <w:tblGrid>
        <w:gridCol w:w="3110"/>
        <w:gridCol w:w="60"/>
        <w:gridCol w:w="5915"/>
      </w:tblGrid>
      <w:tr>
        <w:trPr/>
        <w:tc>
          <w:tcPr>
            <w:tcW w:w="3110" w:type="dxa"/>
            <w:tcBorders>
              <w:bottom w:val="single" w:sz="12" w:space="0" w:color="000000"/>
            </w:tcBorders>
            <w:vAlign w:val="center"/>
          </w:tcPr>
          <w:p>
            <w:pPr>
              <w:pStyle w:val="TableContents"/>
              <w:bidi w:val="0"/>
              <w:spacing w:before="0" w:after="283"/>
              <w:jc w:val="center"/>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5915" w:type="dxa"/>
            <w:tcBorders>
              <w:bottom w:val="single" w:sz="12" w:space="0" w:color="000000"/>
            </w:tcBorders>
            <w:vAlign w:val="center"/>
          </w:tcPr>
          <w:p>
            <w:pPr>
              <w:pStyle w:val="TableContents"/>
              <w:bidi w:val="0"/>
              <w:spacing w:before="0" w:after="283"/>
              <w:jc w:val="center"/>
              <w:rPr>
                <w:b/>
              </w:rPr>
            </w:pPr>
            <w:r>
              <w:rPr>
                <w:b/>
              </w:rPr>
              <w:t>Title</w:t>
            </w:r>
          </w:p>
        </w:tc>
      </w:tr>
      <w:tr>
        <w:trPr/>
        <w:tc>
          <w:tcPr>
            <w:tcW w:w="3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 </w:t>
            </w:r>
          </w:p>
        </w:tc>
      </w:tr>
      <w:tr>
        <w:trPr/>
        <w:tc>
          <w:tcPr>
            <w:tcW w:w="3110" w:type="dxa"/>
            <w:tcBorders>
              <w:bottom w:val="single" w:sz="12" w:space="0" w:color="000000"/>
            </w:tcBorders>
            <w:vAlign w:val="center"/>
          </w:tcPr>
          <w:p>
            <w:pPr>
              <w:pStyle w:val="TableContents"/>
              <w:bidi w:val="0"/>
              <w:spacing w:before="0" w:after="283"/>
              <w:jc w:val="center"/>
              <w:rPr/>
            </w:pPr>
            <w:r>
              <w:rPr/>
              <w:t>/s/ Jihan Wu</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Chairman of the Board and Chief Executive Officer</w:t>
            </w:r>
          </w:p>
        </w:tc>
      </w:tr>
      <w:tr>
        <w:trPr/>
        <w:tc>
          <w:tcPr>
            <w:tcW w:w="3110" w:type="dxa"/>
            <w:tcBorders/>
            <w:tcMar>
              <w:bottom w:w="0" w:type="dxa"/>
            </w:tcMar>
            <w:vAlign w:val="center"/>
          </w:tcPr>
          <w:p>
            <w:pPr>
              <w:pStyle w:val="TableContents"/>
              <w:bidi w:val="0"/>
              <w:spacing w:before="0" w:after="283"/>
              <w:jc w:val="center"/>
              <w:rPr/>
            </w:pPr>
            <w:r>
              <w:rPr/>
              <w:t>Jihan Wu</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(Principal Executive Officer)</w:t>
            </w:r>
          </w:p>
        </w:tc>
      </w:tr>
      <w:tr>
        <w:trPr/>
        <w:tc>
          <w:tcPr>
            <w:tcW w:w="3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 </w:t>
            </w:r>
          </w:p>
        </w:tc>
      </w:tr>
      <w:tr>
        <w:trPr/>
        <w:tc>
          <w:tcPr>
            <w:tcW w:w="3110" w:type="dxa"/>
            <w:tcBorders>
              <w:bottom w:val="single" w:sz="12" w:space="0" w:color="000000"/>
            </w:tcBorders>
            <w:vAlign w:val="center"/>
          </w:tcPr>
          <w:p>
            <w:pPr>
              <w:pStyle w:val="TableContents"/>
              <w:bidi w:val="0"/>
              <w:spacing w:before="0" w:after="283"/>
              <w:jc w:val="center"/>
              <w:rPr/>
            </w:pPr>
            <w:r>
              <w:rPr/>
              <w:t>/s/ Michael G. Potter</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Chief Financial Officer</w:t>
            </w:r>
          </w:p>
        </w:tc>
      </w:tr>
      <w:tr>
        <w:trPr/>
        <w:tc>
          <w:tcPr>
            <w:tcW w:w="3110" w:type="dxa"/>
            <w:tcBorders/>
            <w:tcMar>
              <w:bottom w:w="0" w:type="dxa"/>
            </w:tcMar>
            <w:vAlign w:val="center"/>
          </w:tcPr>
          <w:p>
            <w:pPr>
              <w:pStyle w:val="TableContents"/>
              <w:bidi w:val="0"/>
              <w:spacing w:before="0" w:after="283"/>
              <w:jc w:val="center"/>
              <w:rPr/>
            </w:pPr>
            <w:r>
              <w:rPr/>
              <w:t>Michael G. Potter</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(Principal Financial and Accounting Officer)</w:t>
            </w:r>
          </w:p>
        </w:tc>
      </w:tr>
      <w:tr>
        <w:trPr/>
        <w:tc>
          <w:tcPr>
            <w:tcW w:w="3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 </w:t>
            </w:r>
          </w:p>
        </w:tc>
      </w:tr>
      <w:tr>
        <w:trPr/>
        <w:tc>
          <w:tcPr>
            <w:tcW w:w="3110" w:type="dxa"/>
            <w:tcBorders>
              <w:bottom w:val="single" w:sz="12" w:space="0" w:color="000000"/>
            </w:tcBorders>
            <w:vAlign w:val="center"/>
          </w:tcPr>
          <w:p>
            <w:pPr>
              <w:pStyle w:val="TableContents"/>
              <w:bidi w:val="0"/>
              <w:spacing w:before="0" w:after="283"/>
              <w:jc w:val="center"/>
              <w:rPr/>
            </w:pPr>
            <w:r>
              <w:rPr/>
              <w:t>/s/ Yeow Beng Lim</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Director</w:t>
            </w:r>
          </w:p>
        </w:tc>
      </w:tr>
      <w:tr>
        <w:trPr/>
        <w:tc>
          <w:tcPr>
            <w:tcW w:w="3110" w:type="dxa"/>
            <w:tcBorders/>
            <w:tcMar>
              <w:bottom w:w="0" w:type="dxa"/>
            </w:tcMar>
            <w:vAlign w:val="center"/>
          </w:tcPr>
          <w:p>
            <w:pPr>
              <w:pStyle w:val="TableContents"/>
              <w:bidi w:val="0"/>
              <w:spacing w:before="0" w:after="283"/>
              <w:jc w:val="center"/>
              <w:rPr/>
            </w:pPr>
            <w:r>
              <w:rPr/>
              <w:t>Yeow Beng Lim</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 </w:t>
            </w:r>
          </w:p>
        </w:tc>
      </w:tr>
      <w:tr>
        <w:trPr/>
        <w:tc>
          <w:tcPr>
            <w:tcW w:w="3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 </w:t>
            </w:r>
          </w:p>
        </w:tc>
      </w:tr>
      <w:tr>
        <w:trPr/>
        <w:tc>
          <w:tcPr>
            <w:tcW w:w="3110" w:type="dxa"/>
            <w:tcBorders>
              <w:bottom w:val="single" w:sz="12" w:space="0" w:color="000000"/>
            </w:tcBorders>
            <w:vAlign w:val="center"/>
          </w:tcPr>
          <w:p>
            <w:pPr>
              <w:pStyle w:val="TableContents"/>
              <w:bidi w:val="0"/>
              <w:spacing w:before="0" w:after="283"/>
              <w:jc w:val="center"/>
              <w:rPr/>
            </w:pPr>
            <w:r>
              <w:rPr/>
              <w:t>/s/ Sheldon Trainor-DeGirolamo</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Director</w:t>
            </w:r>
          </w:p>
        </w:tc>
      </w:tr>
      <w:tr>
        <w:trPr/>
        <w:tc>
          <w:tcPr>
            <w:tcW w:w="3110" w:type="dxa"/>
            <w:tcBorders/>
            <w:tcMar>
              <w:bottom w:w="0" w:type="dxa"/>
            </w:tcMar>
            <w:vAlign w:val="center"/>
          </w:tcPr>
          <w:p>
            <w:pPr>
              <w:pStyle w:val="TableContents"/>
              <w:bidi w:val="0"/>
              <w:spacing w:before="0" w:after="283"/>
              <w:jc w:val="center"/>
              <w:rPr/>
            </w:pPr>
            <w:r>
              <w:rPr/>
              <w:t>Sheldon Trainor-DeGirolamo</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 </w:t>
            </w:r>
          </w:p>
        </w:tc>
      </w:tr>
      <w:tr>
        <w:trPr/>
        <w:tc>
          <w:tcPr>
            <w:tcW w:w="3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 </w:t>
            </w:r>
          </w:p>
        </w:tc>
      </w:tr>
      <w:tr>
        <w:trPr/>
        <w:tc>
          <w:tcPr>
            <w:tcW w:w="3110" w:type="dxa"/>
            <w:tcBorders>
              <w:bottom w:val="single" w:sz="12" w:space="0" w:color="000000"/>
            </w:tcBorders>
            <w:vAlign w:val="center"/>
          </w:tcPr>
          <w:p>
            <w:pPr>
              <w:pStyle w:val="TableContents"/>
              <w:bidi w:val="0"/>
              <w:spacing w:before="0" w:after="283"/>
              <w:jc w:val="center"/>
              <w:rPr/>
            </w:pPr>
            <w:r>
              <w:rPr/>
              <w:t>/s/ Guang Yang</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Director</w:t>
            </w:r>
          </w:p>
        </w:tc>
      </w:tr>
      <w:tr>
        <w:trPr/>
        <w:tc>
          <w:tcPr>
            <w:tcW w:w="3110" w:type="dxa"/>
            <w:tcBorders/>
            <w:tcMar>
              <w:bottom w:w="0" w:type="dxa"/>
            </w:tcMar>
            <w:vAlign w:val="center"/>
          </w:tcPr>
          <w:p>
            <w:pPr>
              <w:pStyle w:val="TableContents"/>
              <w:bidi w:val="0"/>
              <w:spacing w:before="0" w:after="283"/>
              <w:jc w:val="center"/>
              <w:rPr/>
            </w:pPr>
            <w:r>
              <w:rPr/>
              <w:t>Guang Yang</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 </w:t>
            </w:r>
          </w:p>
        </w:tc>
      </w:tr>
      <w:tr>
        <w:trPr/>
        <w:tc>
          <w:tcPr>
            <w:tcW w:w="3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 </w:t>
            </w:r>
          </w:p>
        </w:tc>
      </w:tr>
      <w:tr>
        <w:trPr/>
        <w:tc>
          <w:tcPr>
            <w:tcW w:w="3110" w:type="dxa"/>
            <w:tcBorders>
              <w:bottom w:val="single" w:sz="12" w:space="0" w:color="000000"/>
            </w:tcBorders>
            <w:vAlign w:val="center"/>
          </w:tcPr>
          <w:p>
            <w:pPr>
              <w:pStyle w:val="TableContents"/>
              <w:bidi w:val="0"/>
              <w:spacing w:before="0" w:after="283"/>
              <w:jc w:val="center"/>
              <w:rPr/>
            </w:pPr>
            <w:r>
              <w:rPr/>
              <w:t>/s/ Naphat Sirimongkolkasem</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Director</w:t>
            </w:r>
          </w:p>
        </w:tc>
      </w:tr>
      <w:tr>
        <w:trPr/>
        <w:tc>
          <w:tcPr>
            <w:tcW w:w="3110" w:type="dxa"/>
            <w:tcBorders/>
            <w:tcMar>
              <w:bottom w:w="0" w:type="dxa"/>
            </w:tcMar>
            <w:vAlign w:val="center"/>
          </w:tcPr>
          <w:p>
            <w:pPr>
              <w:pStyle w:val="TableContents"/>
              <w:bidi w:val="0"/>
              <w:spacing w:before="0" w:after="283"/>
              <w:jc w:val="center"/>
              <w:rPr/>
            </w:pPr>
            <w:r>
              <w:rPr/>
              <w:t>Naphat Sirimongkolkasem</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 </w:t>
            </w:r>
          </w:p>
        </w:tc>
      </w:tr>
      <w:tr>
        <w:trPr/>
        <w:tc>
          <w:tcPr>
            <w:tcW w:w="3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 </w:t>
            </w:r>
          </w:p>
        </w:tc>
      </w:tr>
      <w:tr>
        <w:trPr/>
        <w:tc>
          <w:tcPr>
            <w:tcW w:w="3110" w:type="dxa"/>
            <w:tcBorders>
              <w:bottom w:val="single" w:sz="12" w:space="0" w:color="000000"/>
            </w:tcBorders>
            <w:vAlign w:val="center"/>
          </w:tcPr>
          <w:p>
            <w:pPr>
              <w:pStyle w:val="TableContents"/>
              <w:bidi w:val="0"/>
              <w:spacing w:before="0" w:after="283"/>
              <w:jc w:val="center"/>
              <w:rPr/>
            </w:pPr>
            <w:r>
              <w:rPr/>
              <w:t>/s/ Lars Eivind Haugnes Naas</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Director and Vice President of Global Data Center Operations</w:t>
            </w:r>
          </w:p>
        </w:tc>
      </w:tr>
      <w:tr>
        <w:trPr/>
        <w:tc>
          <w:tcPr>
            <w:tcW w:w="3110" w:type="dxa"/>
            <w:tcBorders/>
            <w:tcMar>
              <w:bottom w:w="0" w:type="dxa"/>
            </w:tcMar>
            <w:vAlign w:val="center"/>
          </w:tcPr>
          <w:p>
            <w:pPr>
              <w:pStyle w:val="TableContents"/>
              <w:bidi w:val="0"/>
              <w:spacing w:before="0" w:after="283"/>
              <w:jc w:val="center"/>
              <w:rPr/>
            </w:pPr>
            <w:r>
              <w:rPr/>
              <w:t>Lars Eivind Haugnes Naas</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 </w:t>
            </w:r>
          </w:p>
        </w:tc>
      </w:tr>
      <w:tr>
        <w:trPr/>
        <w:tc>
          <w:tcPr>
            <w:tcW w:w="3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91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jc w:val="left"/>
        <w:rPr>
          <w:smallCaps/>
        </w:rPr>
      </w:pPr>
      <w:r>
        <w:rPr>
          <w:small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jc w:val="left"/>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SIGNATURE OF AUTHORIZED REPRESENTATIVE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undersigned, the duly authorized representative in the United States of Bitdeer Technologies Group, has signed this registration statement in New York, New York on August 10, 2026.</w:t>
      </w:r>
    </w:p>
    <w:p>
      <w:pPr>
        <w:pStyle w:val="TextBody"/>
        <w:bidi w:val="0"/>
        <w:spacing w:before="0" w:after="0"/>
        <w:jc w:val="left"/>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75"/>
        <w:gridCol w:w="365"/>
        <w:gridCol w:w="710"/>
        <w:gridCol w:w="5330"/>
      </w:tblGrid>
      <w:tr>
        <w:trPr/>
        <w:tc>
          <w:tcPr>
            <w:tcW w:w="75" w:type="dxa"/>
            <w:tcBorders/>
            <w:vAlign w:val="center"/>
          </w:tcPr>
          <w:p>
            <w:pPr>
              <w:pStyle w:val="TableContents"/>
              <w:bidi w:val="0"/>
              <w:spacing w:before="0" w:after="283"/>
              <w:jc w:val="left"/>
              <w:rPr/>
            </w:pPr>
            <w:r>
              <w:rPr/>
              <w:t> </w:t>
            </w:r>
          </w:p>
        </w:tc>
        <w:tc>
          <w:tcPr>
            <w:tcW w:w="6405" w:type="dxa"/>
            <w:gridSpan w:val="3"/>
            <w:tcBorders/>
            <w:vAlign w:val="center"/>
          </w:tcPr>
          <w:p>
            <w:pPr>
              <w:pStyle w:val="TableContents"/>
              <w:bidi w:val="0"/>
              <w:spacing w:before="0" w:after="283"/>
              <w:jc w:val="left"/>
              <w:rPr>
                <w:b/>
              </w:rPr>
            </w:pPr>
            <w:r>
              <w:rPr>
                <w:b/>
              </w:rPr>
              <w:t>Authorized U.S. Representative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40" w:type="dxa"/>
            <w:gridSpan w:val="2"/>
            <w:tcBorders>
              <w:bottom w:val="single" w:sz="12" w:space="0" w:color="000000"/>
            </w:tcBorders>
            <w:tcMar>
              <w:bottom w:w="28" w:type="dxa"/>
            </w:tcMar>
            <w:vAlign w:val="center"/>
          </w:tcPr>
          <w:p>
            <w:pPr>
              <w:pStyle w:val="TableContents"/>
              <w:bidi w:val="0"/>
              <w:spacing w:before="0" w:after="283"/>
              <w:jc w:val="left"/>
              <w:rPr/>
            </w:pPr>
            <w:r>
              <w:rPr/>
              <w:t>/s/ Colleen A. De Vries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5330" w:type="dxa"/>
            <w:tcBorders/>
            <w:vAlign w:val="center"/>
          </w:tcPr>
          <w:p>
            <w:pPr>
              <w:pStyle w:val="TableContents"/>
              <w:bidi w:val="0"/>
              <w:spacing w:before="0" w:after="283"/>
              <w:jc w:val="left"/>
              <w:rPr/>
            </w:pPr>
            <w:r>
              <w:rPr/>
              <w:t>Colleen A. De Vries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5330" w:type="dxa"/>
            <w:tcBorders/>
            <w:vAlign w:val="center"/>
          </w:tcPr>
          <w:p>
            <w:pPr>
              <w:pStyle w:val="TableContents"/>
              <w:bidi w:val="0"/>
              <w:spacing w:before="0" w:after="283"/>
              <w:jc w:val="left"/>
              <w:rPr/>
            </w:pPr>
            <w:r>
              <w:rPr/>
              <w:t>Senior Vice President on behalf of Cogency Global Inc.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30073701ex4-3.htm"/>
      <w:bookmarkStart w:id="22" w:name="ksea030073701ex43"/>
      <w:bookmarkEnd w:id="21"/>
      <w:bookmarkEnd w:id="22"/>
      <w:r>
        <w:rPr>
          <w:rFonts w:ascii="Times New Roman;Times;Serif" w:hAnsi="Times New Roman;Times;Serif"/>
          <w:b/>
          <w:i w:val="false"/>
          <w:caps w:val="false"/>
          <w:smallCaps w:val="false"/>
          <w:sz w:val="20"/>
        </w:rPr>
        <w:t>Exhibit 4.3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BITDEER TECHNOLOGIES GROUP,</w:t>
        <w:br/>
        <w:t>Iss</w:t>
      </w:r>
      <w:r>
        <w:rPr>
          <w:rFonts w:ascii="Times New Roman;Times;Serif" w:hAnsi="Times New Roman;Times;Serif"/>
          <w:b w:val="false"/>
          <w:i w:val="false"/>
          <w:caps w:val="false"/>
          <w:smallCaps w:val="false"/>
          <w:sz w:val="20"/>
        </w:rPr>
        <w:t>u</w:t>
      </w:r>
      <w:r>
        <w:rPr>
          <w:rFonts w:ascii="Times New Roman;Times;Serif" w:hAnsi="Times New Roman;Times;Serif"/>
          <w:b/>
          <w:i w:val="false"/>
          <w:caps w:val="false"/>
          <w:smallCaps w:val="false"/>
          <w:sz w:val="20"/>
        </w:rPr>
        <w:t>er</w:t>
        <w:br/>
        <w:br/>
        <w:t>AND</w:t>
        <w:br/>
        <w:br/>
        <w:t>[TRUSTEE],</w:t>
        <w:b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br/>
        <w:br/>
        <w:t>Dated as of [●], 20[●]__</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4"/>
        <w:gridCol w:w="944"/>
        <w:gridCol w:w="216"/>
        <w:gridCol w:w="7774"/>
        <w:gridCol w:w="607"/>
      </w:tblGrid>
      <w:tr>
        <w:trPr/>
        <w:tc>
          <w:tcPr>
            <w:tcW w:w="664" w:type="dxa"/>
            <w:tcBorders/>
            <w:vAlign w:val="center"/>
          </w:tcPr>
          <w:p>
            <w:pPr>
              <w:pStyle w:val="TableContents"/>
              <w:bidi w:val="0"/>
              <w:spacing w:before="0" w:after="283"/>
              <w:jc w:val="left"/>
              <w:rPr>
                <w:caps/>
              </w:rPr>
            </w:pPr>
            <w:r>
              <w:rPr>
                <w:caps/>
              </w:rPr>
              <w:t> </w:t>
            </w:r>
          </w:p>
        </w:tc>
        <w:tc>
          <w:tcPr>
            <w:tcW w:w="944" w:type="dxa"/>
            <w:tcBorders/>
            <w:vAlign w:val="center"/>
          </w:tcPr>
          <w:p>
            <w:pPr>
              <w:pStyle w:val="TableContents"/>
              <w:bidi w:val="0"/>
              <w:spacing w:before="0" w:after="283"/>
              <w:jc w:val="left"/>
              <w:rPr>
                <w:caps/>
              </w:rPr>
            </w:pPr>
            <w:r>
              <w:rPr>
                <w:caps/>
              </w:rPr>
              <w:t> </w:t>
            </w:r>
          </w:p>
        </w:tc>
        <w:tc>
          <w:tcPr>
            <w:tcW w:w="216" w:type="dxa"/>
            <w:tcBorders/>
            <w:vAlign w:val="center"/>
          </w:tcPr>
          <w:p>
            <w:pPr>
              <w:pStyle w:val="TableContents"/>
              <w:bidi w:val="0"/>
              <w:spacing w:before="0" w:after="283"/>
              <w:jc w:val="left"/>
              <w:rPr/>
            </w:pPr>
            <w:r>
              <w:rPr/>
              <w:t> </w:t>
            </w:r>
          </w:p>
        </w:tc>
        <w:tc>
          <w:tcPr>
            <w:tcW w:w="7774" w:type="dxa"/>
            <w:tcBorders/>
            <w:vAlign w:val="center"/>
          </w:tcPr>
          <w:p>
            <w:pPr>
              <w:pStyle w:val="TableContents"/>
              <w:bidi w:val="0"/>
              <w:spacing w:before="0" w:after="283"/>
              <w:jc w:val="left"/>
              <w:rPr>
                <w:caps/>
              </w:rPr>
            </w:pPr>
            <w:r>
              <w:rPr>
                <w:caps/>
              </w:rPr>
              <w:t> </w:t>
            </w:r>
          </w:p>
        </w:tc>
        <w:tc>
          <w:tcPr>
            <w:tcW w:w="607" w:type="dxa"/>
            <w:tcBorders>
              <w:bottom w:val="single" w:sz="12" w:space="0" w:color="000000"/>
            </w:tcBorders>
            <w:tcMar>
              <w:bottom w:w="28" w:type="dxa"/>
            </w:tcMar>
            <w:vAlign w:val="center"/>
          </w:tcPr>
          <w:p>
            <w:pPr>
              <w:pStyle w:val="TableContents"/>
              <w:bidi w:val="0"/>
              <w:spacing w:before="0" w:after="283"/>
              <w:jc w:val="center"/>
              <w:rPr>
                <w:b/>
                <w:smallCaps/>
              </w:rPr>
            </w:pPr>
            <w:r>
              <w:rPr>
                <w:b/>
                <w:smallCaps/>
              </w:rPr>
              <w:t>Page</w:t>
            </w:r>
          </w:p>
        </w:tc>
      </w:tr>
      <w:tr>
        <w:trPr/>
        <w:tc>
          <w:tcPr>
            <w:tcW w:w="664" w:type="dxa"/>
            <w:tcBorders/>
            <w:vAlign w:val="center"/>
          </w:tcPr>
          <w:p>
            <w:pPr>
              <w:pStyle w:val="TableContents"/>
              <w:bidi w:val="0"/>
              <w:spacing w:before="0" w:after="283"/>
              <w:jc w:val="left"/>
              <w:rPr>
                <w:caps/>
              </w:rPr>
            </w:pPr>
            <w:r>
              <w:rPr>
                <w:caps/>
              </w:rPr>
              <w:t> </w:t>
            </w:r>
          </w:p>
        </w:tc>
        <w:tc>
          <w:tcPr>
            <w:tcW w:w="944" w:type="dxa"/>
            <w:tcBorders/>
            <w:vAlign w:val="center"/>
          </w:tcPr>
          <w:p>
            <w:pPr>
              <w:pStyle w:val="TableContents"/>
              <w:bidi w:val="0"/>
              <w:spacing w:before="0" w:after="283"/>
              <w:jc w:val="left"/>
              <w:rPr>
                <w:caps/>
              </w:rPr>
            </w:pPr>
            <w:r>
              <w:rPr>
                <w:caps/>
              </w:rPr>
              <w:t> </w:t>
            </w:r>
          </w:p>
        </w:tc>
        <w:tc>
          <w:tcPr>
            <w:tcW w:w="216" w:type="dxa"/>
            <w:tcBorders/>
            <w:vAlign w:val="center"/>
          </w:tcPr>
          <w:p>
            <w:pPr>
              <w:pStyle w:val="TableContents"/>
              <w:bidi w:val="0"/>
              <w:spacing w:before="0" w:after="283"/>
              <w:jc w:val="left"/>
              <w:rPr/>
            </w:pPr>
            <w:r>
              <w:rPr/>
              <w:t> </w:t>
            </w:r>
          </w:p>
        </w:tc>
        <w:tc>
          <w:tcPr>
            <w:tcW w:w="7774" w:type="dxa"/>
            <w:tcBorders/>
            <w:vAlign w:val="center"/>
          </w:tcPr>
          <w:p>
            <w:pPr>
              <w:pStyle w:val="TableContents"/>
              <w:bidi w:val="0"/>
              <w:spacing w:before="0" w:after="283"/>
              <w:jc w:val="left"/>
              <w:rPr>
                <w:caps/>
              </w:rPr>
            </w:pPr>
            <w:r>
              <w:rPr>
                <w:caps/>
              </w:rPr>
              <w:t> </w:t>
            </w:r>
          </w:p>
        </w:tc>
        <w:tc>
          <w:tcPr>
            <w:tcW w:w="607" w:type="dxa"/>
            <w:tcBorders/>
            <w:vAlign w:val="center"/>
          </w:tcPr>
          <w:p>
            <w:pPr>
              <w:pStyle w:val="TableContents"/>
              <w:bidi w:val="0"/>
              <w:spacing w:before="0" w:after="283"/>
              <w:jc w:val="center"/>
              <w:rPr>
                <w:caps/>
              </w:rPr>
            </w:pPr>
            <w:r>
              <w:rPr>
                <w:caps/>
              </w:rPr>
              <w:t> </w:t>
            </w:r>
          </w:p>
        </w:tc>
      </w:tr>
      <w:tr>
        <w:trPr/>
        <w:tc>
          <w:tcPr>
            <w:tcW w:w="1608" w:type="dxa"/>
            <w:gridSpan w:val="2"/>
            <w:tcBorders/>
            <w:shd w:fill="CCEEFF" w:val="clear"/>
            <w:vAlign w:val="center"/>
          </w:tcPr>
          <w:p>
            <w:pPr>
              <w:pStyle w:val="TableContents"/>
              <w:bidi w:val="0"/>
              <w:spacing w:before="0" w:after="283"/>
              <w:jc w:val="left"/>
              <w:rPr>
                <w:caps/>
              </w:rPr>
            </w:pPr>
            <w:r>
              <w:rPr>
                <w:caps/>
              </w:rPr>
              <w:t>article 1</w:t>
            </w:r>
          </w:p>
        </w:tc>
        <w:tc>
          <w:tcPr>
            <w:tcW w:w="7990" w:type="dxa"/>
            <w:gridSpan w:val="2"/>
            <w:tcBorders/>
            <w:shd w:fill="CCEEFF" w:val="clear"/>
            <w:vAlign w:val="center"/>
          </w:tcPr>
          <w:p>
            <w:pPr>
              <w:pStyle w:val="TableContents"/>
              <w:bidi w:val="0"/>
              <w:spacing w:before="0" w:after="283"/>
              <w:jc w:val="left"/>
              <w:rPr/>
            </w:pPr>
            <w:r>
              <w:rPr/>
              <w:t>DEFINITIONS</w:t>
            </w:r>
          </w:p>
        </w:tc>
        <w:tc>
          <w:tcPr>
            <w:tcW w:w="607" w:type="dxa"/>
            <w:tcBorders/>
            <w:shd w:fill="CCEEFF" w:val="clear"/>
            <w:vAlign w:val="center"/>
          </w:tcPr>
          <w:p>
            <w:pPr>
              <w:pStyle w:val="TableContents"/>
              <w:bidi w:val="0"/>
              <w:spacing w:before="0" w:after="283"/>
              <w:jc w:val="center"/>
              <w:rPr>
                <w:caps/>
              </w:rPr>
            </w:pPr>
            <w:r>
              <w:rPr>
                <w:caps/>
              </w:rPr>
              <w:t>1</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1.01</w:t>
            </w:r>
          </w:p>
        </w:tc>
        <w:tc>
          <w:tcPr>
            <w:tcW w:w="7774" w:type="dxa"/>
            <w:tcBorders/>
            <w:shd w:fill="CCEEFF" w:val="clear"/>
            <w:vAlign w:val="center"/>
          </w:tcPr>
          <w:p>
            <w:pPr>
              <w:pStyle w:val="TableContents"/>
              <w:bidi w:val="0"/>
              <w:spacing w:before="0" w:after="283"/>
              <w:jc w:val="left"/>
              <w:rPr/>
            </w:pPr>
            <w:r>
              <w:rPr/>
              <w:t>Definitions of Terms</w:t>
            </w:r>
          </w:p>
        </w:tc>
        <w:tc>
          <w:tcPr>
            <w:tcW w:w="607" w:type="dxa"/>
            <w:tcBorders/>
            <w:shd w:fill="CCEEFF" w:val="clear"/>
            <w:vAlign w:val="center"/>
          </w:tcPr>
          <w:p>
            <w:pPr>
              <w:pStyle w:val="TableContents"/>
              <w:bidi w:val="0"/>
              <w:spacing w:before="0" w:after="283"/>
              <w:jc w:val="center"/>
              <w:rPr/>
            </w:pPr>
            <w:r>
              <w:rPr/>
              <w:t>1</w:t>
            </w:r>
          </w:p>
        </w:tc>
      </w:tr>
      <w:tr>
        <w:trPr/>
        <w:tc>
          <w:tcPr>
            <w:tcW w:w="664" w:type="dxa"/>
            <w:tcBorders/>
            <w:shd w:fill="FFFFFF" w:val="clear"/>
            <w:vAlign w:val="center"/>
          </w:tcPr>
          <w:p>
            <w:pPr>
              <w:pStyle w:val="TableContents"/>
              <w:bidi w:val="0"/>
              <w:spacing w:before="0" w:after="283"/>
              <w:jc w:val="left"/>
              <w:rPr>
                <w:caps/>
              </w:rPr>
            </w:pPr>
            <w:r>
              <w:rPr>
                <w:caps/>
              </w:rPr>
              <w:t> </w:t>
            </w:r>
          </w:p>
        </w:tc>
        <w:tc>
          <w:tcPr>
            <w:tcW w:w="944" w:type="dxa"/>
            <w:tcBorders/>
            <w:shd w:fill="FFFFFF" w:val="clear"/>
            <w:vAlign w:val="center"/>
          </w:tcPr>
          <w:p>
            <w:pPr>
              <w:pStyle w:val="TableContents"/>
              <w:bidi w:val="0"/>
              <w:spacing w:before="0" w:after="283"/>
              <w:jc w:val="left"/>
              <w:rPr>
                <w:caps/>
              </w:rPr>
            </w:pPr>
            <w:r>
              <w:rPr>
                <w:caps/>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caps/>
              </w:rPr>
            </w:pPr>
            <w:r>
              <w:rPr>
                <w:caps/>
              </w:rPr>
              <w:t> </w:t>
            </w:r>
          </w:p>
        </w:tc>
        <w:tc>
          <w:tcPr>
            <w:tcW w:w="607" w:type="dxa"/>
            <w:tcBorders/>
            <w:shd w:fill="FFFFFF" w:val="clear"/>
            <w:vAlign w:val="center"/>
          </w:tcPr>
          <w:p>
            <w:pPr>
              <w:pStyle w:val="TableContents"/>
              <w:bidi w:val="0"/>
              <w:spacing w:before="0" w:after="283"/>
              <w:jc w:val="center"/>
              <w:rPr>
                <w:caps/>
              </w:rPr>
            </w:pPr>
            <w:r>
              <w:rPr>
                <w:caps/>
              </w:rPr>
              <w:t> </w:t>
            </w:r>
          </w:p>
        </w:tc>
      </w:tr>
      <w:tr>
        <w:trPr/>
        <w:tc>
          <w:tcPr>
            <w:tcW w:w="1608" w:type="dxa"/>
            <w:gridSpan w:val="2"/>
            <w:tcBorders/>
            <w:shd w:fill="CCEEFF" w:val="clear"/>
            <w:vAlign w:val="center"/>
          </w:tcPr>
          <w:p>
            <w:pPr>
              <w:pStyle w:val="TableContents"/>
              <w:bidi w:val="0"/>
              <w:spacing w:before="0" w:after="283"/>
              <w:ind w:left="0" w:right="0" w:hanging="180"/>
              <w:jc w:val="left"/>
              <w:rPr>
                <w:caps/>
              </w:rPr>
            </w:pPr>
            <w:r>
              <w:rPr>
                <w:caps/>
              </w:rPr>
              <w:t>article 2</w:t>
            </w:r>
          </w:p>
        </w:tc>
        <w:tc>
          <w:tcPr>
            <w:tcW w:w="7990" w:type="dxa"/>
            <w:gridSpan w:val="2"/>
            <w:tcBorders/>
            <w:shd w:fill="CCEEFF" w:val="clear"/>
            <w:vAlign w:val="center"/>
          </w:tcPr>
          <w:p>
            <w:pPr>
              <w:pStyle w:val="TableContents"/>
              <w:bidi w:val="0"/>
              <w:spacing w:before="0" w:after="283"/>
              <w:jc w:val="left"/>
              <w:rPr/>
            </w:pPr>
            <w:r>
              <w:rPr/>
              <w:t>ISSUE, DESCRIPTION, TERMS, EXECUTION, REGISTRATION AND EXCHANGE OF SECURITIES</w:t>
            </w:r>
          </w:p>
        </w:tc>
        <w:tc>
          <w:tcPr>
            <w:tcW w:w="607" w:type="dxa"/>
            <w:tcBorders/>
            <w:shd w:fill="CCEEFF" w:val="clear"/>
            <w:vAlign w:val="center"/>
          </w:tcPr>
          <w:p>
            <w:pPr>
              <w:pStyle w:val="TableContents"/>
              <w:bidi w:val="0"/>
              <w:spacing w:before="0" w:after="283"/>
              <w:jc w:val="center"/>
              <w:rPr>
                <w:caps/>
              </w:rPr>
            </w:pPr>
            <w:r>
              <w:rPr>
                <w:caps/>
              </w:rPr>
              <w:t>6</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2.01</w:t>
            </w:r>
          </w:p>
        </w:tc>
        <w:tc>
          <w:tcPr>
            <w:tcW w:w="7774" w:type="dxa"/>
            <w:tcBorders/>
            <w:shd w:fill="CCEEFF" w:val="clear"/>
            <w:vAlign w:val="center"/>
          </w:tcPr>
          <w:p>
            <w:pPr>
              <w:pStyle w:val="TableContents"/>
              <w:bidi w:val="0"/>
              <w:spacing w:before="0" w:after="283"/>
              <w:jc w:val="left"/>
              <w:rPr/>
            </w:pPr>
            <w:r>
              <w:rPr/>
              <w:t>Designation and Terms of Securities</w:t>
            </w:r>
          </w:p>
        </w:tc>
        <w:tc>
          <w:tcPr>
            <w:tcW w:w="607" w:type="dxa"/>
            <w:tcBorders/>
            <w:shd w:fill="CCEEFF" w:val="clear"/>
            <w:vAlign w:val="center"/>
          </w:tcPr>
          <w:p>
            <w:pPr>
              <w:pStyle w:val="TableContents"/>
              <w:bidi w:val="0"/>
              <w:spacing w:before="0" w:after="283"/>
              <w:jc w:val="center"/>
              <w:rPr/>
            </w:pPr>
            <w:r>
              <w:rPr/>
              <w:t>6</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2.02</w:t>
            </w:r>
          </w:p>
        </w:tc>
        <w:tc>
          <w:tcPr>
            <w:tcW w:w="7774" w:type="dxa"/>
            <w:tcBorders/>
            <w:shd w:fill="CCEEFF" w:val="clear"/>
            <w:vAlign w:val="center"/>
          </w:tcPr>
          <w:p>
            <w:pPr>
              <w:pStyle w:val="TableContents"/>
              <w:bidi w:val="0"/>
              <w:spacing w:before="0" w:after="283"/>
              <w:jc w:val="left"/>
              <w:rPr/>
            </w:pPr>
            <w:r>
              <w:rPr/>
              <w:t>Form of Securities and Trustee’s Certificate</w:t>
            </w:r>
          </w:p>
        </w:tc>
        <w:tc>
          <w:tcPr>
            <w:tcW w:w="607" w:type="dxa"/>
            <w:tcBorders/>
            <w:shd w:fill="CCEEFF" w:val="clear"/>
            <w:vAlign w:val="center"/>
          </w:tcPr>
          <w:p>
            <w:pPr>
              <w:pStyle w:val="TableContents"/>
              <w:bidi w:val="0"/>
              <w:spacing w:before="0" w:after="283"/>
              <w:jc w:val="center"/>
              <w:rPr/>
            </w:pPr>
            <w:r>
              <w:rPr/>
              <w:t>9</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2.03</w:t>
            </w:r>
          </w:p>
        </w:tc>
        <w:tc>
          <w:tcPr>
            <w:tcW w:w="7774" w:type="dxa"/>
            <w:tcBorders/>
            <w:shd w:fill="CCEEFF" w:val="clear"/>
            <w:vAlign w:val="center"/>
          </w:tcPr>
          <w:p>
            <w:pPr>
              <w:pStyle w:val="TableContents"/>
              <w:bidi w:val="0"/>
              <w:spacing w:before="0" w:after="283"/>
              <w:jc w:val="left"/>
              <w:rPr/>
            </w:pPr>
            <w:r>
              <w:rPr/>
              <w:t>Denominations: Provisions for Payment</w:t>
            </w:r>
          </w:p>
        </w:tc>
        <w:tc>
          <w:tcPr>
            <w:tcW w:w="607" w:type="dxa"/>
            <w:tcBorders/>
            <w:shd w:fill="CCEEFF" w:val="clear"/>
            <w:vAlign w:val="center"/>
          </w:tcPr>
          <w:p>
            <w:pPr>
              <w:pStyle w:val="TableContents"/>
              <w:bidi w:val="0"/>
              <w:spacing w:before="0" w:after="283"/>
              <w:jc w:val="center"/>
              <w:rPr/>
            </w:pPr>
            <w:r>
              <w:rPr/>
              <w:t>9</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2.04</w:t>
            </w:r>
          </w:p>
        </w:tc>
        <w:tc>
          <w:tcPr>
            <w:tcW w:w="7774" w:type="dxa"/>
            <w:tcBorders/>
            <w:shd w:fill="CCEEFF" w:val="clear"/>
            <w:vAlign w:val="center"/>
          </w:tcPr>
          <w:p>
            <w:pPr>
              <w:pStyle w:val="TableContents"/>
              <w:bidi w:val="0"/>
              <w:spacing w:before="0" w:after="283"/>
              <w:jc w:val="left"/>
              <w:rPr/>
            </w:pPr>
            <w:r>
              <w:rPr/>
              <w:t>Execution and Authentications</w:t>
            </w:r>
          </w:p>
        </w:tc>
        <w:tc>
          <w:tcPr>
            <w:tcW w:w="607" w:type="dxa"/>
            <w:tcBorders/>
            <w:shd w:fill="CCEEFF" w:val="clear"/>
            <w:vAlign w:val="center"/>
          </w:tcPr>
          <w:p>
            <w:pPr>
              <w:pStyle w:val="TableContents"/>
              <w:bidi w:val="0"/>
              <w:spacing w:before="0" w:after="283"/>
              <w:jc w:val="center"/>
              <w:rPr/>
            </w:pPr>
            <w:r>
              <w:rPr/>
              <w:t>11</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2.05</w:t>
            </w:r>
          </w:p>
        </w:tc>
        <w:tc>
          <w:tcPr>
            <w:tcW w:w="7774" w:type="dxa"/>
            <w:tcBorders/>
            <w:shd w:fill="CCEEFF" w:val="clear"/>
            <w:vAlign w:val="center"/>
          </w:tcPr>
          <w:p>
            <w:pPr>
              <w:pStyle w:val="TableContents"/>
              <w:bidi w:val="0"/>
              <w:spacing w:before="0" w:after="283"/>
              <w:jc w:val="left"/>
              <w:rPr/>
            </w:pPr>
            <w:r>
              <w:rPr/>
              <w:t>Registration of Transfer and Exchange</w:t>
            </w:r>
          </w:p>
        </w:tc>
        <w:tc>
          <w:tcPr>
            <w:tcW w:w="607" w:type="dxa"/>
            <w:tcBorders/>
            <w:shd w:fill="CCEEFF" w:val="clear"/>
            <w:vAlign w:val="center"/>
          </w:tcPr>
          <w:p>
            <w:pPr>
              <w:pStyle w:val="TableContents"/>
              <w:bidi w:val="0"/>
              <w:spacing w:before="0" w:after="283"/>
              <w:jc w:val="center"/>
              <w:rPr/>
            </w:pPr>
            <w:r>
              <w:rPr/>
              <w:t>12</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2.06</w:t>
            </w:r>
          </w:p>
        </w:tc>
        <w:tc>
          <w:tcPr>
            <w:tcW w:w="7774" w:type="dxa"/>
            <w:tcBorders/>
            <w:shd w:fill="CCEEFF" w:val="clear"/>
            <w:vAlign w:val="center"/>
          </w:tcPr>
          <w:p>
            <w:pPr>
              <w:pStyle w:val="TableContents"/>
              <w:bidi w:val="0"/>
              <w:spacing w:before="0" w:after="283"/>
              <w:jc w:val="left"/>
              <w:rPr/>
            </w:pPr>
            <w:r>
              <w:rPr/>
              <w:t>Temporary Securities</w:t>
            </w:r>
          </w:p>
        </w:tc>
        <w:tc>
          <w:tcPr>
            <w:tcW w:w="607" w:type="dxa"/>
            <w:tcBorders/>
            <w:shd w:fill="CCEEFF" w:val="clear"/>
            <w:vAlign w:val="center"/>
          </w:tcPr>
          <w:p>
            <w:pPr>
              <w:pStyle w:val="TableContents"/>
              <w:bidi w:val="0"/>
              <w:spacing w:before="0" w:after="283"/>
              <w:jc w:val="center"/>
              <w:rPr/>
            </w:pPr>
            <w:r>
              <w:rPr/>
              <w:t>13</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2.07</w:t>
            </w:r>
          </w:p>
        </w:tc>
        <w:tc>
          <w:tcPr>
            <w:tcW w:w="7774" w:type="dxa"/>
            <w:tcBorders/>
            <w:shd w:fill="CCEEFF" w:val="clear"/>
            <w:vAlign w:val="center"/>
          </w:tcPr>
          <w:p>
            <w:pPr>
              <w:pStyle w:val="TableContents"/>
              <w:bidi w:val="0"/>
              <w:spacing w:before="0" w:after="283"/>
              <w:jc w:val="left"/>
              <w:rPr/>
            </w:pPr>
            <w:r>
              <w:rPr/>
              <w:t>Mutilated, Destroyed, Lost or Stolen Securities</w:t>
            </w:r>
          </w:p>
        </w:tc>
        <w:tc>
          <w:tcPr>
            <w:tcW w:w="607" w:type="dxa"/>
            <w:tcBorders/>
            <w:shd w:fill="CCEEFF" w:val="clear"/>
            <w:vAlign w:val="center"/>
          </w:tcPr>
          <w:p>
            <w:pPr>
              <w:pStyle w:val="TableContents"/>
              <w:bidi w:val="0"/>
              <w:spacing w:before="0" w:after="283"/>
              <w:jc w:val="center"/>
              <w:rPr/>
            </w:pPr>
            <w:r>
              <w:rPr/>
              <w:t>14</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2.08</w:t>
            </w:r>
          </w:p>
        </w:tc>
        <w:tc>
          <w:tcPr>
            <w:tcW w:w="7774" w:type="dxa"/>
            <w:tcBorders/>
            <w:shd w:fill="CCEEFF" w:val="clear"/>
            <w:vAlign w:val="center"/>
          </w:tcPr>
          <w:p>
            <w:pPr>
              <w:pStyle w:val="TableContents"/>
              <w:bidi w:val="0"/>
              <w:spacing w:before="0" w:after="283"/>
              <w:jc w:val="left"/>
              <w:rPr/>
            </w:pPr>
            <w:r>
              <w:rPr/>
              <w:t>Cancellation</w:t>
            </w:r>
          </w:p>
        </w:tc>
        <w:tc>
          <w:tcPr>
            <w:tcW w:w="607" w:type="dxa"/>
            <w:tcBorders/>
            <w:shd w:fill="CCEEFF" w:val="clear"/>
            <w:vAlign w:val="center"/>
          </w:tcPr>
          <w:p>
            <w:pPr>
              <w:pStyle w:val="TableContents"/>
              <w:bidi w:val="0"/>
              <w:spacing w:before="0" w:after="283"/>
              <w:jc w:val="center"/>
              <w:rPr/>
            </w:pPr>
            <w:r>
              <w:rPr/>
              <w:t>14</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2.09</w:t>
            </w:r>
          </w:p>
        </w:tc>
        <w:tc>
          <w:tcPr>
            <w:tcW w:w="7774" w:type="dxa"/>
            <w:tcBorders/>
            <w:shd w:fill="CCEEFF" w:val="clear"/>
            <w:vAlign w:val="center"/>
          </w:tcPr>
          <w:p>
            <w:pPr>
              <w:pStyle w:val="TableContents"/>
              <w:bidi w:val="0"/>
              <w:spacing w:before="0" w:after="283"/>
              <w:jc w:val="left"/>
              <w:rPr/>
            </w:pPr>
            <w:r>
              <w:rPr/>
              <w:t>Benefits of Indenture</w:t>
            </w:r>
          </w:p>
        </w:tc>
        <w:tc>
          <w:tcPr>
            <w:tcW w:w="607" w:type="dxa"/>
            <w:tcBorders/>
            <w:shd w:fill="CCEEFF" w:val="clear"/>
            <w:vAlign w:val="center"/>
          </w:tcPr>
          <w:p>
            <w:pPr>
              <w:pStyle w:val="TableContents"/>
              <w:bidi w:val="0"/>
              <w:spacing w:before="0" w:after="283"/>
              <w:jc w:val="center"/>
              <w:rPr/>
            </w:pPr>
            <w:r>
              <w:rPr/>
              <w:t>15</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left"/>
              <w:rPr>
                <w:sz w:val="4"/>
                <w:szCs w:val="4"/>
              </w:rPr>
            </w:pPr>
            <w:r>
              <w:rPr>
                <w:sz w:val="4"/>
                <w:szCs w:val="4"/>
              </w:rPr>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2.10</w:t>
            </w:r>
          </w:p>
        </w:tc>
        <w:tc>
          <w:tcPr>
            <w:tcW w:w="7774" w:type="dxa"/>
            <w:tcBorders/>
            <w:shd w:fill="CCEEFF" w:val="clear"/>
            <w:vAlign w:val="center"/>
          </w:tcPr>
          <w:p>
            <w:pPr>
              <w:pStyle w:val="TableContents"/>
              <w:bidi w:val="0"/>
              <w:spacing w:before="0" w:after="283"/>
              <w:jc w:val="left"/>
              <w:rPr/>
            </w:pPr>
            <w:r>
              <w:rPr/>
              <w:t>Authenticating Agent</w:t>
            </w:r>
          </w:p>
        </w:tc>
        <w:tc>
          <w:tcPr>
            <w:tcW w:w="607" w:type="dxa"/>
            <w:tcBorders/>
            <w:shd w:fill="CCEEFF" w:val="clear"/>
            <w:vAlign w:val="center"/>
          </w:tcPr>
          <w:p>
            <w:pPr>
              <w:pStyle w:val="TableContents"/>
              <w:bidi w:val="0"/>
              <w:spacing w:before="0" w:after="283"/>
              <w:jc w:val="center"/>
              <w:rPr/>
            </w:pPr>
            <w:r>
              <w:rPr/>
              <w:t>15</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2.11</w:t>
            </w:r>
          </w:p>
        </w:tc>
        <w:tc>
          <w:tcPr>
            <w:tcW w:w="7774" w:type="dxa"/>
            <w:tcBorders/>
            <w:shd w:fill="CCEEFF" w:val="clear"/>
            <w:vAlign w:val="center"/>
          </w:tcPr>
          <w:p>
            <w:pPr>
              <w:pStyle w:val="TableContents"/>
              <w:bidi w:val="0"/>
              <w:spacing w:before="0" w:after="283"/>
              <w:jc w:val="left"/>
              <w:rPr/>
            </w:pPr>
            <w:r>
              <w:rPr/>
              <w:t>Global Securities</w:t>
            </w:r>
          </w:p>
        </w:tc>
        <w:tc>
          <w:tcPr>
            <w:tcW w:w="607" w:type="dxa"/>
            <w:tcBorders/>
            <w:shd w:fill="CCEEFF" w:val="clear"/>
            <w:vAlign w:val="center"/>
          </w:tcPr>
          <w:p>
            <w:pPr>
              <w:pStyle w:val="TableContents"/>
              <w:bidi w:val="0"/>
              <w:spacing w:before="0" w:after="283"/>
              <w:jc w:val="center"/>
              <w:rPr/>
            </w:pPr>
            <w:r>
              <w:rPr/>
              <w:t>16</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2.12</w:t>
            </w:r>
          </w:p>
        </w:tc>
        <w:tc>
          <w:tcPr>
            <w:tcW w:w="7774" w:type="dxa"/>
            <w:tcBorders/>
            <w:shd w:fill="CCEEFF" w:val="clear"/>
            <w:vAlign w:val="center"/>
          </w:tcPr>
          <w:p>
            <w:pPr>
              <w:pStyle w:val="TableContents"/>
              <w:bidi w:val="0"/>
              <w:spacing w:before="0" w:after="283"/>
              <w:jc w:val="left"/>
              <w:rPr/>
            </w:pPr>
            <w:r>
              <w:rPr/>
              <w:t>CUSIP Numbers</w:t>
            </w:r>
          </w:p>
        </w:tc>
        <w:tc>
          <w:tcPr>
            <w:tcW w:w="607" w:type="dxa"/>
            <w:tcBorders/>
            <w:shd w:fill="CCEEFF" w:val="clear"/>
            <w:vAlign w:val="center"/>
          </w:tcPr>
          <w:p>
            <w:pPr>
              <w:pStyle w:val="TableContents"/>
              <w:bidi w:val="0"/>
              <w:spacing w:before="0" w:after="283"/>
              <w:jc w:val="center"/>
              <w:rPr/>
            </w:pPr>
            <w:r>
              <w:rPr/>
              <w:t>16</w:t>
            </w:r>
          </w:p>
        </w:tc>
      </w:tr>
      <w:tr>
        <w:trPr/>
        <w:tc>
          <w:tcPr>
            <w:tcW w:w="664" w:type="dxa"/>
            <w:tcBorders/>
            <w:shd w:fill="FFFFFF" w:val="clear"/>
            <w:vAlign w:val="center"/>
          </w:tcPr>
          <w:p>
            <w:pPr>
              <w:pStyle w:val="TableContents"/>
              <w:bidi w:val="0"/>
              <w:spacing w:before="0" w:after="283"/>
              <w:jc w:val="left"/>
              <w:rPr>
                <w:caps/>
              </w:rPr>
            </w:pPr>
            <w:r>
              <w:rPr>
                <w:caps/>
              </w:rPr>
              <w:t> </w:t>
            </w:r>
          </w:p>
        </w:tc>
        <w:tc>
          <w:tcPr>
            <w:tcW w:w="944" w:type="dxa"/>
            <w:tcBorders/>
            <w:shd w:fill="FFFFFF" w:val="clear"/>
            <w:vAlign w:val="center"/>
          </w:tcPr>
          <w:p>
            <w:pPr>
              <w:pStyle w:val="TableContents"/>
              <w:bidi w:val="0"/>
              <w:spacing w:before="0" w:after="283"/>
              <w:jc w:val="left"/>
              <w:rPr>
                <w:caps/>
              </w:rPr>
            </w:pPr>
            <w:r>
              <w:rPr>
                <w:caps/>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caps/>
              </w:rPr>
            </w:pPr>
            <w:r>
              <w:rPr>
                <w:caps/>
              </w:rPr>
              <w:t> </w:t>
            </w:r>
          </w:p>
        </w:tc>
        <w:tc>
          <w:tcPr>
            <w:tcW w:w="607" w:type="dxa"/>
            <w:tcBorders/>
            <w:shd w:fill="FFFFFF" w:val="clear"/>
            <w:vAlign w:val="center"/>
          </w:tcPr>
          <w:p>
            <w:pPr>
              <w:pStyle w:val="TableContents"/>
              <w:bidi w:val="0"/>
              <w:spacing w:before="0" w:after="283"/>
              <w:jc w:val="center"/>
              <w:rPr>
                <w:caps/>
              </w:rPr>
            </w:pPr>
            <w:r>
              <w:rPr>
                <w:caps/>
              </w:rPr>
              <w:t> </w:t>
            </w:r>
          </w:p>
        </w:tc>
      </w:tr>
      <w:tr>
        <w:trPr/>
        <w:tc>
          <w:tcPr>
            <w:tcW w:w="1608" w:type="dxa"/>
            <w:gridSpan w:val="2"/>
            <w:tcBorders/>
            <w:shd w:fill="CCEEFF" w:val="clear"/>
            <w:vAlign w:val="center"/>
          </w:tcPr>
          <w:p>
            <w:pPr>
              <w:pStyle w:val="TableContents"/>
              <w:bidi w:val="0"/>
              <w:spacing w:before="0" w:after="283"/>
              <w:jc w:val="left"/>
              <w:rPr>
                <w:caps/>
              </w:rPr>
            </w:pPr>
            <w:r>
              <w:rPr>
                <w:caps/>
              </w:rPr>
              <w:t>article 3</w:t>
            </w:r>
          </w:p>
        </w:tc>
        <w:tc>
          <w:tcPr>
            <w:tcW w:w="7990" w:type="dxa"/>
            <w:gridSpan w:val="2"/>
            <w:tcBorders/>
            <w:shd w:fill="CCEEFF" w:val="clear"/>
            <w:vAlign w:val="center"/>
          </w:tcPr>
          <w:p>
            <w:pPr>
              <w:pStyle w:val="TableContents"/>
              <w:bidi w:val="0"/>
              <w:spacing w:before="0" w:after="283"/>
              <w:jc w:val="left"/>
              <w:rPr/>
            </w:pPr>
            <w:r>
              <w:rPr/>
              <w:t>REDEMPTION OF SECURITIES AND SINKING FUND PROVISIONS</w:t>
            </w:r>
          </w:p>
        </w:tc>
        <w:tc>
          <w:tcPr>
            <w:tcW w:w="607" w:type="dxa"/>
            <w:tcBorders/>
            <w:shd w:fill="CCEEFF" w:val="clear"/>
            <w:vAlign w:val="center"/>
          </w:tcPr>
          <w:p>
            <w:pPr>
              <w:pStyle w:val="TableContents"/>
              <w:bidi w:val="0"/>
              <w:spacing w:before="0" w:after="283"/>
              <w:jc w:val="center"/>
              <w:rPr>
                <w:caps/>
              </w:rPr>
            </w:pPr>
            <w:r>
              <w:rPr>
                <w:caps/>
              </w:rPr>
              <w:t>17</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3.01</w:t>
            </w:r>
          </w:p>
        </w:tc>
        <w:tc>
          <w:tcPr>
            <w:tcW w:w="7774" w:type="dxa"/>
            <w:tcBorders/>
            <w:shd w:fill="CCEEFF" w:val="clear"/>
            <w:vAlign w:val="center"/>
          </w:tcPr>
          <w:p>
            <w:pPr>
              <w:pStyle w:val="TableContents"/>
              <w:bidi w:val="0"/>
              <w:spacing w:before="0" w:after="283"/>
              <w:jc w:val="left"/>
              <w:rPr/>
            </w:pPr>
            <w:r>
              <w:rPr/>
              <w:t>Redemption</w:t>
            </w:r>
          </w:p>
        </w:tc>
        <w:tc>
          <w:tcPr>
            <w:tcW w:w="607" w:type="dxa"/>
            <w:tcBorders/>
            <w:shd w:fill="CCEEFF" w:val="clear"/>
            <w:vAlign w:val="center"/>
          </w:tcPr>
          <w:p>
            <w:pPr>
              <w:pStyle w:val="TableContents"/>
              <w:bidi w:val="0"/>
              <w:spacing w:before="0" w:after="283"/>
              <w:jc w:val="center"/>
              <w:rPr/>
            </w:pPr>
            <w:r>
              <w:rPr/>
              <w:t>17</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3.02</w:t>
            </w:r>
          </w:p>
        </w:tc>
        <w:tc>
          <w:tcPr>
            <w:tcW w:w="7774" w:type="dxa"/>
            <w:tcBorders/>
            <w:shd w:fill="CCEEFF" w:val="clear"/>
            <w:vAlign w:val="center"/>
          </w:tcPr>
          <w:p>
            <w:pPr>
              <w:pStyle w:val="TableContents"/>
              <w:bidi w:val="0"/>
              <w:spacing w:before="0" w:after="283"/>
              <w:jc w:val="left"/>
              <w:rPr/>
            </w:pPr>
            <w:r>
              <w:rPr/>
              <w:t>Notice of Redemption</w:t>
            </w:r>
          </w:p>
        </w:tc>
        <w:tc>
          <w:tcPr>
            <w:tcW w:w="607" w:type="dxa"/>
            <w:tcBorders/>
            <w:shd w:fill="CCEEFF" w:val="clear"/>
            <w:vAlign w:val="center"/>
          </w:tcPr>
          <w:p>
            <w:pPr>
              <w:pStyle w:val="TableContents"/>
              <w:bidi w:val="0"/>
              <w:spacing w:before="0" w:after="283"/>
              <w:jc w:val="center"/>
              <w:rPr/>
            </w:pPr>
            <w:r>
              <w:rPr/>
              <w:t>17</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3.03</w:t>
            </w:r>
          </w:p>
        </w:tc>
        <w:tc>
          <w:tcPr>
            <w:tcW w:w="7774" w:type="dxa"/>
            <w:tcBorders/>
            <w:shd w:fill="CCEEFF" w:val="clear"/>
            <w:vAlign w:val="center"/>
          </w:tcPr>
          <w:p>
            <w:pPr>
              <w:pStyle w:val="TableContents"/>
              <w:bidi w:val="0"/>
              <w:spacing w:before="0" w:after="283"/>
              <w:jc w:val="left"/>
              <w:rPr/>
            </w:pPr>
            <w:r>
              <w:rPr/>
              <w:t>Payment upon Redemption</w:t>
            </w:r>
          </w:p>
        </w:tc>
        <w:tc>
          <w:tcPr>
            <w:tcW w:w="607" w:type="dxa"/>
            <w:tcBorders/>
            <w:shd w:fill="CCEEFF" w:val="clear"/>
            <w:vAlign w:val="center"/>
          </w:tcPr>
          <w:p>
            <w:pPr>
              <w:pStyle w:val="TableContents"/>
              <w:bidi w:val="0"/>
              <w:spacing w:before="0" w:after="283"/>
              <w:jc w:val="center"/>
              <w:rPr/>
            </w:pPr>
            <w:r>
              <w:rPr/>
              <w:t>18</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3.04</w:t>
            </w:r>
          </w:p>
        </w:tc>
        <w:tc>
          <w:tcPr>
            <w:tcW w:w="7774" w:type="dxa"/>
            <w:tcBorders/>
            <w:shd w:fill="CCEEFF" w:val="clear"/>
            <w:vAlign w:val="center"/>
          </w:tcPr>
          <w:p>
            <w:pPr>
              <w:pStyle w:val="TableContents"/>
              <w:bidi w:val="0"/>
              <w:spacing w:before="0" w:after="283"/>
              <w:jc w:val="left"/>
              <w:rPr/>
            </w:pPr>
            <w:r>
              <w:rPr/>
              <w:t>Sinking Fund</w:t>
            </w:r>
          </w:p>
        </w:tc>
        <w:tc>
          <w:tcPr>
            <w:tcW w:w="607" w:type="dxa"/>
            <w:tcBorders/>
            <w:shd w:fill="CCEEFF" w:val="clear"/>
            <w:vAlign w:val="center"/>
          </w:tcPr>
          <w:p>
            <w:pPr>
              <w:pStyle w:val="TableContents"/>
              <w:bidi w:val="0"/>
              <w:spacing w:before="0" w:after="283"/>
              <w:jc w:val="center"/>
              <w:rPr/>
            </w:pPr>
            <w:r>
              <w:rPr/>
              <w:t>18</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3.05</w:t>
            </w:r>
          </w:p>
        </w:tc>
        <w:tc>
          <w:tcPr>
            <w:tcW w:w="7774" w:type="dxa"/>
            <w:tcBorders/>
            <w:shd w:fill="CCEEFF" w:val="clear"/>
            <w:vAlign w:val="center"/>
          </w:tcPr>
          <w:p>
            <w:pPr>
              <w:pStyle w:val="TableContents"/>
              <w:bidi w:val="0"/>
              <w:spacing w:before="0" w:after="283"/>
              <w:jc w:val="left"/>
              <w:rPr/>
            </w:pPr>
            <w:r>
              <w:rPr/>
              <w:t>Satisfaction of Sinking Fund Payments with Securities</w:t>
            </w:r>
          </w:p>
        </w:tc>
        <w:tc>
          <w:tcPr>
            <w:tcW w:w="607" w:type="dxa"/>
            <w:tcBorders/>
            <w:shd w:fill="CCEEFF" w:val="clear"/>
            <w:vAlign w:val="center"/>
          </w:tcPr>
          <w:p>
            <w:pPr>
              <w:pStyle w:val="TableContents"/>
              <w:bidi w:val="0"/>
              <w:spacing w:before="0" w:after="283"/>
              <w:jc w:val="center"/>
              <w:rPr/>
            </w:pPr>
            <w:r>
              <w:rPr/>
              <w:t>18</w:t>
            </w:r>
          </w:p>
        </w:tc>
      </w:tr>
      <w:tr>
        <w:trPr/>
        <w:tc>
          <w:tcPr>
            <w:tcW w:w="664" w:type="dxa"/>
            <w:tcBorders/>
            <w:shd w:fill="FFFFFF" w:val="clear"/>
            <w:vAlign w:val="center"/>
          </w:tcPr>
          <w:p>
            <w:pPr>
              <w:pStyle w:val="TableContents"/>
              <w:bidi w:val="0"/>
              <w:spacing w:before="0" w:after="283"/>
              <w:jc w:val="center"/>
              <w:rPr/>
            </w:pPr>
            <w:r>
              <w:rPr/>
              <w:t> </w:t>
            </w:r>
          </w:p>
        </w:tc>
        <w:tc>
          <w:tcPr>
            <w:tcW w:w="94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77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center"/>
              <w:rPr/>
            </w:pPr>
            <w:r>
              <w:rPr/>
              <w:t> </w:t>
            </w:r>
          </w:p>
        </w:tc>
        <w:tc>
          <w:tcPr>
            <w:tcW w:w="1160" w:type="dxa"/>
            <w:gridSpan w:val="2"/>
            <w:tcBorders/>
            <w:shd w:fill="CCEEFF" w:val="clear"/>
            <w:vAlign w:val="center"/>
          </w:tcPr>
          <w:p>
            <w:pPr>
              <w:pStyle w:val="TableContents"/>
              <w:bidi w:val="0"/>
              <w:spacing w:before="0" w:after="283"/>
              <w:jc w:val="left"/>
              <w:rPr/>
            </w:pPr>
            <w:r>
              <w:rPr/>
              <w:t>Section 3.06</w:t>
            </w:r>
          </w:p>
        </w:tc>
        <w:tc>
          <w:tcPr>
            <w:tcW w:w="7774" w:type="dxa"/>
            <w:tcBorders/>
            <w:shd w:fill="CCEEFF" w:val="clear"/>
            <w:vAlign w:val="center"/>
          </w:tcPr>
          <w:p>
            <w:pPr>
              <w:pStyle w:val="TableContents"/>
              <w:bidi w:val="0"/>
              <w:spacing w:before="0" w:after="283"/>
              <w:jc w:val="left"/>
              <w:rPr/>
            </w:pPr>
            <w:r>
              <w:rPr/>
              <w:t>Redemption of Securities for Sinking Fund</w:t>
            </w:r>
          </w:p>
        </w:tc>
        <w:tc>
          <w:tcPr>
            <w:tcW w:w="607" w:type="dxa"/>
            <w:tcBorders/>
            <w:shd w:fill="CCEEFF" w:val="clear"/>
            <w:vAlign w:val="center"/>
          </w:tcPr>
          <w:p>
            <w:pPr>
              <w:pStyle w:val="TableContents"/>
              <w:bidi w:val="0"/>
              <w:spacing w:before="0" w:after="283"/>
              <w:jc w:val="center"/>
              <w:rPr/>
            </w:pPr>
            <w:r>
              <w:rPr/>
              <w:t>19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(continued)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72"/>
        <w:gridCol w:w="979"/>
        <w:gridCol w:w="176"/>
        <w:gridCol w:w="7771"/>
        <w:gridCol w:w="607"/>
      </w:tblGrid>
      <w:tr>
        <w:trPr/>
        <w:tc>
          <w:tcPr>
            <w:tcW w:w="1651" w:type="dxa"/>
            <w:gridSpan w:val="2"/>
            <w:tcBorders/>
            <w:shd w:fill="FFFFFF" w:val="clear"/>
            <w:vAlign w:val="center"/>
          </w:tcPr>
          <w:p>
            <w:pPr>
              <w:pStyle w:val="TableContents"/>
              <w:bidi w:val="0"/>
              <w:spacing w:before="0" w:after="283"/>
              <w:jc w:val="left"/>
              <w:rPr>
                <w:caps/>
              </w:rPr>
            </w:pPr>
            <w:r>
              <w:rPr>
                <w:caps/>
              </w:rPr>
              <w:t> </w:t>
            </w:r>
          </w:p>
        </w:tc>
        <w:tc>
          <w:tcPr>
            <w:tcW w:w="7947" w:type="dxa"/>
            <w:gridSpan w:val="2"/>
            <w:tcBorders/>
            <w:shd w:fill="FFFFFF" w:val="clear"/>
            <w:vAlign w:val="center"/>
          </w:tcPr>
          <w:p>
            <w:pPr>
              <w:pStyle w:val="TableContents"/>
              <w:bidi w:val="0"/>
              <w:spacing w:before="0" w:after="283"/>
              <w:jc w:val="left"/>
              <w:rPr/>
            </w:pPr>
            <w:r>
              <w:rPr/>
              <w:t> </w:t>
            </w:r>
          </w:p>
        </w:tc>
        <w:tc>
          <w:tcPr>
            <w:tcW w:w="607" w:type="dxa"/>
            <w:tcBorders>
              <w:bottom w:val="single" w:sz="12" w:space="0" w:color="000000"/>
            </w:tcBorders>
            <w:shd w:fill="FFFFFF" w:val="clear"/>
            <w:tcMar>
              <w:bottom w:w="28" w:type="dxa"/>
            </w:tcMar>
            <w:vAlign w:val="center"/>
          </w:tcPr>
          <w:p>
            <w:pPr>
              <w:pStyle w:val="TableContents"/>
              <w:bidi w:val="0"/>
              <w:spacing w:before="0" w:after="283"/>
              <w:jc w:val="center"/>
              <w:rPr>
                <w:b/>
                <w:smallCaps/>
              </w:rPr>
            </w:pPr>
            <w:r>
              <w:rPr>
                <w:b/>
                <w:smallCaps/>
              </w:rPr>
              <w:t>Page</w:t>
            </w:r>
          </w:p>
        </w:tc>
      </w:tr>
      <w:tr>
        <w:trPr/>
        <w:tc>
          <w:tcPr>
            <w:tcW w:w="1651" w:type="dxa"/>
            <w:gridSpan w:val="2"/>
            <w:tcBorders/>
            <w:shd w:fill="FFFFFF" w:val="clear"/>
            <w:vAlign w:val="center"/>
          </w:tcPr>
          <w:p>
            <w:pPr>
              <w:pStyle w:val="TableContents"/>
              <w:bidi w:val="0"/>
              <w:spacing w:before="0" w:after="283"/>
              <w:jc w:val="left"/>
              <w:rPr>
                <w:caps/>
              </w:rPr>
            </w:pPr>
            <w:r>
              <w:rPr>
                <w:caps/>
              </w:rPr>
              <w:t> </w:t>
            </w:r>
          </w:p>
        </w:tc>
        <w:tc>
          <w:tcPr>
            <w:tcW w:w="7947" w:type="dxa"/>
            <w:gridSpan w:val="2"/>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caps/>
              </w:rPr>
            </w:pPr>
            <w:r>
              <w:rPr>
                <w:caps/>
              </w:rPr>
              <w:t> </w:t>
            </w:r>
          </w:p>
        </w:tc>
      </w:tr>
      <w:tr>
        <w:trPr/>
        <w:tc>
          <w:tcPr>
            <w:tcW w:w="1651" w:type="dxa"/>
            <w:gridSpan w:val="2"/>
            <w:tcBorders/>
            <w:shd w:fill="CCEEFF" w:val="clear"/>
            <w:vAlign w:val="center"/>
          </w:tcPr>
          <w:p>
            <w:pPr>
              <w:pStyle w:val="TableContents"/>
              <w:bidi w:val="0"/>
              <w:spacing w:before="0" w:after="283"/>
              <w:jc w:val="left"/>
              <w:rPr>
                <w:caps/>
              </w:rPr>
            </w:pPr>
            <w:r>
              <w:rPr>
                <w:caps/>
              </w:rPr>
              <w:t>article 4</w:t>
            </w:r>
          </w:p>
        </w:tc>
        <w:tc>
          <w:tcPr>
            <w:tcW w:w="7947" w:type="dxa"/>
            <w:gridSpan w:val="2"/>
            <w:tcBorders/>
            <w:shd w:fill="CCEEFF" w:val="clear"/>
            <w:vAlign w:val="center"/>
          </w:tcPr>
          <w:p>
            <w:pPr>
              <w:pStyle w:val="TableContents"/>
              <w:bidi w:val="0"/>
              <w:spacing w:before="0" w:after="283"/>
              <w:jc w:val="left"/>
              <w:rPr/>
            </w:pPr>
            <w:r>
              <w:rPr/>
              <w:t>COVENANTS</w:t>
            </w:r>
          </w:p>
        </w:tc>
        <w:tc>
          <w:tcPr>
            <w:tcW w:w="607" w:type="dxa"/>
            <w:tcBorders/>
            <w:shd w:fill="CCEEFF" w:val="clear"/>
            <w:vAlign w:val="center"/>
          </w:tcPr>
          <w:p>
            <w:pPr>
              <w:pStyle w:val="TableContents"/>
              <w:bidi w:val="0"/>
              <w:spacing w:before="0" w:after="283"/>
              <w:jc w:val="center"/>
              <w:rPr>
                <w:caps/>
              </w:rPr>
            </w:pPr>
            <w:r>
              <w:rPr>
                <w:caps/>
              </w:rPr>
              <w:t>19</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4.01</w:t>
            </w:r>
          </w:p>
        </w:tc>
        <w:tc>
          <w:tcPr>
            <w:tcW w:w="7771" w:type="dxa"/>
            <w:tcBorders/>
            <w:shd w:fill="CCEEFF" w:val="clear"/>
            <w:vAlign w:val="center"/>
          </w:tcPr>
          <w:p>
            <w:pPr>
              <w:pStyle w:val="TableContents"/>
              <w:bidi w:val="0"/>
              <w:spacing w:before="0" w:after="283"/>
              <w:jc w:val="left"/>
              <w:rPr/>
            </w:pPr>
            <w:r>
              <w:rPr/>
              <w:t>Payment of Principal, Premium and Interest</w:t>
            </w:r>
          </w:p>
        </w:tc>
        <w:tc>
          <w:tcPr>
            <w:tcW w:w="607" w:type="dxa"/>
            <w:tcBorders/>
            <w:shd w:fill="CCEEFF" w:val="clear"/>
            <w:vAlign w:val="center"/>
          </w:tcPr>
          <w:p>
            <w:pPr>
              <w:pStyle w:val="TableContents"/>
              <w:bidi w:val="0"/>
              <w:spacing w:before="0" w:after="283"/>
              <w:jc w:val="center"/>
              <w:rPr/>
            </w:pPr>
            <w:r>
              <w:rPr/>
              <w:t>19</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4.02</w:t>
            </w:r>
          </w:p>
        </w:tc>
        <w:tc>
          <w:tcPr>
            <w:tcW w:w="7771" w:type="dxa"/>
            <w:tcBorders/>
            <w:shd w:fill="CCEEFF" w:val="clear"/>
            <w:vAlign w:val="center"/>
          </w:tcPr>
          <w:p>
            <w:pPr>
              <w:pStyle w:val="TableContents"/>
              <w:bidi w:val="0"/>
              <w:spacing w:before="0" w:after="283"/>
              <w:jc w:val="left"/>
              <w:rPr/>
            </w:pPr>
            <w:r>
              <w:rPr/>
              <w:t>Maintenance of Office or Agency</w:t>
            </w:r>
          </w:p>
        </w:tc>
        <w:tc>
          <w:tcPr>
            <w:tcW w:w="607" w:type="dxa"/>
            <w:tcBorders/>
            <w:shd w:fill="CCEEFF" w:val="clear"/>
            <w:vAlign w:val="center"/>
          </w:tcPr>
          <w:p>
            <w:pPr>
              <w:pStyle w:val="TableContents"/>
              <w:bidi w:val="0"/>
              <w:spacing w:before="0" w:after="283"/>
              <w:jc w:val="center"/>
              <w:rPr/>
            </w:pPr>
            <w:r>
              <w:rPr/>
              <w:t>19</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4.03</w:t>
            </w:r>
          </w:p>
        </w:tc>
        <w:tc>
          <w:tcPr>
            <w:tcW w:w="7771" w:type="dxa"/>
            <w:tcBorders/>
            <w:shd w:fill="CCEEFF" w:val="clear"/>
            <w:vAlign w:val="center"/>
          </w:tcPr>
          <w:p>
            <w:pPr>
              <w:pStyle w:val="TableContents"/>
              <w:bidi w:val="0"/>
              <w:spacing w:before="0" w:after="283"/>
              <w:jc w:val="left"/>
              <w:rPr/>
            </w:pPr>
            <w:r>
              <w:rPr/>
              <w:t>Paying Agents</w:t>
            </w:r>
          </w:p>
        </w:tc>
        <w:tc>
          <w:tcPr>
            <w:tcW w:w="607" w:type="dxa"/>
            <w:tcBorders/>
            <w:shd w:fill="CCEEFF" w:val="clear"/>
            <w:vAlign w:val="center"/>
          </w:tcPr>
          <w:p>
            <w:pPr>
              <w:pStyle w:val="TableContents"/>
              <w:bidi w:val="0"/>
              <w:spacing w:before="0" w:after="283"/>
              <w:jc w:val="center"/>
              <w:rPr/>
            </w:pPr>
            <w:r>
              <w:rPr/>
              <w:t>20</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4.04</w:t>
            </w:r>
          </w:p>
        </w:tc>
        <w:tc>
          <w:tcPr>
            <w:tcW w:w="7771" w:type="dxa"/>
            <w:tcBorders/>
            <w:shd w:fill="CCEEFF" w:val="clear"/>
            <w:vAlign w:val="center"/>
          </w:tcPr>
          <w:p>
            <w:pPr>
              <w:pStyle w:val="TableContents"/>
              <w:bidi w:val="0"/>
              <w:spacing w:before="0" w:after="283"/>
              <w:jc w:val="left"/>
              <w:rPr/>
            </w:pPr>
            <w:r>
              <w:rPr/>
              <w:t>Appointment to Fill Vacancy in Office of Trustee</w:t>
            </w:r>
          </w:p>
        </w:tc>
        <w:tc>
          <w:tcPr>
            <w:tcW w:w="607" w:type="dxa"/>
            <w:tcBorders/>
            <w:shd w:fill="CCEEFF" w:val="clear"/>
            <w:vAlign w:val="center"/>
          </w:tcPr>
          <w:p>
            <w:pPr>
              <w:pStyle w:val="TableContents"/>
              <w:bidi w:val="0"/>
              <w:spacing w:before="0" w:after="283"/>
              <w:jc w:val="center"/>
              <w:rPr/>
            </w:pPr>
            <w:r>
              <w:rPr/>
              <w:t>21</w:t>
            </w:r>
          </w:p>
        </w:tc>
      </w:tr>
      <w:tr>
        <w:trPr/>
        <w:tc>
          <w:tcPr>
            <w:tcW w:w="672" w:type="dxa"/>
            <w:tcBorders/>
            <w:shd w:fill="FFFFFF" w:val="clear"/>
            <w:vAlign w:val="center"/>
          </w:tcPr>
          <w:p>
            <w:pPr>
              <w:pStyle w:val="TableContents"/>
              <w:bidi w:val="0"/>
              <w:spacing w:before="0" w:after="283"/>
              <w:jc w:val="left"/>
              <w:rPr>
                <w:caps/>
              </w:rPr>
            </w:pPr>
            <w:r>
              <w:rPr>
                <w:caps/>
              </w:rPr>
              <w:t> </w:t>
            </w:r>
          </w:p>
        </w:tc>
        <w:tc>
          <w:tcPr>
            <w:tcW w:w="979" w:type="dxa"/>
            <w:tcBorders/>
            <w:shd w:fill="FFFFFF" w:val="clear"/>
            <w:vAlign w:val="center"/>
          </w:tcPr>
          <w:p>
            <w:pPr>
              <w:pStyle w:val="TableContents"/>
              <w:bidi w:val="0"/>
              <w:spacing w:before="0" w:after="283"/>
              <w:jc w:val="left"/>
              <w:rPr>
                <w:caps/>
              </w:rPr>
            </w:pPr>
            <w:r>
              <w:rPr>
                <w:caps/>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caps/>
              </w:rPr>
            </w:pPr>
            <w:r>
              <w:rPr>
                <w:caps/>
              </w:rPr>
              <w:t> </w:t>
            </w:r>
          </w:p>
        </w:tc>
        <w:tc>
          <w:tcPr>
            <w:tcW w:w="607" w:type="dxa"/>
            <w:tcBorders/>
            <w:shd w:fill="FFFFFF" w:val="clear"/>
            <w:vAlign w:val="center"/>
          </w:tcPr>
          <w:p>
            <w:pPr>
              <w:pStyle w:val="TableContents"/>
              <w:bidi w:val="0"/>
              <w:spacing w:before="0" w:after="283"/>
              <w:jc w:val="center"/>
              <w:rPr>
                <w:caps/>
              </w:rPr>
            </w:pPr>
            <w:r>
              <w:rPr>
                <w:caps/>
              </w:rPr>
              <w:t> </w:t>
            </w:r>
          </w:p>
        </w:tc>
      </w:tr>
      <w:tr>
        <w:trPr/>
        <w:tc>
          <w:tcPr>
            <w:tcW w:w="1651" w:type="dxa"/>
            <w:gridSpan w:val="2"/>
            <w:tcBorders/>
            <w:shd w:fill="CCEEFF" w:val="clear"/>
            <w:vAlign w:val="center"/>
          </w:tcPr>
          <w:p>
            <w:pPr>
              <w:pStyle w:val="TableContents"/>
              <w:bidi w:val="0"/>
              <w:spacing w:before="0" w:after="283"/>
              <w:jc w:val="left"/>
              <w:rPr>
                <w:caps/>
              </w:rPr>
            </w:pPr>
            <w:r>
              <w:rPr>
                <w:caps/>
              </w:rPr>
              <w:t>article 5</w:t>
            </w:r>
          </w:p>
        </w:tc>
        <w:tc>
          <w:tcPr>
            <w:tcW w:w="7947" w:type="dxa"/>
            <w:gridSpan w:val="2"/>
            <w:tcBorders/>
            <w:shd w:fill="CCEEFF" w:val="clear"/>
            <w:vAlign w:val="center"/>
          </w:tcPr>
          <w:p>
            <w:pPr>
              <w:pStyle w:val="TableContents"/>
              <w:bidi w:val="0"/>
              <w:spacing w:before="0" w:after="283"/>
              <w:jc w:val="left"/>
              <w:rPr/>
            </w:pPr>
            <w:r>
              <w:rPr/>
              <w:t>SECURITYHOLDERS’ LISTS AND REPORTS BY THE COMPANY AND THE TRUSTEE</w:t>
            </w:r>
          </w:p>
        </w:tc>
        <w:tc>
          <w:tcPr>
            <w:tcW w:w="607" w:type="dxa"/>
            <w:tcBorders/>
            <w:shd w:fill="CCEEFF" w:val="clear"/>
            <w:vAlign w:val="center"/>
          </w:tcPr>
          <w:p>
            <w:pPr>
              <w:pStyle w:val="TableContents"/>
              <w:bidi w:val="0"/>
              <w:spacing w:before="0" w:after="283"/>
              <w:jc w:val="center"/>
              <w:rPr>
                <w:caps/>
              </w:rPr>
            </w:pPr>
            <w:r>
              <w:rPr>
                <w:caps/>
              </w:rPr>
              <w:t>21</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5.01</w:t>
            </w:r>
          </w:p>
        </w:tc>
        <w:tc>
          <w:tcPr>
            <w:tcW w:w="7771" w:type="dxa"/>
            <w:tcBorders/>
            <w:shd w:fill="CCEEFF" w:val="clear"/>
            <w:vAlign w:val="center"/>
          </w:tcPr>
          <w:p>
            <w:pPr>
              <w:pStyle w:val="TableContents"/>
              <w:bidi w:val="0"/>
              <w:spacing w:before="0" w:after="283"/>
              <w:jc w:val="left"/>
              <w:rPr/>
            </w:pPr>
            <w:r>
              <w:rPr/>
              <w:t>Company to Furnish Trustee Names and Addresses of Securityholders</w:t>
            </w:r>
          </w:p>
        </w:tc>
        <w:tc>
          <w:tcPr>
            <w:tcW w:w="607" w:type="dxa"/>
            <w:tcBorders/>
            <w:shd w:fill="CCEEFF" w:val="clear"/>
            <w:vAlign w:val="center"/>
          </w:tcPr>
          <w:p>
            <w:pPr>
              <w:pStyle w:val="TableContents"/>
              <w:bidi w:val="0"/>
              <w:spacing w:before="0" w:after="283"/>
              <w:jc w:val="center"/>
              <w:rPr/>
            </w:pPr>
            <w:r>
              <w:rPr/>
              <w:t>21</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5.02</w:t>
            </w:r>
          </w:p>
        </w:tc>
        <w:tc>
          <w:tcPr>
            <w:tcW w:w="7771" w:type="dxa"/>
            <w:tcBorders/>
            <w:shd w:fill="CCEEFF" w:val="clear"/>
            <w:vAlign w:val="center"/>
          </w:tcPr>
          <w:p>
            <w:pPr>
              <w:pStyle w:val="TableContents"/>
              <w:bidi w:val="0"/>
              <w:spacing w:before="0" w:after="283"/>
              <w:jc w:val="left"/>
              <w:rPr/>
            </w:pPr>
            <w:r>
              <w:rPr/>
              <w:t>Preservation of Information; Communications with Securityholders</w:t>
            </w:r>
          </w:p>
        </w:tc>
        <w:tc>
          <w:tcPr>
            <w:tcW w:w="607" w:type="dxa"/>
            <w:tcBorders/>
            <w:shd w:fill="CCEEFF" w:val="clear"/>
            <w:vAlign w:val="center"/>
          </w:tcPr>
          <w:p>
            <w:pPr>
              <w:pStyle w:val="TableContents"/>
              <w:bidi w:val="0"/>
              <w:spacing w:before="0" w:after="283"/>
              <w:jc w:val="center"/>
              <w:rPr/>
            </w:pPr>
            <w:r>
              <w:rPr/>
              <w:t>21</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5.03</w:t>
            </w:r>
          </w:p>
        </w:tc>
        <w:tc>
          <w:tcPr>
            <w:tcW w:w="7771" w:type="dxa"/>
            <w:tcBorders/>
            <w:shd w:fill="CCEEFF" w:val="clear"/>
            <w:vAlign w:val="center"/>
          </w:tcPr>
          <w:p>
            <w:pPr>
              <w:pStyle w:val="TableContents"/>
              <w:bidi w:val="0"/>
              <w:spacing w:before="0" w:after="283"/>
              <w:jc w:val="left"/>
              <w:rPr/>
            </w:pPr>
            <w:r>
              <w:rPr/>
              <w:t>Reports by the Company</w:t>
            </w:r>
          </w:p>
        </w:tc>
        <w:tc>
          <w:tcPr>
            <w:tcW w:w="607" w:type="dxa"/>
            <w:tcBorders/>
            <w:shd w:fill="CCEEFF" w:val="clear"/>
            <w:vAlign w:val="center"/>
          </w:tcPr>
          <w:p>
            <w:pPr>
              <w:pStyle w:val="TableContents"/>
              <w:bidi w:val="0"/>
              <w:spacing w:before="0" w:after="283"/>
              <w:jc w:val="center"/>
              <w:rPr/>
            </w:pPr>
            <w:r>
              <w:rPr/>
              <w:t>22</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5.04</w:t>
            </w:r>
          </w:p>
        </w:tc>
        <w:tc>
          <w:tcPr>
            <w:tcW w:w="7771" w:type="dxa"/>
            <w:tcBorders/>
            <w:shd w:fill="CCEEFF" w:val="clear"/>
            <w:vAlign w:val="center"/>
          </w:tcPr>
          <w:p>
            <w:pPr>
              <w:pStyle w:val="TableContents"/>
              <w:bidi w:val="0"/>
              <w:spacing w:before="0" w:after="283"/>
              <w:jc w:val="left"/>
              <w:rPr/>
            </w:pPr>
            <w:r>
              <w:rPr/>
              <w:t>Reports by the Trustee</w:t>
            </w:r>
          </w:p>
        </w:tc>
        <w:tc>
          <w:tcPr>
            <w:tcW w:w="607" w:type="dxa"/>
            <w:tcBorders/>
            <w:shd w:fill="CCEEFF" w:val="clear"/>
            <w:vAlign w:val="center"/>
          </w:tcPr>
          <w:p>
            <w:pPr>
              <w:pStyle w:val="TableContents"/>
              <w:bidi w:val="0"/>
              <w:spacing w:before="0" w:after="283"/>
              <w:jc w:val="center"/>
              <w:rPr/>
            </w:pPr>
            <w:r>
              <w:rPr/>
              <w:t>22</w:t>
            </w:r>
          </w:p>
        </w:tc>
      </w:tr>
      <w:tr>
        <w:trPr/>
        <w:tc>
          <w:tcPr>
            <w:tcW w:w="672" w:type="dxa"/>
            <w:tcBorders/>
            <w:shd w:fill="FFFFFF" w:val="clear"/>
            <w:vAlign w:val="center"/>
          </w:tcPr>
          <w:p>
            <w:pPr>
              <w:pStyle w:val="TableContents"/>
              <w:bidi w:val="0"/>
              <w:spacing w:before="0" w:after="283"/>
              <w:jc w:val="left"/>
              <w:rPr>
                <w:caps/>
              </w:rPr>
            </w:pPr>
            <w:r>
              <w:rPr>
                <w:caps/>
              </w:rPr>
              <w:t> </w:t>
            </w:r>
          </w:p>
        </w:tc>
        <w:tc>
          <w:tcPr>
            <w:tcW w:w="979" w:type="dxa"/>
            <w:tcBorders/>
            <w:shd w:fill="FFFFFF" w:val="clear"/>
            <w:vAlign w:val="center"/>
          </w:tcPr>
          <w:p>
            <w:pPr>
              <w:pStyle w:val="TableContents"/>
              <w:bidi w:val="0"/>
              <w:spacing w:before="0" w:after="283"/>
              <w:jc w:val="left"/>
              <w:rPr>
                <w:caps/>
              </w:rPr>
            </w:pPr>
            <w:r>
              <w:rPr>
                <w:caps/>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caps/>
              </w:rPr>
            </w:pPr>
            <w:r>
              <w:rPr>
                <w:caps/>
              </w:rPr>
              <w:t> </w:t>
            </w:r>
          </w:p>
        </w:tc>
        <w:tc>
          <w:tcPr>
            <w:tcW w:w="607" w:type="dxa"/>
            <w:tcBorders/>
            <w:shd w:fill="FFFFFF" w:val="clear"/>
            <w:vAlign w:val="center"/>
          </w:tcPr>
          <w:p>
            <w:pPr>
              <w:pStyle w:val="TableContents"/>
              <w:bidi w:val="0"/>
              <w:spacing w:before="0" w:after="283"/>
              <w:jc w:val="center"/>
              <w:rPr>
                <w:caps/>
              </w:rPr>
            </w:pPr>
            <w:r>
              <w:rPr>
                <w:caps/>
              </w:rPr>
              <w:t> </w:t>
            </w:r>
          </w:p>
        </w:tc>
      </w:tr>
      <w:tr>
        <w:trPr/>
        <w:tc>
          <w:tcPr>
            <w:tcW w:w="1651" w:type="dxa"/>
            <w:gridSpan w:val="2"/>
            <w:tcBorders/>
            <w:shd w:fill="CCEEFF" w:val="clear"/>
            <w:vAlign w:val="center"/>
          </w:tcPr>
          <w:p>
            <w:pPr>
              <w:pStyle w:val="TableContents"/>
              <w:bidi w:val="0"/>
              <w:spacing w:before="0" w:after="283"/>
              <w:jc w:val="left"/>
              <w:rPr>
                <w:caps/>
              </w:rPr>
            </w:pPr>
            <w:r>
              <w:rPr>
                <w:caps/>
              </w:rPr>
              <w:t>article 6</w:t>
            </w:r>
          </w:p>
        </w:tc>
        <w:tc>
          <w:tcPr>
            <w:tcW w:w="7947" w:type="dxa"/>
            <w:gridSpan w:val="2"/>
            <w:tcBorders/>
            <w:shd w:fill="CCEEFF" w:val="clear"/>
            <w:vAlign w:val="center"/>
          </w:tcPr>
          <w:p>
            <w:pPr>
              <w:pStyle w:val="TableContents"/>
              <w:bidi w:val="0"/>
              <w:spacing w:before="0" w:after="283"/>
              <w:jc w:val="left"/>
              <w:rPr/>
            </w:pPr>
            <w:r>
              <w:rPr/>
              <w:t>REMEDIES OF THE TRUSTEE AND SECURITYHOLDERS ON EVENT OF DEFAULT</w:t>
            </w:r>
          </w:p>
        </w:tc>
        <w:tc>
          <w:tcPr>
            <w:tcW w:w="607" w:type="dxa"/>
            <w:tcBorders/>
            <w:shd w:fill="CCEEFF" w:val="clear"/>
            <w:vAlign w:val="center"/>
          </w:tcPr>
          <w:p>
            <w:pPr>
              <w:pStyle w:val="TableContents"/>
              <w:bidi w:val="0"/>
              <w:spacing w:before="0" w:after="283"/>
              <w:jc w:val="center"/>
              <w:rPr>
                <w:caps/>
              </w:rPr>
            </w:pPr>
            <w:r>
              <w:rPr>
                <w:caps/>
              </w:rPr>
              <w:t>23</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6.01</w:t>
            </w:r>
          </w:p>
        </w:tc>
        <w:tc>
          <w:tcPr>
            <w:tcW w:w="7771" w:type="dxa"/>
            <w:tcBorders/>
            <w:shd w:fill="CCEEFF" w:val="clear"/>
            <w:vAlign w:val="center"/>
          </w:tcPr>
          <w:p>
            <w:pPr>
              <w:pStyle w:val="TableContents"/>
              <w:bidi w:val="0"/>
              <w:spacing w:before="0" w:after="283"/>
              <w:jc w:val="left"/>
              <w:rPr/>
            </w:pPr>
            <w:r>
              <w:rPr/>
              <w:t>Events of Default</w:t>
            </w:r>
          </w:p>
        </w:tc>
        <w:tc>
          <w:tcPr>
            <w:tcW w:w="607" w:type="dxa"/>
            <w:tcBorders/>
            <w:shd w:fill="CCEEFF" w:val="clear"/>
            <w:vAlign w:val="center"/>
          </w:tcPr>
          <w:p>
            <w:pPr>
              <w:pStyle w:val="TableContents"/>
              <w:bidi w:val="0"/>
              <w:spacing w:before="0" w:after="283"/>
              <w:jc w:val="center"/>
              <w:rPr/>
            </w:pPr>
            <w:r>
              <w:rPr/>
              <w:t>23</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6.02</w:t>
            </w:r>
          </w:p>
        </w:tc>
        <w:tc>
          <w:tcPr>
            <w:tcW w:w="7771" w:type="dxa"/>
            <w:tcBorders/>
            <w:shd w:fill="CCEEFF" w:val="clear"/>
            <w:vAlign w:val="center"/>
          </w:tcPr>
          <w:p>
            <w:pPr>
              <w:pStyle w:val="TableContents"/>
              <w:bidi w:val="0"/>
              <w:spacing w:before="0" w:after="283"/>
              <w:jc w:val="left"/>
              <w:rPr/>
            </w:pPr>
            <w:r>
              <w:rPr/>
              <w:t>Collection of Indebtedness and Suits for Enforcement by Trustee</w:t>
            </w:r>
          </w:p>
        </w:tc>
        <w:tc>
          <w:tcPr>
            <w:tcW w:w="607" w:type="dxa"/>
            <w:tcBorders/>
            <w:shd w:fill="CCEEFF" w:val="clear"/>
            <w:vAlign w:val="center"/>
          </w:tcPr>
          <w:p>
            <w:pPr>
              <w:pStyle w:val="TableContents"/>
              <w:bidi w:val="0"/>
              <w:spacing w:before="0" w:after="283"/>
              <w:jc w:val="center"/>
              <w:rPr/>
            </w:pPr>
            <w:r>
              <w:rPr/>
              <w:t>24</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6.03</w:t>
            </w:r>
          </w:p>
        </w:tc>
        <w:tc>
          <w:tcPr>
            <w:tcW w:w="7771" w:type="dxa"/>
            <w:tcBorders/>
            <w:shd w:fill="CCEEFF" w:val="clear"/>
            <w:vAlign w:val="center"/>
          </w:tcPr>
          <w:p>
            <w:pPr>
              <w:pStyle w:val="TableContents"/>
              <w:bidi w:val="0"/>
              <w:spacing w:before="0" w:after="283"/>
              <w:jc w:val="left"/>
              <w:rPr/>
            </w:pPr>
            <w:r>
              <w:rPr/>
              <w:t>Application of Moneys Collected</w:t>
            </w:r>
          </w:p>
        </w:tc>
        <w:tc>
          <w:tcPr>
            <w:tcW w:w="607" w:type="dxa"/>
            <w:tcBorders/>
            <w:shd w:fill="CCEEFF" w:val="clear"/>
            <w:vAlign w:val="center"/>
          </w:tcPr>
          <w:p>
            <w:pPr>
              <w:pStyle w:val="TableContents"/>
              <w:bidi w:val="0"/>
              <w:spacing w:before="0" w:after="283"/>
              <w:jc w:val="center"/>
              <w:rPr/>
            </w:pPr>
            <w:r>
              <w:rPr/>
              <w:t>25</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6.04</w:t>
            </w:r>
          </w:p>
        </w:tc>
        <w:tc>
          <w:tcPr>
            <w:tcW w:w="7771" w:type="dxa"/>
            <w:tcBorders/>
            <w:shd w:fill="CCEEFF" w:val="clear"/>
            <w:vAlign w:val="center"/>
          </w:tcPr>
          <w:p>
            <w:pPr>
              <w:pStyle w:val="TableContents"/>
              <w:bidi w:val="0"/>
              <w:spacing w:before="0" w:after="283"/>
              <w:jc w:val="left"/>
              <w:rPr/>
            </w:pPr>
            <w:r>
              <w:rPr/>
              <w:t>Limitation on Suits</w:t>
            </w:r>
          </w:p>
        </w:tc>
        <w:tc>
          <w:tcPr>
            <w:tcW w:w="607" w:type="dxa"/>
            <w:tcBorders/>
            <w:shd w:fill="CCEEFF" w:val="clear"/>
            <w:vAlign w:val="center"/>
          </w:tcPr>
          <w:p>
            <w:pPr>
              <w:pStyle w:val="TableContents"/>
              <w:bidi w:val="0"/>
              <w:spacing w:before="0" w:after="283"/>
              <w:jc w:val="center"/>
              <w:rPr/>
            </w:pPr>
            <w:r>
              <w:rPr/>
              <w:t>25</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6.05</w:t>
            </w:r>
          </w:p>
        </w:tc>
        <w:tc>
          <w:tcPr>
            <w:tcW w:w="7771" w:type="dxa"/>
            <w:tcBorders/>
            <w:shd w:fill="CCEEFF" w:val="clear"/>
            <w:vAlign w:val="center"/>
          </w:tcPr>
          <w:p>
            <w:pPr>
              <w:pStyle w:val="TableContents"/>
              <w:bidi w:val="0"/>
              <w:spacing w:before="0" w:after="283"/>
              <w:jc w:val="left"/>
              <w:rPr/>
            </w:pPr>
            <w:r>
              <w:rPr/>
              <w:t>Rights and Remedies Cumulative; Delay or Omission Not Waiver</w:t>
            </w:r>
          </w:p>
        </w:tc>
        <w:tc>
          <w:tcPr>
            <w:tcW w:w="607" w:type="dxa"/>
            <w:tcBorders/>
            <w:shd w:fill="CCEEFF" w:val="clear"/>
            <w:vAlign w:val="center"/>
          </w:tcPr>
          <w:p>
            <w:pPr>
              <w:pStyle w:val="TableContents"/>
              <w:bidi w:val="0"/>
              <w:spacing w:before="0" w:after="283"/>
              <w:jc w:val="center"/>
              <w:rPr/>
            </w:pPr>
            <w:r>
              <w:rPr/>
              <w:t>26</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6.06</w:t>
            </w:r>
          </w:p>
        </w:tc>
        <w:tc>
          <w:tcPr>
            <w:tcW w:w="7771" w:type="dxa"/>
            <w:tcBorders/>
            <w:shd w:fill="CCEEFF" w:val="clear"/>
            <w:vAlign w:val="center"/>
          </w:tcPr>
          <w:p>
            <w:pPr>
              <w:pStyle w:val="TableContents"/>
              <w:bidi w:val="0"/>
              <w:spacing w:before="0" w:after="283"/>
              <w:jc w:val="left"/>
              <w:rPr/>
            </w:pPr>
            <w:r>
              <w:rPr/>
              <w:t>Control by Securityholders</w:t>
            </w:r>
          </w:p>
        </w:tc>
        <w:tc>
          <w:tcPr>
            <w:tcW w:w="607" w:type="dxa"/>
            <w:tcBorders/>
            <w:shd w:fill="CCEEFF" w:val="clear"/>
            <w:vAlign w:val="center"/>
          </w:tcPr>
          <w:p>
            <w:pPr>
              <w:pStyle w:val="TableContents"/>
              <w:bidi w:val="0"/>
              <w:spacing w:before="0" w:after="283"/>
              <w:jc w:val="center"/>
              <w:rPr/>
            </w:pPr>
            <w:r>
              <w:rPr/>
              <w:t>26</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6.07</w:t>
            </w:r>
          </w:p>
        </w:tc>
        <w:tc>
          <w:tcPr>
            <w:tcW w:w="7771" w:type="dxa"/>
            <w:tcBorders/>
            <w:shd w:fill="CCEEFF" w:val="clear"/>
            <w:vAlign w:val="center"/>
          </w:tcPr>
          <w:p>
            <w:pPr>
              <w:pStyle w:val="TableContents"/>
              <w:bidi w:val="0"/>
              <w:spacing w:before="0" w:after="283"/>
              <w:jc w:val="left"/>
              <w:rPr/>
            </w:pPr>
            <w:r>
              <w:rPr/>
              <w:t>Undertaking to Pay Costs</w:t>
            </w:r>
          </w:p>
        </w:tc>
        <w:tc>
          <w:tcPr>
            <w:tcW w:w="607" w:type="dxa"/>
            <w:tcBorders/>
            <w:shd w:fill="CCEEFF" w:val="clear"/>
            <w:vAlign w:val="center"/>
          </w:tcPr>
          <w:p>
            <w:pPr>
              <w:pStyle w:val="TableContents"/>
              <w:bidi w:val="0"/>
              <w:spacing w:before="0" w:after="283"/>
              <w:jc w:val="center"/>
              <w:rPr/>
            </w:pPr>
            <w:r>
              <w:rPr/>
              <w:t>27</w:t>
            </w:r>
          </w:p>
        </w:tc>
      </w:tr>
      <w:tr>
        <w:trPr/>
        <w:tc>
          <w:tcPr>
            <w:tcW w:w="672" w:type="dxa"/>
            <w:tcBorders/>
            <w:shd w:fill="FFFFFF" w:val="clear"/>
            <w:vAlign w:val="center"/>
          </w:tcPr>
          <w:p>
            <w:pPr>
              <w:pStyle w:val="TableContents"/>
              <w:bidi w:val="0"/>
              <w:spacing w:before="0" w:after="283"/>
              <w:jc w:val="left"/>
              <w:rPr>
                <w:caps/>
              </w:rPr>
            </w:pPr>
            <w:r>
              <w:rPr>
                <w:caps/>
              </w:rPr>
              <w:t> </w:t>
            </w:r>
          </w:p>
        </w:tc>
        <w:tc>
          <w:tcPr>
            <w:tcW w:w="979" w:type="dxa"/>
            <w:tcBorders/>
            <w:shd w:fill="FFFFFF" w:val="clear"/>
            <w:vAlign w:val="center"/>
          </w:tcPr>
          <w:p>
            <w:pPr>
              <w:pStyle w:val="TableContents"/>
              <w:bidi w:val="0"/>
              <w:spacing w:before="0" w:after="283"/>
              <w:jc w:val="left"/>
              <w:rPr>
                <w:caps/>
              </w:rPr>
            </w:pPr>
            <w:r>
              <w:rPr>
                <w:caps/>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caps/>
              </w:rPr>
            </w:pPr>
            <w:r>
              <w:rPr>
                <w:caps/>
              </w:rPr>
              <w:t> </w:t>
            </w:r>
          </w:p>
        </w:tc>
        <w:tc>
          <w:tcPr>
            <w:tcW w:w="607" w:type="dxa"/>
            <w:tcBorders/>
            <w:shd w:fill="FFFFFF" w:val="clear"/>
            <w:vAlign w:val="center"/>
          </w:tcPr>
          <w:p>
            <w:pPr>
              <w:pStyle w:val="TableContents"/>
              <w:bidi w:val="0"/>
              <w:spacing w:before="0" w:after="283"/>
              <w:jc w:val="center"/>
              <w:rPr>
                <w:caps/>
              </w:rPr>
            </w:pPr>
            <w:r>
              <w:rPr>
                <w:caps/>
              </w:rPr>
              <w:t> </w:t>
            </w:r>
          </w:p>
        </w:tc>
      </w:tr>
      <w:tr>
        <w:trPr/>
        <w:tc>
          <w:tcPr>
            <w:tcW w:w="1651" w:type="dxa"/>
            <w:gridSpan w:val="2"/>
            <w:tcBorders/>
            <w:shd w:fill="CCEEFF" w:val="clear"/>
            <w:vAlign w:val="center"/>
          </w:tcPr>
          <w:p>
            <w:pPr>
              <w:pStyle w:val="TableContents"/>
              <w:bidi w:val="0"/>
              <w:spacing w:before="0" w:after="283"/>
              <w:jc w:val="left"/>
              <w:rPr>
                <w:caps/>
              </w:rPr>
            </w:pPr>
            <w:r>
              <w:rPr>
                <w:caps/>
              </w:rPr>
              <w:t>article 7</w:t>
            </w:r>
          </w:p>
        </w:tc>
        <w:tc>
          <w:tcPr>
            <w:tcW w:w="7947" w:type="dxa"/>
            <w:gridSpan w:val="2"/>
            <w:tcBorders/>
            <w:shd w:fill="CCEEFF" w:val="clear"/>
            <w:vAlign w:val="center"/>
          </w:tcPr>
          <w:p>
            <w:pPr>
              <w:pStyle w:val="TableContents"/>
              <w:bidi w:val="0"/>
              <w:spacing w:before="0" w:after="283"/>
              <w:jc w:val="left"/>
              <w:rPr/>
            </w:pPr>
            <w:r>
              <w:rPr/>
              <w:t>CONCERNING THE TRUSTEE</w:t>
            </w:r>
          </w:p>
        </w:tc>
        <w:tc>
          <w:tcPr>
            <w:tcW w:w="607" w:type="dxa"/>
            <w:tcBorders/>
            <w:shd w:fill="CCEEFF" w:val="clear"/>
            <w:vAlign w:val="center"/>
          </w:tcPr>
          <w:p>
            <w:pPr>
              <w:pStyle w:val="TableContents"/>
              <w:bidi w:val="0"/>
              <w:spacing w:before="0" w:after="283"/>
              <w:jc w:val="center"/>
              <w:rPr>
                <w:caps/>
              </w:rPr>
            </w:pPr>
            <w:r>
              <w:rPr>
                <w:caps/>
              </w:rPr>
              <w:t>27</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7.01</w:t>
            </w:r>
          </w:p>
        </w:tc>
        <w:tc>
          <w:tcPr>
            <w:tcW w:w="7771" w:type="dxa"/>
            <w:tcBorders/>
            <w:shd w:fill="CCEEFF" w:val="clear"/>
            <w:vAlign w:val="center"/>
          </w:tcPr>
          <w:p>
            <w:pPr>
              <w:pStyle w:val="TableContents"/>
              <w:bidi w:val="0"/>
              <w:spacing w:before="0" w:after="283"/>
              <w:jc w:val="left"/>
              <w:rPr/>
            </w:pPr>
            <w:r>
              <w:rPr/>
              <w:t>Certain Duties and Responsibilities of Trustee</w:t>
            </w:r>
          </w:p>
        </w:tc>
        <w:tc>
          <w:tcPr>
            <w:tcW w:w="607" w:type="dxa"/>
            <w:tcBorders/>
            <w:shd w:fill="CCEEFF" w:val="clear"/>
            <w:vAlign w:val="center"/>
          </w:tcPr>
          <w:p>
            <w:pPr>
              <w:pStyle w:val="TableContents"/>
              <w:bidi w:val="0"/>
              <w:spacing w:before="0" w:after="283"/>
              <w:jc w:val="center"/>
              <w:rPr/>
            </w:pPr>
            <w:r>
              <w:rPr/>
              <w:t>27</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7.02</w:t>
            </w:r>
          </w:p>
        </w:tc>
        <w:tc>
          <w:tcPr>
            <w:tcW w:w="7771" w:type="dxa"/>
            <w:tcBorders/>
            <w:shd w:fill="CCEEFF" w:val="clear"/>
            <w:vAlign w:val="center"/>
          </w:tcPr>
          <w:p>
            <w:pPr>
              <w:pStyle w:val="TableContents"/>
              <w:bidi w:val="0"/>
              <w:spacing w:before="0" w:after="283"/>
              <w:jc w:val="left"/>
              <w:rPr/>
            </w:pPr>
            <w:r>
              <w:rPr/>
              <w:t>Certain Rights of Trustee</w:t>
            </w:r>
          </w:p>
        </w:tc>
        <w:tc>
          <w:tcPr>
            <w:tcW w:w="607" w:type="dxa"/>
            <w:tcBorders/>
            <w:shd w:fill="CCEEFF" w:val="clear"/>
            <w:vAlign w:val="center"/>
          </w:tcPr>
          <w:p>
            <w:pPr>
              <w:pStyle w:val="TableContents"/>
              <w:bidi w:val="0"/>
              <w:spacing w:before="0" w:after="283"/>
              <w:jc w:val="center"/>
              <w:rPr/>
            </w:pPr>
            <w:r>
              <w:rPr/>
              <w:t>28</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7.03</w:t>
            </w:r>
          </w:p>
        </w:tc>
        <w:tc>
          <w:tcPr>
            <w:tcW w:w="7771" w:type="dxa"/>
            <w:tcBorders/>
            <w:shd w:fill="CCEEFF" w:val="clear"/>
            <w:vAlign w:val="center"/>
          </w:tcPr>
          <w:p>
            <w:pPr>
              <w:pStyle w:val="TableContents"/>
              <w:bidi w:val="0"/>
              <w:spacing w:before="0" w:after="283"/>
              <w:jc w:val="left"/>
              <w:rPr/>
            </w:pPr>
            <w:r>
              <w:rPr/>
              <w:t>Trustee Not Responsible for Recitals or Issuance or Securities</w:t>
            </w:r>
          </w:p>
        </w:tc>
        <w:tc>
          <w:tcPr>
            <w:tcW w:w="607" w:type="dxa"/>
            <w:tcBorders/>
            <w:shd w:fill="CCEEFF" w:val="clear"/>
            <w:vAlign w:val="center"/>
          </w:tcPr>
          <w:p>
            <w:pPr>
              <w:pStyle w:val="TableContents"/>
              <w:bidi w:val="0"/>
              <w:spacing w:before="0" w:after="283"/>
              <w:jc w:val="center"/>
              <w:rPr/>
            </w:pPr>
            <w:r>
              <w:rPr/>
              <w:t>30</w:t>
            </w:r>
          </w:p>
        </w:tc>
      </w:tr>
      <w:tr>
        <w:trPr/>
        <w:tc>
          <w:tcPr>
            <w:tcW w:w="672" w:type="dxa"/>
            <w:tcBorders/>
            <w:shd w:fill="FFFFFF" w:val="clear"/>
            <w:vAlign w:val="center"/>
          </w:tcPr>
          <w:p>
            <w:pPr>
              <w:pStyle w:val="TableContents"/>
              <w:bidi w:val="0"/>
              <w:spacing w:before="0" w:after="283"/>
              <w:jc w:val="center"/>
              <w:rPr/>
            </w:pPr>
            <w:r>
              <w:rPr/>
              <w:t> </w:t>
            </w:r>
          </w:p>
        </w:tc>
        <w:tc>
          <w:tcPr>
            <w:tcW w:w="979"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71"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center"/>
              <w:rPr/>
            </w:pPr>
            <w:r>
              <w:rPr/>
              <w:t> </w:t>
            </w:r>
          </w:p>
        </w:tc>
      </w:tr>
      <w:tr>
        <w:trPr/>
        <w:tc>
          <w:tcPr>
            <w:tcW w:w="672" w:type="dxa"/>
            <w:tcBorders/>
            <w:shd w:fill="CCEEFF" w:val="clear"/>
            <w:vAlign w:val="center"/>
          </w:tcPr>
          <w:p>
            <w:pPr>
              <w:pStyle w:val="TableContents"/>
              <w:bidi w:val="0"/>
              <w:spacing w:before="0" w:after="283"/>
              <w:jc w:val="center"/>
              <w:rPr/>
            </w:pPr>
            <w:r>
              <w:rPr/>
              <w:t> </w:t>
            </w:r>
          </w:p>
        </w:tc>
        <w:tc>
          <w:tcPr>
            <w:tcW w:w="1155" w:type="dxa"/>
            <w:gridSpan w:val="2"/>
            <w:tcBorders/>
            <w:shd w:fill="CCEEFF" w:val="clear"/>
            <w:vAlign w:val="center"/>
          </w:tcPr>
          <w:p>
            <w:pPr>
              <w:pStyle w:val="TableContents"/>
              <w:bidi w:val="0"/>
              <w:spacing w:before="0" w:after="283"/>
              <w:jc w:val="left"/>
              <w:rPr/>
            </w:pPr>
            <w:r>
              <w:rPr/>
              <w:t>Section 7.04</w:t>
            </w:r>
          </w:p>
        </w:tc>
        <w:tc>
          <w:tcPr>
            <w:tcW w:w="7771" w:type="dxa"/>
            <w:tcBorders/>
            <w:shd w:fill="CCEEFF" w:val="clear"/>
            <w:vAlign w:val="center"/>
          </w:tcPr>
          <w:p>
            <w:pPr>
              <w:pStyle w:val="TableContents"/>
              <w:bidi w:val="0"/>
              <w:spacing w:before="0" w:after="283"/>
              <w:jc w:val="left"/>
              <w:rPr/>
            </w:pPr>
            <w:r>
              <w:rPr/>
              <w:t>May Hold Securities</w:t>
            </w:r>
          </w:p>
        </w:tc>
        <w:tc>
          <w:tcPr>
            <w:tcW w:w="607" w:type="dxa"/>
            <w:tcBorders/>
            <w:shd w:fill="CCEEFF" w:val="clear"/>
            <w:vAlign w:val="center"/>
          </w:tcPr>
          <w:p>
            <w:pPr>
              <w:pStyle w:val="TableContents"/>
              <w:bidi w:val="0"/>
              <w:spacing w:before="0" w:after="283"/>
              <w:jc w:val="center"/>
              <w:rPr/>
            </w:pPr>
            <w:r>
              <w:rPr/>
              <w:t>30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(continued)</w:t>
      </w:r>
    </w:p>
    <w:p>
      <w:pPr>
        <w:pStyle w:val="TextBody"/>
        <w:bidi w:val="0"/>
        <w:spacing w:before="0" w:after="283"/>
        <w:jc w:val="left"/>
        <w:rPr/>
      </w:pPr>
      <w:r>
        <w:rPr/>
        <w:t> </w:t>
      </w:r>
    </w:p>
    <w:tbl>
      <w:tblPr>
        <w:tblW w:w="8612" w:type="dxa"/>
        <w:jc w:val="left"/>
        <w:tblInd w:w="0" w:type="dxa"/>
        <w:tblLayout w:type="fixed"/>
        <w:tblCellMar>
          <w:top w:w="0" w:type="dxa"/>
          <w:left w:w="0" w:type="dxa"/>
          <w:bottom w:w="0" w:type="dxa"/>
          <w:right w:w="0" w:type="dxa"/>
        </w:tblCellMar>
      </w:tblPr>
      <w:tblGrid>
        <w:gridCol w:w="213"/>
        <w:gridCol w:w="1036"/>
        <w:gridCol w:w="603"/>
        <w:gridCol w:w="6155"/>
        <w:gridCol w:w="605"/>
      </w:tblGrid>
      <w:tr>
        <w:trPr/>
        <w:tc>
          <w:tcPr>
            <w:tcW w:w="213" w:type="dxa"/>
            <w:tcBorders/>
            <w:shd w:fill="FFFFFF" w:val="clear"/>
            <w:vAlign w:val="center"/>
          </w:tcPr>
          <w:p>
            <w:pPr>
              <w:pStyle w:val="TableContents"/>
              <w:bidi w:val="0"/>
              <w:spacing w:before="0" w:after="283"/>
              <w:jc w:val="center"/>
              <w:rPr/>
            </w:pPr>
            <w:r>
              <w:rPr/>
              <w:t> </w:t>
            </w:r>
          </w:p>
        </w:tc>
        <w:tc>
          <w:tcPr>
            <w:tcW w:w="1639" w:type="dxa"/>
            <w:gridSpan w:val="2"/>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center"/>
              <w:rPr>
                <w:b/>
                <w:smallCaps/>
              </w:rPr>
            </w:pPr>
            <w:r>
              <w:rPr>
                <w:b/>
                <w:smallCaps/>
              </w:rPr>
              <w:t>Page</w:t>
            </w:r>
          </w:p>
        </w:tc>
      </w:tr>
      <w:tr>
        <w:trPr/>
        <w:tc>
          <w:tcPr>
            <w:tcW w:w="213" w:type="dxa"/>
            <w:tcBorders/>
            <w:shd w:fill="FFFFFF" w:val="clear"/>
            <w:vAlign w:val="center"/>
          </w:tcPr>
          <w:p>
            <w:pPr>
              <w:pStyle w:val="TableContents"/>
              <w:bidi w:val="0"/>
              <w:spacing w:before="0" w:after="283"/>
              <w:jc w:val="center"/>
              <w:rPr/>
            </w:pPr>
            <w:r>
              <w:rPr/>
              <w:t> </w:t>
            </w:r>
          </w:p>
        </w:tc>
        <w:tc>
          <w:tcPr>
            <w:tcW w:w="1639" w:type="dxa"/>
            <w:gridSpan w:val="2"/>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7.05</w:t>
            </w:r>
          </w:p>
        </w:tc>
        <w:tc>
          <w:tcPr>
            <w:tcW w:w="6155" w:type="dxa"/>
            <w:tcBorders/>
            <w:shd w:fill="CCEEFF" w:val="clear"/>
            <w:vAlign w:val="center"/>
          </w:tcPr>
          <w:p>
            <w:pPr>
              <w:pStyle w:val="TableContents"/>
              <w:bidi w:val="0"/>
              <w:spacing w:before="0" w:after="283"/>
              <w:jc w:val="left"/>
              <w:rPr/>
            </w:pPr>
            <w:r>
              <w:rPr/>
              <w:t>Moneys Held in Trust</w:t>
            </w:r>
          </w:p>
        </w:tc>
        <w:tc>
          <w:tcPr>
            <w:tcW w:w="605" w:type="dxa"/>
            <w:tcBorders/>
            <w:shd w:fill="CCEEFF" w:val="clear"/>
            <w:vAlign w:val="center"/>
          </w:tcPr>
          <w:p>
            <w:pPr>
              <w:pStyle w:val="TableContents"/>
              <w:bidi w:val="0"/>
              <w:spacing w:before="0" w:after="283"/>
              <w:jc w:val="center"/>
              <w:rPr/>
            </w:pPr>
            <w:r>
              <w:rPr/>
              <w:t>31</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7.06</w:t>
            </w:r>
          </w:p>
        </w:tc>
        <w:tc>
          <w:tcPr>
            <w:tcW w:w="6155" w:type="dxa"/>
            <w:tcBorders/>
            <w:shd w:fill="CCEEFF" w:val="clear"/>
            <w:vAlign w:val="center"/>
          </w:tcPr>
          <w:p>
            <w:pPr>
              <w:pStyle w:val="TableContents"/>
              <w:bidi w:val="0"/>
              <w:spacing w:before="0" w:after="283"/>
              <w:jc w:val="left"/>
              <w:rPr/>
            </w:pPr>
            <w:r>
              <w:rPr/>
              <w:t>Compensation and Reimbursement</w:t>
            </w:r>
          </w:p>
        </w:tc>
        <w:tc>
          <w:tcPr>
            <w:tcW w:w="605" w:type="dxa"/>
            <w:tcBorders/>
            <w:shd w:fill="CCEEFF" w:val="clear"/>
            <w:vAlign w:val="center"/>
          </w:tcPr>
          <w:p>
            <w:pPr>
              <w:pStyle w:val="TableContents"/>
              <w:bidi w:val="0"/>
              <w:spacing w:before="0" w:after="283"/>
              <w:jc w:val="center"/>
              <w:rPr/>
            </w:pPr>
            <w:r>
              <w:rPr/>
              <w:t>31</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7.07</w:t>
            </w:r>
          </w:p>
        </w:tc>
        <w:tc>
          <w:tcPr>
            <w:tcW w:w="6155" w:type="dxa"/>
            <w:tcBorders/>
            <w:shd w:fill="CCEEFF" w:val="clear"/>
            <w:vAlign w:val="center"/>
          </w:tcPr>
          <w:p>
            <w:pPr>
              <w:pStyle w:val="TableContents"/>
              <w:bidi w:val="0"/>
              <w:spacing w:before="0" w:after="283"/>
              <w:jc w:val="left"/>
              <w:rPr/>
            </w:pPr>
            <w:r>
              <w:rPr/>
              <w:t>Reliance on Officer’s Certificate</w:t>
            </w:r>
          </w:p>
        </w:tc>
        <w:tc>
          <w:tcPr>
            <w:tcW w:w="605" w:type="dxa"/>
            <w:tcBorders/>
            <w:shd w:fill="CCEEFF" w:val="clear"/>
            <w:vAlign w:val="center"/>
          </w:tcPr>
          <w:p>
            <w:pPr>
              <w:pStyle w:val="TableContents"/>
              <w:bidi w:val="0"/>
              <w:spacing w:before="0" w:after="283"/>
              <w:jc w:val="center"/>
              <w:rPr/>
            </w:pPr>
            <w:r>
              <w:rPr/>
              <w:t>31</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7.08</w:t>
            </w:r>
          </w:p>
        </w:tc>
        <w:tc>
          <w:tcPr>
            <w:tcW w:w="6155" w:type="dxa"/>
            <w:tcBorders/>
            <w:shd w:fill="CCEEFF" w:val="clear"/>
            <w:vAlign w:val="center"/>
          </w:tcPr>
          <w:p>
            <w:pPr>
              <w:pStyle w:val="TableContents"/>
              <w:bidi w:val="0"/>
              <w:spacing w:before="0" w:after="283"/>
              <w:jc w:val="left"/>
              <w:rPr/>
            </w:pPr>
            <w:r>
              <w:rPr/>
              <w:t>Disqualification; Conflicting Interests</w:t>
            </w:r>
          </w:p>
        </w:tc>
        <w:tc>
          <w:tcPr>
            <w:tcW w:w="605" w:type="dxa"/>
            <w:tcBorders/>
            <w:shd w:fill="CCEEFF" w:val="clear"/>
            <w:vAlign w:val="center"/>
          </w:tcPr>
          <w:p>
            <w:pPr>
              <w:pStyle w:val="TableContents"/>
              <w:bidi w:val="0"/>
              <w:spacing w:before="0" w:after="283"/>
              <w:jc w:val="center"/>
              <w:rPr/>
            </w:pPr>
            <w:r>
              <w:rPr/>
              <w:t>31</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7.09</w:t>
            </w:r>
          </w:p>
        </w:tc>
        <w:tc>
          <w:tcPr>
            <w:tcW w:w="6155" w:type="dxa"/>
            <w:tcBorders/>
            <w:shd w:fill="CCEEFF" w:val="clear"/>
            <w:vAlign w:val="center"/>
          </w:tcPr>
          <w:p>
            <w:pPr>
              <w:pStyle w:val="TableContents"/>
              <w:bidi w:val="0"/>
              <w:spacing w:before="0" w:after="283"/>
              <w:jc w:val="left"/>
              <w:rPr/>
            </w:pPr>
            <w:r>
              <w:rPr/>
              <w:t>Corporate Trustee Required; Eligibility</w:t>
            </w:r>
          </w:p>
        </w:tc>
        <w:tc>
          <w:tcPr>
            <w:tcW w:w="605" w:type="dxa"/>
            <w:tcBorders/>
            <w:shd w:fill="CCEEFF" w:val="clear"/>
            <w:vAlign w:val="center"/>
          </w:tcPr>
          <w:p>
            <w:pPr>
              <w:pStyle w:val="TableContents"/>
              <w:bidi w:val="0"/>
              <w:spacing w:before="0" w:after="283"/>
              <w:jc w:val="center"/>
              <w:rPr/>
            </w:pPr>
            <w:r>
              <w:rPr/>
              <w:t>32</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7.10</w:t>
            </w:r>
          </w:p>
        </w:tc>
        <w:tc>
          <w:tcPr>
            <w:tcW w:w="6155" w:type="dxa"/>
            <w:tcBorders/>
            <w:shd w:fill="CCEEFF" w:val="clear"/>
            <w:vAlign w:val="center"/>
          </w:tcPr>
          <w:p>
            <w:pPr>
              <w:pStyle w:val="TableContents"/>
              <w:bidi w:val="0"/>
              <w:spacing w:before="0" w:after="283"/>
              <w:jc w:val="left"/>
              <w:rPr/>
            </w:pPr>
            <w:r>
              <w:rPr/>
              <w:t>Resignation and Removal; Appointment of Successor</w:t>
            </w:r>
          </w:p>
        </w:tc>
        <w:tc>
          <w:tcPr>
            <w:tcW w:w="605" w:type="dxa"/>
            <w:tcBorders/>
            <w:shd w:fill="CCEEFF" w:val="clear"/>
            <w:vAlign w:val="center"/>
          </w:tcPr>
          <w:p>
            <w:pPr>
              <w:pStyle w:val="TableContents"/>
              <w:bidi w:val="0"/>
              <w:spacing w:before="0" w:after="283"/>
              <w:jc w:val="center"/>
              <w:rPr/>
            </w:pPr>
            <w:r>
              <w:rPr/>
              <w:t>32</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7.11</w:t>
            </w:r>
          </w:p>
        </w:tc>
        <w:tc>
          <w:tcPr>
            <w:tcW w:w="6155" w:type="dxa"/>
            <w:tcBorders/>
            <w:shd w:fill="CCEEFF" w:val="clear"/>
            <w:vAlign w:val="center"/>
          </w:tcPr>
          <w:p>
            <w:pPr>
              <w:pStyle w:val="TableContents"/>
              <w:bidi w:val="0"/>
              <w:spacing w:before="0" w:after="283"/>
              <w:jc w:val="left"/>
              <w:rPr/>
            </w:pPr>
            <w:r>
              <w:rPr/>
              <w:t>Acceptance of Appointment by Successor</w:t>
            </w:r>
          </w:p>
        </w:tc>
        <w:tc>
          <w:tcPr>
            <w:tcW w:w="605" w:type="dxa"/>
            <w:tcBorders/>
            <w:shd w:fill="CCEEFF" w:val="clear"/>
            <w:vAlign w:val="center"/>
          </w:tcPr>
          <w:p>
            <w:pPr>
              <w:pStyle w:val="TableContents"/>
              <w:bidi w:val="0"/>
              <w:spacing w:before="0" w:after="283"/>
              <w:jc w:val="center"/>
              <w:rPr/>
            </w:pPr>
            <w:r>
              <w:rPr/>
              <w:t>33</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7.12</w:t>
            </w:r>
          </w:p>
        </w:tc>
        <w:tc>
          <w:tcPr>
            <w:tcW w:w="6155" w:type="dxa"/>
            <w:tcBorders/>
            <w:shd w:fill="CCEEFF" w:val="clear"/>
            <w:vAlign w:val="center"/>
          </w:tcPr>
          <w:p>
            <w:pPr>
              <w:pStyle w:val="TableContents"/>
              <w:bidi w:val="0"/>
              <w:spacing w:before="0" w:after="283"/>
              <w:jc w:val="left"/>
              <w:rPr/>
            </w:pPr>
            <w:r>
              <w:rPr/>
              <w:t>Merger, Conversion, Consolidation or Succession to Business</w:t>
            </w:r>
          </w:p>
        </w:tc>
        <w:tc>
          <w:tcPr>
            <w:tcW w:w="605" w:type="dxa"/>
            <w:tcBorders/>
            <w:shd w:fill="CCEEFF" w:val="clear"/>
            <w:vAlign w:val="center"/>
          </w:tcPr>
          <w:p>
            <w:pPr>
              <w:pStyle w:val="TableContents"/>
              <w:bidi w:val="0"/>
              <w:spacing w:before="0" w:after="283"/>
              <w:jc w:val="center"/>
              <w:rPr/>
            </w:pPr>
            <w:r>
              <w:rPr/>
              <w:t>34</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7.13</w:t>
            </w:r>
          </w:p>
        </w:tc>
        <w:tc>
          <w:tcPr>
            <w:tcW w:w="6155" w:type="dxa"/>
            <w:tcBorders/>
            <w:shd w:fill="CCEEFF" w:val="clear"/>
            <w:vAlign w:val="center"/>
          </w:tcPr>
          <w:p>
            <w:pPr>
              <w:pStyle w:val="TableContents"/>
              <w:bidi w:val="0"/>
              <w:spacing w:before="0" w:after="283"/>
              <w:jc w:val="left"/>
              <w:rPr/>
            </w:pPr>
            <w:r>
              <w:rPr/>
              <w:t>Preferential Collection of Claims Against the Company</w:t>
            </w:r>
          </w:p>
        </w:tc>
        <w:tc>
          <w:tcPr>
            <w:tcW w:w="605" w:type="dxa"/>
            <w:tcBorders/>
            <w:shd w:fill="CCEEFF" w:val="clear"/>
            <w:vAlign w:val="center"/>
          </w:tcPr>
          <w:p>
            <w:pPr>
              <w:pStyle w:val="TableContents"/>
              <w:bidi w:val="0"/>
              <w:spacing w:before="0" w:after="283"/>
              <w:jc w:val="center"/>
              <w:rPr/>
            </w:pPr>
            <w:r>
              <w:rPr/>
              <w:t>34</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7.14</w:t>
            </w:r>
          </w:p>
        </w:tc>
        <w:tc>
          <w:tcPr>
            <w:tcW w:w="6155" w:type="dxa"/>
            <w:tcBorders/>
            <w:shd w:fill="CCEEFF" w:val="clear"/>
            <w:vAlign w:val="center"/>
          </w:tcPr>
          <w:p>
            <w:pPr>
              <w:pStyle w:val="TableContents"/>
              <w:bidi w:val="0"/>
              <w:spacing w:before="0" w:after="283"/>
              <w:jc w:val="left"/>
              <w:rPr/>
            </w:pPr>
            <w:r>
              <w:rPr/>
              <w:t>Notice of Default.</w:t>
            </w:r>
          </w:p>
        </w:tc>
        <w:tc>
          <w:tcPr>
            <w:tcW w:w="605" w:type="dxa"/>
            <w:tcBorders/>
            <w:shd w:fill="CCEEFF" w:val="clear"/>
            <w:vAlign w:val="center"/>
          </w:tcPr>
          <w:p>
            <w:pPr>
              <w:pStyle w:val="TableContents"/>
              <w:bidi w:val="0"/>
              <w:spacing w:before="0" w:after="283"/>
              <w:jc w:val="center"/>
              <w:rPr/>
            </w:pPr>
            <w:r>
              <w:rPr/>
              <w:t>34</w:t>
            </w:r>
          </w:p>
        </w:tc>
      </w:tr>
      <w:tr>
        <w:trPr/>
        <w:tc>
          <w:tcPr>
            <w:tcW w:w="213" w:type="dxa"/>
            <w:tcBorders/>
            <w:shd w:fill="FFFFFF" w:val="clear"/>
            <w:vAlign w:val="center"/>
          </w:tcPr>
          <w:p>
            <w:pPr>
              <w:pStyle w:val="TableContents"/>
              <w:bidi w:val="0"/>
              <w:spacing w:before="0" w:after="283"/>
              <w:jc w:val="left"/>
              <w:rPr>
                <w:caps/>
              </w:rPr>
            </w:pPr>
            <w:r>
              <w:rPr>
                <w:caps/>
              </w:rPr>
              <w:t> </w:t>
            </w:r>
          </w:p>
        </w:tc>
        <w:tc>
          <w:tcPr>
            <w:tcW w:w="1036" w:type="dxa"/>
            <w:tcBorders/>
            <w:shd w:fill="FFFFFF" w:val="clear"/>
            <w:vAlign w:val="center"/>
          </w:tcPr>
          <w:p>
            <w:pPr>
              <w:pStyle w:val="TableContents"/>
              <w:bidi w:val="0"/>
              <w:spacing w:before="0" w:after="283"/>
              <w:jc w:val="left"/>
              <w:rPr>
                <w:caps/>
              </w:rPr>
            </w:pPr>
            <w:r>
              <w:rPr>
                <w:caps/>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caps/>
              </w:rPr>
            </w:pPr>
            <w:r>
              <w:rPr>
                <w:caps/>
              </w:rPr>
              <w:t> </w:t>
            </w:r>
          </w:p>
        </w:tc>
        <w:tc>
          <w:tcPr>
            <w:tcW w:w="605" w:type="dxa"/>
            <w:tcBorders/>
            <w:shd w:fill="FFFFFF" w:val="clear"/>
            <w:vAlign w:val="center"/>
          </w:tcPr>
          <w:p>
            <w:pPr>
              <w:pStyle w:val="TableContents"/>
              <w:bidi w:val="0"/>
              <w:spacing w:before="0" w:after="283"/>
              <w:jc w:val="center"/>
              <w:rPr>
                <w:caps/>
              </w:rPr>
            </w:pPr>
            <w:r>
              <w:rPr>
                <w:caps/>
              </w:rPr>
              <w:t> </w:t>
            </w:r>
          </w:p>
        </w:tc>
      </w:tr>
      <w:tr>
        <w:trPr/>
        <w:tc>
          <w:tcPr>
            <w:tcW w:w="1249" w:type="dxa"/>
            <w:gridSpan w:val="2"/>
            <w:tcBorders/>
            <w:shd w:fill="CCEEFF" w:val="clear"/>
            <w:vAlign w:val="center"/>
          </w:tcPr>
          <w:p>
            <w:pPr>
              <w:pStyle w:val="TableContents"/>
              <w:bidi w:val="0"/>
              <w:spacing w:before="0" w:after="283"/>
              <w:jc w:val="left"/>
              <w:rPr>
                <w:caps/>
              </w:rPr>
            </w:pPr>
            <w:r>
              <w:rPr>
                <w:caps/>
              </w:rPr>
              <w:t>article 8</w:t>
            </w:r>
          </w:p>
        </w:tc>
        <w:tc>
          <w:tcPr>
            <w:tcW w:w="6758" w:type="dxa"/>
            <w:gridSpan w:val="2"/>
            <w:tcBorders/>
            <w:shd w:fill="CCEEFF" w:val="clear"/>
            <w:vAlign w:val="center"/>
          </w:tcPr>
          <w:p>
            <w:pPr>
              <w:pStyle w:val="TableContents"/>
              <w:bidi w:val="0"/>
              <w:spacing w:before="0" w:after="283"/>
              <w:jc w:val="left"/>
              <w:rPr/>
            </w:pPr>
            <w:r>
              <w:rPr/>
              <w:t>CONCERNING THE SECURITYHOLDERS</w:t>
            </w:r>
          </w:p>
        </w:tc>
        <w:tc>
          <w:tcPr>
            <w:tcW w:w="605" w:type="dxa"/>
            <w:tcBorders/>
            <w:shd w:fill="CCEEFF" w:val="clear"/>
            <w:vAlign w:val="center"/>
          </w:tcPr>
          <w:p>
            <w:pPr>
              <w:pStyle w:val="TableContents"/>
              <w:bidi w:val="0"/>
              <w:spacing w:before="0" w:after="283"/>
              <w:jc w:val="center"/>
              <w:rPr>
                <w:caps/>
              </w:rPr>
            </w:pPr>
            <w:r>
              <w:rPr>
                <w:caps/>
              </w:rPr>
              <w:t>34</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8.01</w:t>
            </w:r>
          </w:p>
        </w:tc>
        <w:tc>
          <w:tcPr>
            <w:tcW w:w="6155" w:type="dxa"/>
            <w:tcBorders/>
            <w:shd w:fill="CCEEFF" w:val="clear"/>
            <w:vAlign w:val="center"/>
          </w:tcPr>
          <w:p>
            <w:pPr>
              <w:pStyle w:val="TableContents"/>
              <w:bidi w:val="0"/>
              <w:spacing w:before="0" w:after="283"/>
              <w:jc w:val="left"/>
              <w:rPr/>
            </w:pPr>
            <w:r>
              <w:rPr/>
              <w:t>Evidence of Action by Securityholders</w:t>
            </w:r>
          </w:p>
        </w:tc>
        <w:tc>
          <w:tcPr>
            <w:tcW w:w="605" w:type="dxa"/>
            <w:tcBorders/>
            <w:shd w:fill="CCEEFF" w:val="clear"/>
            <w:vAlign w:val="center"/>
          </w:tcPr>
          <w:p>
            <w:pPr>
              <w:pStyle w:val="TableContents"/>
              <w:bidi w:val="0"/>
              <w:spacing w:before="0" w:after="283"/>
              <w:jc w:val="center"/>
              <w:rPr/>
            </w:pPr>
            <w:r>
              <w:rPr/>
              <w:t>34</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8.02</w:t>
            </w:r>
          </w:p>
        </w:tc>
        <w:tc>
          <w:tcPr>
            <w:tcW w:w="6155" w:type="dxa"/>
            <w:tcBorders/>
            <w:shd w:fill="CCEEFF" w:val="clear"/>
            <w:vAlign w:val="center"/>
          </w:tcPr>
          <w:p>
            <w:pPr>
              <w:pStyle w:val="TableContents"/>
              <w:bidi w:val="0"/>
              <w:spacing w:before="0" w:after="283"/>
              <w:jc w:val="left"/>
              <w:rPr/>
            </w:pPr>
            <w:r>
              <w:rPr/>
              <w:t>Proof of Execution by Securityholders</w:t>
            </w:r>
          </w:p>
        </w:tc>
        <w:tc>
          <w:tcPr>
            <w:tcW w:w="605" w:type="dxa"/>
            <w:tcBorders/>
            <w:shd w:fill="CCEEFF" w:val="clear"/>
            <w:vAlign w:val="center"/>
          </w:tcPr>
          <w:p>
            <w:pPr>
              <w:pStyle w:val="TableContents"/>
              <w:bidi w:val="0"/>
              <w:spacing w:before="0" w:after="283"/>
              <w:jc w:val="center"/>
              <w:rPr/>
            </w:pPr>
            <w:r>
              <w:rPr/>
              <w:t>35</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8.03</w:t>
            </w:r>
          </w:p>
        </w:tc>
        <w:tc>
          <w:tcPr>
            <w:tcW w:w="6155" w:type="dxa"/>
            <w:tcBorders/>
            <w:shd w:fill="CCEEFF" w:val="clear"/>
            <w:vAlign w:val="center"/>
          </w:tcPr>
          <w:p>
            <w:pPr>
              <w:pStyle w:val="TableContents"/>
              <w:bidi w:val="0"/>
              <w:spacing w:before="0" w:after="283"/>
              <w:jc w:val="left"/>
              <w:rPr/>
            </w:pPr>
            <w:r>
              <w:rPr/>
              <w:t>Who May be Deemed Owners</w:t>
            </w:r>
          </w:p>
        </w:tc>
        <w:tc>
          <w:tcPr>
            <w:tcW w:w="605" w:type="dxa"/>
            <w:tcBorders/>
            <w:shd w:fill="CCEEFF" w:val="clear"/>
            <w:vAlign w:val="center"/>
          </w:tcPr>
          <w:p>
            <w:pPr>
              <w:pStyle w:val="TableContents"/>
              <w:bidi w:val="0"/>
              <w:spacing w:before="0" w:after="283"/>
              <w:jc w:val="center"/>
              <w:rPr/>
            </w:pPr>
            <w:r>
              <w:rPr/>
              <w:t>35</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8.04</w:t>
            </w:r>
          </w:p>
        </w:tc>
        <w:tc>
          <w:tcPr>
            <w:tcW w:w="6155" w:type="dxa"/>
            <w:tcBorders/>
            <w:shd w:fill="CCEEFF" w:val="clear"/>
            <w:vAlign w:val="center"/>
          </w:tcPr>
          <w:p>
            <w:pPr>
              <w:pStyle w:val="TableContents"/>
              <w:bidi w:val="0"/>
              <w:spacing w:before="0" w:after="283"/>
              <w:jc w:val="left"/>
              <w:rPr/>
            </w:pPr>
            <w:r>
              <w:rPr/>
              <w:t>Certain Securities Owned by Company Disregarded</w:t>
            </w:r>
          </w:p>
        </w:tc>
        <w:tc>
          <w:tcPr>
            <w:tcW w:w="605" w:type="dxa"/>
            <w:tcBorders/>
            <w:shd w:fill="CCEEFF" w:val="clear"/>
            <w:vAlign w:val="center"/>
          </w:tcPr>
          <w:p>
            <w:pPr>
              <w:pStyle w:val="TableContents"/>
              <w:bidi w:val="0"/>
              <w:spacing w:before="0" w:after="283"/>
              <w:jc w:val="center"/>
              <w:rPr/>
            </w:pPr>
            <w:r>
              <w:rPr/>
              <w:t>35</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8.05</w:t>
            </w:r>
          </w:p>
        </w:tc>
        <w:tc>
          <w:tcPr>
            <w:tcW w:w="6155" w:type="dxa"/>
            <w:tcBorders/>
            <w:shd w:fill="CCEEFF" w:val="clear"/>
            <w:vAlign w:val="center"/>
          </w:tcPr>
          <w:p>
            <w:pPr>
              <w:pStyle w:val="TableContents"/>
              <w:bidi w:val="0"/>
              <w:spacing w:before="0" w:after="283"/>
              <w:jc w:val="left"/>
              <w:rPr/>
            </w:pPr>
            <w:r>
              <w:rPr/>
              <w:t>Actions Binding on Future Securityholders</w:t>
            </w:r>
          </w:p>
        </w:tc>
        <w:tc>
          <w:tcPr>
            <w:tcW w:w="605" w:type="dxa"/>
            <w:tcBorders/>
            <w:shd w:fill="CCEEFF" w:val="clear"/>
            <w:vAlign w:val="center"/>
          </w:tcPr>
          <w:p>
            <w:pPr>
              <w:pStyle w:val="TableContents"/>
              <w:bidi w:val="0"/>
              <w:spacing w:before="0" w:after="283"/>
              <w:jc w:val="center"/>
              <w:rPr/>
            </w:pPr>
            <w:r>
              <w:rPr/>
              <w:t>35</w:t>
            </w:r>
          </w:p>
        </w:tc>
      </w:tr>
      <w:tr>
        <w:trPr/>
        <w:tc>
          <w:tcPr>
            <w:tcW w:w="213" w:type="dxa"/>
            <w:tcBorders/>
            <w:shd w:fill="FFFFFF" w:val="clear"/>
            <w:vAlign w:val="center"/>
          </w:tcPr>
          <w:p>
            <w:pPr>
              <w:pStyle w:val="TableContents"/>
              <w:bidi w:val="0"/>
              <w:spacing w:before="0" w:after="283"/>
              <w:jc w:val="left"/>
              <w:rPr>
                <w:caps/>
              </w:rPr>
            </w:pPr>
            <w:r>
              <w:rPr>
                <w:caps/>
              </w:rPr>
              <w:t> </w:t>
            </w:r>
          </w:p>
        </w:tc>
        <w:tc>
          <w:tcPr>
            <w:tcW w:w="1036" w:type="dxa"/>
            <w:tcBorders/>
            <w:shd w:fill="FFFFFF" w:val="clear"/>
            <w:vAlign w:val="center"/>
          </w:tcPr>
          <w:p>
            <w:pPr>
              <w:pStyle w:val="TableContents"/>
              <w:bidi w:val="0"/>
              <w:spacing w:before="0" w:after="283"/>
              <w:jc w:val="left"/>
              <w:rPr>
                <w:caps/>
              </w:rPr>
            </w:pPr>
            <w:r>
              <w:rPr>
                <w:caps/>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caps/>
              </w:rPr>
            </w:pPr>
            <w:r>
              <w:rPr>
                <w:caps/>
              </w:rPr>
              <w:t> </w:t>
            </w:r>
          </w:p>
        </w:tc>
        <w:tc>
          <w:tcPr>
            <w:tcW w:w="605" w:type="dxa"/>
            <w:tcBorders/>
            <w:shd w:fill="FFFFFF" w:val="clear"/>
            <w:vAlign w:val="center"/>
          </w:tcPr>
          <w:p>
            <w:pPr>
              <w:pStyle w:val="TableContents"/>
              <w:bidi w:val="0"/>
              <w:spacing w:before="0" w:after="283"/>
              <w:jc w:val="center"/>
              <w:rPr>
                <w:caps/>
              </w:rPr>
            </w:pPr>
            <w:r>
              <w:rPr>
                <w:caps/>
              </w:rPr>
              <w:t> </w:t>
            </w:r>
          </w:p>
        </w:tc>
      </w:tr>
      <w:tr>
        <w:trPr/>
        <w:tc>
          <w:tcPr>
            <w:tcW w:w="1249" w:type="dxa"/>
            <w:gridSpan w:val="2"/>
            <w:tcBorders/>
            <w:shd w:fill="CCEEFF" w:val="clear"/>
            <w:vAlign w:val="center"/>
          </w:tcPr>
          <w:p>
            <w:pPr>
              <w:pStyle w:val="TableContents"/>
              <w:bidi w:val="0"/>
              <w:spacing w:before="0" w:after="283"/>
              <w:jc w:val="left"/>
              <w:rPr>
                <w:caps/>
              </w:rPr>
            </w:pPr>
            <w:r>
              <w:rPr>
                <w:caps/>
              </w:rPr>
              <w:t>article 9</w:t>
            </w:r>
          </w:p>
        </w:tc>
        <w:tc>
          <w:tcPr>
            <w:tcW w:w="6758" w:type="dxa"/>
            <w:gridSpan w:val="2"/>
            <w:tcBorders/>
            <w:shd w:fill="CCEEFF" w:val="clear"/>
            <w:vAlign w:val="center"/>
          </w:tcPr>
          <w:p>
            <w:pPr>
              <w:pStyle w:val="TableContents"/>
              <w:bidi w:val="0"/>
              <w:spacing w:before="0" w:after="283"/>
              <w:jc w:val="left"/>
              <w:rPr/>
            </w:pPr>
            <w:r>
              <w:rPr/>
              <w:t>SUPPLEMENTAL INDENTURES</w:t>
            </w:r>
          </w:p>
        </w:tc>
        <w:tc>
          <w:tcPr>
            <w:tcW w:w="605" w:type="dxa"/>
            <w:tcBorders/>
            <w:shd w:fill="CCEEFF" w:val="clear"/>
            <w:vAlign w:val="center"/>
          </w:tcPr>
          <w:p>
            <w:pPr>
              <w:pStyle w:val="TableContents"/>
              <w:bidi w:val="0"/>
              <w:spacing w:before="0" w:after="283"/>
              <w:jc w:val="center"/>
              <w:rPr>
                <w:caps/>
              </w:rPr>
            </w:pPr>
            <w:r>
              <w:rPr>
                <w:caps/>
              </w:rPr>
              <w:t>36</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9.01</w:t>
            </w:r>
          </w:p>
        </w:tc>
        <w:tc>
          <w:tcPr>
            <w:tcW w:w="6155" w:type="dxa"/>
            <w:tcBorders/>
            <w:shd w:fill="CCEEFF" w:val="clear"/>
            <w:vAlign w:val="center"/>
          </w:tcPr>
          <w:p>
            <w:pPr>
              <w:pStyle w:val="TableContents"/>
              <w:bidi w:val="0"/>
              <w:spacing w:before="0" w:after="283"/>
              <w:jc w:val="left"/>
              <w:rPr/>
            </w:pPr>
            <w:r>
              <w:rPr/>
              <w:t>Supplemental Indentures Without the Consent of Securityholders</w:t>
            </w:r>
          </w:p>
        </w:tc>
        <w:tc>
          <w:tcPr>
            <w:tcW w:w="605" w:type="dxa"/>
            <w:tcBorders/>
            <w:shd w:fill="CCEEFF" w:val="clear"/>
            <w:vAlign w:val="center"/>
          </w:tcPr>
          <w:p>
            <w:pPr>
              <w:pStyle w:val="TableContents"/>
              <w:bidi w:val="0"/>
              <w:spacing w:before="0" w:after="283"/>
              <w:jc w:val="center"/>
              <w:rPr/>
            </w:pPr>
            <w:r>
              <w:rPr/>
              <w:t>36</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9.02</w:t>
            </w:r>
          </w:p>
        </w:tc>
        <w:tc>
          <w:tcPr>
            <w:tcW w:w="6155" w:type="dxa"/>
            <w:tcBorders/>
            <w:shd w:fill="CCEEFF" w:val="clear"/>
            <w:vAlign w:val="center"/>
          </w:tcPr>
          <w:p>
            <w:pPr>
              <w:pStyle w:val="TableContents"/>
              <w:bidi w:val="0"/>
              <w:spacing w:before="0" w:after="283"/>
              <w:jc w:val="left"/>
              <w:rPr/>
            </w:pPr>
            <w:r>
              <w:rPr/>
              <w:t>Supplemental Indentures with Consent of Securityholders</w:t>
            </w:r>
          </w:p>
        </w:tc>
        <w:tc>
          <w:tcPr>
            <w:tcW w:w="605" w:type="dxa"/>
            <w:tcBorders/>
            <w:shd w:fill="CCEEFF" w:val="clear"/>
            <w:vAlign w:val="center"/>
          </w:tcPr>
          <w:p>
            <w:pPr>
              <w:pStyle w:val="TableContents"/>
              <w:bidi w:val="0"/>
              <w:spacing w:before="0" w:after="283"/>
              <w:jc w:val="center"/>
              <w:rPr/>
            </w:pPr>
            <w:r>
              <w:rPr/>
              <w:t>37</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9.03</w:t>
            </w:r>
          </w:p>
        </w:tc>
        <w:tc>
          <w:tcPr>
            <w:tcW w:w="6155" w:type="dxa"/>
            <w:tcBorders/>
            <w:shd w:fill="CCEEFF" w:val="clear"/>
            <w:vAlign w:val="center"/>
          </w:tcPr>
          <w:p>
            <w:pPr>
              <w:pStyle w:val="TableContents"/>
              <w:bidi w:val="0"/>
              <w:spacing w:before="0" w:after="283"/>
              <w:jc w:val="left"/>
              <w:rPr/>
            </w:pPr>
            <w:r>
              <w:rPr/>
              <w:t>Effect of Supplemental Indentures</w:t>
            </w:r>
          </w:p>
        </w:tc>
        <w:tc>
          <w:tcPr>
            <w:tcW w:w="605" w:type="dxa"/>
            <w:tcBorders/>
            <w:shd w:fill="CCEEFF" w:val="clear"/>
            <w:vAlign w:val="center"/>
          </w:tcPr>
          <w:p>
            <w:pPr>
              <w:pStyle w:val="TableContents"/>
              <w:bidi w:val="0"/>
              <w:spacing w:before="0" w:after="283"/>
              <w:jc w:val="center"/>
              <w:rPr/>
            </w:pPr>
            <w:r>
              <w:rPr/>
              <w:t>37</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9.04</w:t>
            </w:r>
          </w:p>
        </w:tc>
        <w:tc>
          <w:tcPr>
            <w:tcW w:w="6155" w:type="dxa"/>
            <w:tcBorders/>
            <w:shd w:fill="CCEEFF" w:val="clear"/>
            <w:vAlign w:val="center"/>
          </w:tcPr>
          <w:p>
            <w:pPr>
              <w:pStyle w:val="TableContents"/>
              <w:bidi w:val="0"/>
              <w:spacing w:before="0" w:after="283"/>
              <w:jc w:val="left"/>
              <w:rPr/>
            </w:pPr>
            <w:r>
              <w:rPr/>
              <w:t>Securities Affected by Supplemental Indentures</w:t>
            </w:r>
          </w:p>
        </w:tc>
        <w:tc>
          <w:tcPr>
            <w:tcW w:w="605" w:type="dxa"/>
            <w:tcBorders/>
            <w:shd w:fill="CCEEFF" w:val="clear"/>
            <w:vAlign w:val="center"/>
          </w:tcPr>
          <w:p>
            <w:pPr>
              <w:pStyle w:val="TableContents"/>
              <w:bidi w:val="0"/>
              <w:spacing w:before="0" w:after="283"/>
              <w:jc w:val="center"/>
              <w:rPr/>
            </w:pPr>
            <w:r>
              <w:rPr/>
              <w:t>37</w:t>
            </w:r>
          </w:p>
        </w:tc>
      </w:tr>
      <w:tr>
        <w:trPr/>
        <w:tc>
          <w:tcPr>
            <w:tcW w:w="213"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center"/>
              <w:rPr/>
            </w:pPr>
            <w:r>
              <w:rPr/>
              <w:t> </w:t>
            </w:r>
          </w:p>
        </w:tc>
        <w:tc>
          <w:tcPr>
            <w:tcW w:w="1639" w:type="dxa"/>
            <w:gridSpan w:val="2"/>
            <w:tcBorders/>
            <w:shd w:fill="CCEEFF" w:val="clear"/>
            <w:vAlign w:val="center"/>
          </w:tcPr>
          <w:p>
            <w:pPr>
              <w:pStyle w:val="TableContents"/>
              <w:bidi w:val="0"/>
              <w:spacing w:before="0" w:after="283"/>
              <w:jc w:val="left"/>
              <w:rPr/>
            </w:pPr>
            <w:r>
              <w:rPr/>
              <w:t>Section 9.05</w:t>
            </w:r>
          </w:p>
        </w:tc>
        <w:tc>
          <w:tcPr>
            <w:tcW w:w="6155" w:type="dxa"/>
            <w:tcBorders/>
            <w:shd w:fill="CCEEFF" w:val="clear"/>
            <w:vAlign w:val="center"/>
          </w:tcPr>
          <w:p>
            <w:pPr>
              <w:pStyle w:val="TableContents"/>
              <w:bidi w:val="0"/>
              <w:spacing w:before="0" w:after="283"/>
              <w:jc w:val="left"/>
              <w:rPr/>
            </w:pPr>
            <w:r>
              <w:rPr/>
              <w:t>Execution of Supplemental Indentures</w:t>
            </w:r>
          </w:p>
        </w:tc>
        <w:tc>
          <w:tcPr>
            <w:tcW w:w="605" w:type="dxa"/>
            <w:tcBorders/>
            <w:shd w:fill="CCEEFF" w:val="clear"/>
            <w:vAlign w:val="center"/>
          </w:tcPr>
          <w:p>
            <w:pPr>
              <w:pStyle w:val="TableContents"/>
              <w:bidi w:val="0"/>
              <w:spacing w:before="0" w:after="283"/>
              <w:jc w:val="center"/>
              <w:rPr/>
            </w:pPr>
            <w:r>
              <w:rPr/>
              <w:t>38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(continued)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28"/>
        <w:gridCol w:w="1074"/>
        <w:gridCol w:w="242"/>
        <w:gridCol w:w="7555"/>
        <w:gridCol w:w="606"/>
      </w:tblGrid>
      <w:tr>
        <w:trPr/>
        <w:tc>
          <w:tcPr>
            <w:tcW w:w="1802" w:type="dxa"/>
            <w:gridSpan w:val="2"/>
            <w:tcBorders/>
            <w:shd w:fill="FFFFFF" w:val="clear"/>
            <w:vAlign w:val="center"/>
          </w:tcPr>
          <w:p>
            <w:pPr>
              <w:pStyle w:val="TableContents"/>
              <w:bidi w:val="0"/>
              <w:spacing w:before="0" w:after="283"/>
              <w:jc w:val="left"/>
              <w:rPr>
                <w:caps/>
              </w:rPr>
            </w:pPr>
            <w:r>
              <w:rPr>
                <w:caps/>
              </w:rPr>
              <w:t> </w:t>
            </w:r>
          </w:p>
        </w:tc>
        <w:tc>
          <w:tcPr>
            <w:tcW w:w="7797" w:type="dxa"/>
            <w:gridSpan w:val="2"/>
            <w:tcBorders/>
            <w:shd w:fill="FFFFFF" w:val="clear"/>
            <w:vAlign w:val="center"/>
          </w:tcPr>
          <w:p>
            <w:pPr>
              <w:pStyle w:val="TableContents"/>
              <w:bidi w:val="0"/>
              <w:spacing w:before="0" w:after="283"/>
              <w:jc w:val="left"/>
              <w:rPr/>
            </w:pPr>
            <w:r>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center"/>
              <w:rPr>
                <w:b/>
                <w:smallCaps/>
              </w:rPr>
            </w:pPr>
            <w:r>
              <w:rPr>
                <w:b/>
                <w:smallCaps/>
              </w:rPr>
              <w:t>Page</w:t>
            </w:r>
          </w:p>
        </w:tc>
      </w:tr>
      <w:tr>
        <w:trPr/>
        <w:tc>
          <w:tcPr>
            <w:tcW w:w="1802" w:type="dxa"/>
            <w:gridSpan w:val="2"/>
            <w:tcBorders/>
            <w:shd w:fill="FFFFFF" w:val="clear"/>
            <w:vAlign w:val="center"/>
          </w:tcPr>
          <w:p>
            <w:pPr>
              <w:pStyle w:val="TableContents"/>
              <w:bidi w:val="0"/>
              <w:spacing w:before="0" w:after="283"/>
              <w:jc w:val="left"/>
              <w:rPr>
                <w:caps/>
              </w:rPr>
            </w:pPr>
            <w:r>
              <w:rPr>
                <w:caps/>
              </w:rPr>
              <w:t> </w:t>
            </w:r>
          </w:p>
        </w:tc>
        <w:tc>
          <w:tcPr>
            <w:tcW w:w="7797" w:type="dxa"/>
            <w:gridSpan w:val="2"/>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caps/>
              </w:rPr>
            </w:pPr>
            <w:r>
              <w:rPr>
                <w:caps/>
              </w:rPr>
              <w:t> </w:t>
            </w:r>
          </w:p>
        </w:tc>
      </w:tr>
      <w:tr>
        <w:trPr/>
        <w:tc>
          <w:tcPr>
            <w:tcW w:w="1802" w:type="dxa"/>
            <w:gridSpan w:val="2"/>
            <w:tcBorders/>
            <w:shd w:fill="CCEEFF" w:val="clear"/>
            <w:vAlign w:val="center"/>
          </w:tcPr>
          <w:p>
            <w:pPr>
              <w:pStyle w:val="TableContents"/>
              <w:bidi w:val="0"/>
              <w:spacing w:before="0" w:after="283"/>
              <w:jc w:val="left"/>
              <w:rPr>
                <w:caps/>
              </w:rPr>
            </w:pPr>
            <w:r>
              <w:rPr>
                <w:caps/>
              </w:rPr>
              <w:t>article 10</w:t>
            </w:r>
          </w:p>
        </w:tc>
        <w:tc>
          <w:tcPr>
            <w:tcW w:w="7797" w:type="dxa"/>
            <w:gridSpan w:val="2"/>
            <w:tcBorders/>
            <w:shd w:fill="CCEEFF" w:val="clear"/>
            <w:vAlign w:val="center"/>
          </w:tcPr>
          <w:p>
            <w:pPr>
              <w:pStyle w:val="TableContents"/>
              <w:bidi w:val="0"/>
              <w:spacing w:before="0" w:after="283"/>
              <w:jc w:val="left"/>
              <w:rPr/>
            </w:pPr>
            <w:r>
              <w:rPr/>
              <w:t>SUCCESSOR ENTITY</w:t>
            </w:r>
          </w:p>
        </w:tc>
        <w:tc>
          <w:tcPr>
            <w:tcW w:w="606" w:type="dxa"/>
            <w:tcBorders/>
            <w:shd w:fill="CCEEFF" w:val="clear"/>
            <w:vAlign w:val="center"/>
          </w:tcPr>
          <w:p>
            <w:pPr>
              <w:pStyle w:val="TableContents"/>
              <w:bidi w:val="0"/>
              <w:spacing w:before="0" w:after="283"/>
              <w:jc w:val="center"/>
              <w:rPr>
                <w:caps/>
              </w:rPr>
            </w:pPr>
            <w:r>
              <w:rPr>
                <w:caps/>
              </w:rPr>
              <w:t>38</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10.01</w:t>
            </w:r>
          </w:p>
        </w:tc>
        <w:tc>
          <w:tcPr>
            <w:tcW w:w="7555" w:type="dxa"/>
            <w:tcBorders/>
            <w:shd w:fill="CCEEFF" w:val="clear"/>
            <w:vAlign w:val="center"/>
          </w:tcPr>
          <w:p>
            <w:pPr>
              <w:pStyle w:val="TableContents"/>
              <w:bidi w:val="0"/>
              <w:spacing w:before="0" w:after="283"/>
              <w:jc w:val="left"/>
              <w:rPr/>
            </w:pPr>
            <w:r>
              <w:rPr/>
              <w:t>Company May Consolidate, Etc.</w:t>
            </w:r>
          </w:p>
        </w:tc>
        <w:tc>
          <w:tcPr>
            <w:tcW w:w="606" w:type="dxa"/>
            <w:tcBorders/>
            <w:shd w:fill="CCEEFF" w:val="clear"/>
            <w:vAlign w:val="center"/>
          </w:tcPr>
          <w:p>
            <w:pPr>
              <w:pStyle w:val="TableContents"/>
              <w:bidi w:val="0"/>
              <w:spacing w:before="0" w:after="283"/>
              <w:jc w:val="center"/>
              <w:rPr/>
            </w:pPr>
            <w:r>
              <w:rPr/>
              <w:t>38</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10.02</w:t>
            </w:r>
          </w:p>
        </w:tc>
        <w:tc>
          <w:tcPr>
            <w:tcW w:w="7555" w:type="dxa"/>
            <w:tcBorders/>
            <w:shd w:fill="CCEEFF" w:val="clear"/>
            <w:vAlign w:val="center"/>
          </w:tcPr>
          <w:p>
            <w:pPr>
              <w:pStyle w:val="TableContents"/>
              <w:bidi w:val="0"/>
              <w:spacing w:before="0" w:after="283"/>
              <w:jc w:val="left"/>
              <w:rPr/>
            </w:pPr>
            <w:r>
              <w:rPr/>
              <w:t>Successor Entity Substituted</w:t>
            </w:r>
          </w:p>
        </w:tc>
        <w:tc>
          <w:tcPr>
            <w:tcW w:w="606" w:type="dxa"/>
            <w:tcBorders/>
            <w:shd w:fill="CCEEFF" w:val="clear"/>
            <w:vAlign w:val="center"/>
          </w:tcPr>
          <w:p>
            <w:pPr>
              <w:pStyle w:val="TableContents"/>
              <w:bidi w:val="0"/>
              <w:spacing w:before="0" w:after="283"/>
              <w:jc w:val="center"/>
              <w:rPr/>
            </w:pPr>
            <w:r>
              <w:rPr/>
              <w:t>38</w:t>
            </w:r>
          </w:p>
        </w:tc>
      </w:tr>
      <w:tr>
        <w:trPr/>
        <w:tc>
          <w:tcPr>
            <w:tcW w:w="728" w:type="dxa"/>
            <w:tcBorders/>
            <w:shd w:fill="FFFFFF" w:val="clear"/>
            <w:vAlign w:val="center"/>
          </w:tcPr>
          <w:p>
            <w:pPr>
              <w:pStyle w:val="TableContents"/>
              <w:bidi w:val="0"/>
              <w:spacing w:before="0" w:after="283"/>
              <w:jc w:val="left"/>
              <w:rPr>
                <w:caps/>
              </w:rPr>
            </w:pPr>
            <w:r>
              <w:rPr>
                <w:caps/>
              </w:rPr>
              <w:t> </w:t>
            </w:r>
          </w:p>
        </w:tc>
        <w:tc>
          <w:tcPr>
            <w:tcW w:w="1074" w:type="dxa"/>
            <w:tcBorders/>
            <w:shd w:fill="FFFFFF" w:val="clear"/>
            <w:vAlign w:val="center"/>
          </w:tcPr>
          <w:p>
            <w:pPr>
              <w:pStyle w:val="TableContents"/>
              <w:bidi w:val="0"/>
              <w:spacing w:before="0" w:after="283"/>
              <w:jc w:val="left"/>
              <w:rPr>
                <w:caps/>
              </w:rPr>
            </w:pPr>
            <w:r>
              <w:rPr>
                <w:caps/>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caps/>
              </w:rPr>
            </w:pPr>
            <w:r>
              <w:rPr>
                <w:caps/>
              </w:rPr>
              <w:t> </w:t>
            </w:r>
          </w:p>
        </w:tc>
        <w:tc>
          <w:tcPr>
            <w:tcW w:w="606" w:type="dxa"/>
            <w:tcBorders/>
            <w:shd w:fill="FFFFFF" w:val="clear"/>
            <w:vAlign w:val="center"/>
          </w:tcPr>
          <w:p>
            <w:pPr>
              <w:pStyle w:val="TableContents"/>
              <w:bidi w:val="0"/>
              <w:spacing w:before="0" w:after="283"/>
              <w:jc w:val="center"/>
              <w:rPr>
                <w:caps/>
              </w:rPr>
            </w:pPr>
            <w:r>
              <w:rPr>
                <w:caps/>
              </w:rPr>
              <w:t> </w:t>
            </w:r>
          </w:p>
        </w:tc>
      </w:tr>
      <w:tr>
        <w:trPr/>
        <w:tc>
          <w:tcPr>
            <w:tcW w:w="1802" w:type="dxa"/>
            <w:gridSpan w:val="2"/>
            <w:tcBorders/>
            <w:shd w:fill="CCEEFF" w:val="clear"/>
            <w:vAlign w:val="center"/>
          </w:tcPr>
          <w:p>
            <w:pPr>
              <w:pStyle w:val="TableContents"/>
              <w:bidi w:val="0"/>
              <w:spacing w:before="0" w:after="283"/>
              <w:jc w:val="left"/>
              <w:rPr>
                <w:caps/>
              </w:rPr>
            </w:pPr>
            <w:r>
              <w:rPr>
                <w:caps/>
              </w:rPr>
              <w:t>article 11</w:t>
            </w:r>
          </w:p>
        </w:tc>
        <w:tc>
          <w:tcPr>
            <w:tcW w:w="7797" w:type="dxa"/>
            <w:gridSpan w:val="2"/>
            <w:tcBorders/>
            <w:shd w:fill="CCEEFF" w:val="clear"/>
            <w:vAlign w:val="center"/>
          </w:tcPr>
          <w:p>
            <w:pPr>
              <w:pStyle w:val="TableContents"/>
              <w:bidi w:val="0"/>
              <w:spacing w:before="0" w:after="283"/>
              <w:jc w:val="left"/>
              <w:rPr/>
            </w:pPr>
            <w:r>
              <w:rPr/>
              <w:t>SATISFACTION AND DISCHARGE</w:t>
            </w:r>
          </w:p>
        </w:tc>
        <w:tc>
          <w:tcPr>
            <w:tcW w:w="606" w:type="dxa"/>
            <w:tcBorders/>
            <w:shd w:fill="CCEEFF" w:val="clear"/>
            <w:vAlign w:val="center"/>
          </w:tcPr>
          <w:p>
            <w:pPr>
              <w:pStyle w:val="TableContents"/>
              <w:bidi w:val="0"/>
              <w:spacing w:before="0" w:after="283"/>
              <w:jc w:val="center"/>
              <w:rPr>
                <w:caps/>
              </w:rPr>
            </w:pPr>
            <w:r>
              <w:rPr>
                <w:caps/>
              </w:rPr>
              <w:t>39</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11.01</w:t>
            </w:r>
          </w:p>
        </w:tc>
        <w:tc>
          <w:tcPr>
            <w:tcW w:w="7555" w:type="dxa"/>
            <w:tcBorders/>
            <w:shd w:fill="CCEEFF" w:val="clear"/>
            <w:vAlign w:val="center"/>
          </w:tcPr>
          <w:p>
            <w:pPr>
              <w:pStyle w:val="TableContents"/>
              <w:bidi w:val="0"/>
              <w:spacing w:before="0" w:after="283"/>
              <w:jc w:val="left"/>
              <w:rPr/>
            </w:pPr>
            <w:r>
              <w:rPr/>
              <w:t>Satisfaction and Discharge of Indenture</w:t>
            </w:r>
          </w:p>
        </w:tc>
        <w:tc>
          <w:tcPr>
            <w:tcW w:w="606" w:type="dxa"/>
            <w:tcBorders/>
            <w:shd w:fill="CCEEFF" w:val="clear"/>
            <w:vAlign w:val="center"/>
          </w:tcPr>
          <w:p>
            <w:pPr>
              <w:pStyle w:val="TableContents"/>
              <w:bidi w:val="0"/>
              <w:spacing w:before="0" w:after="283"/>
              <w:jc w:val="center"/>
              <w:rPr/>
            </w:pPr>
            <w:r>
              <w:rPr/>
              <w:t>39</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11.02</w:t>
            </w:r>
          </w:p>
        </w:tc>
        <w:tc>
          <w:tcPr>
            <w:tcW w:w="7555" w:type="dxa"/>
            <w:tcBorders/>
            <w:shd w:fill="CCEEFF" w:val="clear"/>
            <w:vAlign w:val="center"/>
          </w:tcPr>
          <w:p>
            <w:pPr>
              <w:pStyle w:val="TableContents"/>
              <w:bidi w:val="0"/>
              <w:spacing w:before="0" w:after="283"/>
              <w:jc w:val="left"/>
              <w:rPr/>
            </w:pPr>
            <w:r>
              <w:rPr/>
              <w:t>Discharge of Obligations</w:t>
            </w:r>
          </w:p>
        </w:tc>
        <w:tc>
          <w:tcPr>
            <w:tcW w:w="606" w:type="dxa"/>
            <w:tcBorders/>
            <w:shd w:fill="CCEEFF" w:val="clear"/>
            <w:vAlign w:val="center"/>
          </w:tcPr>
          <w:p>
            <w:pPr>
              <w:pStyle w:val="TableContents"/>
              <w:bidi w:val="0"/>
              <w:spacing w:before="0" w:after="283"/>
              <w:jc w:val="center"/>
              <w:rPr/>
            </w:pPr>
            <w:r>
              <w:rPr/>
              <w:t>39</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11.03</w:t>
            </w:r>
          </w:p>
        </w:tc>
        <w:tc>
          <w:tcPr>
            <w:tcW w:w="7555" w:type="dxa"/>
            <w:tcBorders/>
            <w:shd w:fill="CCEEFF" w:val="clear"/>
            <w:vAlign w:val="center"/>
          </w:tcPr>
          <w:p>
            <w:pPr>
              <w:pStyle w:val="TableContents"/>
              <w:bidi w:val="0"/>
              <w:spacing w:before="0" w:after="283"/>
              <w:jc w:val="left"/>
              <w:rPr/>
            </w:pPr>
            <w:r>
              <w:rPr/>
              <w:t>Deposited Moneys to be Held in Trust</w:t>
            </w:r>
          </w:p>
        </w:tc>
        <w:tc>
          <w:tcPr>
            <w:tcW w:w="606" w:type="dxa"/>
            <w:tcBorders/>
            <w:shd w:fill="CCEEFF" w:val="clear"/>
            <w:vAlign w:val="center"/>
          </w:tcPr>
          <w:p>
            <w:pPr>
              <w:pStyle w:val="TableContents"/>
              <w:bidi w:val="0"/>
              <w:spacing w:before="0" w:after="283"/>
              <w:jc w:val="center"/>
              <w:rPr/>
            </w:pPr>
            <w:r>
              <w:rPr/>
              <w:t>40</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11.04</w:t>
            </w:r>
          </w:p>
        </w:tc>
        <w:tc>
          <w:tcPr>
            <w:tcW w:w="7555" w:type="dxa"/>
            <w:tcBorders/>
            <w:shd w:fill="CCEEFF" w:val="clear"/>
            <w:vAlign w:val="center"/>
          </w:tcPr>
          <w:p>
            <w:pPr>
              <w:pStyle w:val="TableContents"/>
              <w:bidi w:val="0"/>
              <w:spacing w:before="0" w:after="283"/>
              <w:jc w:val="left"/>
              <w:rPr/>
            </w:pPr>
            <w:r>
              <w:rPr/>
              <w:t>Payment of Moneys Held by Paying Agents</w:t>
            </w:r>
          </w:p>
        </w:tc>
        <w:tc>
          <w:tcPr>
            <w:tcW w:w="606" w:type="dxa"/>
            <w:tcBorders/>
            <w:shd w:fill="CCEEFF" w:val="clear"/>
            <w:vAlign w:val="center"/>
          </w:tcPr>
          <w:p>
            <w:pPr>
              <w:pStyle w:val="TableContents"/>
              <w:bidi w:val="0"/>
              <w:spacing w:before="0" w:after="283"/>
              <w:jc w:val="center"/>
              <w:rPr/>
            </w:pPr>
            <w:r>
              <w:rPr/>
              <w:t>40</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11.05</w:t>
            </w:r>
          </w:p>
        </w:tc>
        <w:tc>
          <w:tcPr>
            <w:tcW w:w="7555" w:type="dxa"/>
            <w:tcBorders/>
            <w:shd w:fill="CCEEFF" w:val="clear"/>
            <w:vAlign w:val="center"/>
          </w:tcPr>
          <w:p>
            <w:pPr>
              <w:pStyle w:val="TableContents"/>
              <w:bidi w:val="0"/>
              <w:spacing w:before="0" w:after="283"/>
              <w:jc w:val="left"/>
              <w:rPr/>
            </w:pPr>
            <w:r>
              <w:rPr/>
              <w:t>Repayment to Company</w:t>
            </w:r>
          </w:p>
        </w:tc>
        <w:tc>
          <w:tcPr>
            <w:tcW w:w="606" w:type="dxa"/>
            <w:tcBorders/>
            <w:shd w:fill="CCEEFF" w:val="clear"/>
            <w:vAlign w:val="center"/>
          </w:tcPr>
          <w:p>
            <w:pPr>
              <w:pStyle w:val="TableContents"/>
              <w:bidi w:val="0"/>
              <w:spacing w:before="0" w:after="283"/>
              <w:jc w:val="center"/>
              <w:rPr/>
            </w:pPr>
            <w:r>
              <w:rPr/>
              <w:t>40</w:t>
            </w:r>
          </w:p>
        </w:tc>
      </w:tr>
      <w:tr>
        <w:trPr/>
        <w:tc>
          <w:tcPr>
            <w:tcW w:w="728" w:type="dxa"/>
            <w:tcBorders/>
            <w:shd w:fill="FFFFFF" w:val="clear"/>
            <w:vAlign w:val="center"/>
          </w:tcPr>
          <w:p>
            <w:pPr>
              <w:pStyle w:val="TableContents"/>
              <w:bidi w:val="0"/>
              <w:spacing w:before="0" w:after="283"/>
              <w:jc w:val="left"/>
              <w:rPr>
                <w:caps/>
              </w:rPr>
            </w:pPr>
            <w:r>
              <w:rPr>
                <w:caps/>
              </w:rPr>
              <w:t> </w:t>
            </w:r>
          </w:p>
        </w:tc>
        <w:tc>
          <w:tcPr>
            <w:tcW w:w="1074" w:type="dxa"/>
            <w:tcBorders/>
            <w:shd w:fill="FFFFFF" w:val="clear"/>
            <w:vAlign w:val="center"/>
          </w:tcPr>
          <w:p>
            <w:pPr>
              <w:pStyle w:val="TableContents"/>
              <w:bidi w:val="0"/>
              <w:spacing w:before="0" w:after="283"/>
              <w:jc w:val="left"/>
              <w:rPr>
                <w:caps/>
              </w:rPr>
            </w:pPr>
            <w:r>
              <w:rPr>
                <w:caps/>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caps/>
              </w:rPr>
            </w:pPr>
            <w:r>
              <w:rPr>
                <w:caps/>
              </w:rPr>
              <w:t> </w:t>
            </w:r>
          </w:p>
        </w:tc>
        <w:tc>
          <w:tcPr>
            <w:tcW w:w="606" w:type="dxa"/>
            <w:tcBorders/>
            <w:shd w:fill="FFFFFF" w:val="clear"/>
            <w:vAlign w:val="center"/>
          </w:tcPr>
          <w:p>
            <w:pPr>
              <w:pStyle w:val="TableContents"/>
              <w:bidi w:val="0"/>
              <w:spacing w:before="0" w:after="283"/>
              <w:jc w:val="center"/>
              <w:rPr>
                <w:caps/>
              </w:rPr>
            </w:pPr>
            <w:r>
              <w:rPr>
                <w:caps/>
              </w:rPr>
              <w:t> </w:t>
            </w:r>
          </w:p>
        </w:tc>
      </w:tr>
      <w:tr>
        <w:trPr/>
        <w:tc>
          <w:tcPr>
            <w:tcW w:w="1802" w:type="dxa"/>
            <w:gridSpan w:val="2"/>
            <w:tcBorders/>
            <w:shd w:fill="CCEEFF" w:val="clear"/>
            <w:vAlign w:val="center"/>
          </w:tcPr>
          <w:p>
            <w:pPr>
              <w:pStyle w:val="TableContents"/>
              <w:bidi w:val="0"/>
              <w:spacing w:before="0" w:after="283"/>
              <w:jc w:val="left"/>
              <w:rPr>
                <w:caps/>
              </w:rPr>
            </w:pPr>
            <w:r>
              <w:rPr>
                <w:caps/>
              </w:rPr>
              <w:t>article 12</w:t>
            </w:r>
          </w:p>
        </w:tc>
        <w:tc>
          <w:tcPr>
            <w:tcW w:w="7797" w:type="dxa"/>
            <w:gridSpan w:val="2"/>
            <w:tcBorders/>
            <w:shd w:fill="CCEEFF" w:val="clear"/>
            <w:vAlign w:val="center"/>
          </w:tcPr>
          <w:p>
            <w:pPr>
              <w:pStyle w:val="TableContents"/>
              <w:bidi w:val="0"/>
              <w:spacing w:before="0" w:after="283"/>
              <w:jc w:val="left"/>
              <w:rPr/>
            </w:pPr>
            <w:r>
              <w:rPr/>
              <w:t>IMMUNITY OF INCORPORATORS, STOCKHOLDERS, OFFICERS AND DIRECTORS</w:t>
            </w:r>
          </w:p>
        </w:tc>
        <w:tc>
          <w:tcPr>
            <w:tcW w:w="606" w:type="dxa"/>
            <w:tcBorders/>
            <w:shd w:fill="CCEEFF" w:val="clear"/>
            <w:vAlign w:val="center"/>
          </w:tcPr>
          <w:p>
            <w:pPr>
              <w:pStyle w:val="TableContents"/>
              <w:bidi w:val="0"/>
              <w:spacing w:before="0" w:after="283"/>
              <w:jc w:val="center"/>
              <w:rPr>
                <w:caps/>
              </w:rPr>
            </w:pPr>
            <w:r>
              <w:rPr>
                <w:caps/>
              </w:rPr>
              <w:t>40</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12.01</w:t>
            </w:r>
          </w:p>
        </w:tc>
        <w:tc>
          <w:tcPr>
            <w:tcW w:w="7555" w:type="dxa"/>
            <w:tcBorders/>
            <w:shd w:fill="CCEEFF" w:val="clear"/>
            <w:vAlign w:val="center"/>
          </w:tcPr>
          <w:p>
            <w:pPr>
              <w:pStyle w:val="TableContents"/>
              <w:bidi w:val="0"/>
              <w:spacing w:before="0" w:after="283"/>
              <w:jc w:val="left"/>
              <w:rPr/>
            </w:pPr>
            <w:r>
              <w:rPr/>
              <w:t>No Recourse</w:t>
            </w:r>
          </w:p>
        </w:tc>
        <w:tc>
          <w:tcPr>
            <w:tcW w:w="606" w:type="dxa"/>
            <w:tcBorders/>
            <w:shd w:fill="CCEEFF" w:val="clear"/>
            <w:vAlign w:val="center"/>
          </w:tcPr>
          <w:p>
            <w:pPr>
              <w:pStyle w:val="TableContents"/>
              <w:bidi w:val="0"/>
              <w:spacing w:before="0" w:after="283"/>
              <w:jc w:val="center"/>
              <w:rPr/>
            </w:pPr>
            <w:r>
              <w:rPr/>
              <w:t>40</w:t>
            </w:r>
          </w:p>
        </w:tc>
      </w:tr>
      <w:tr>
        <w:trPr/>
        <w:tc>
          <w:tcPr>
            <w:tcW w:w="728" w:type="dxa"/>
            <w:tcBorders/>
            <w:shd w:fill="FFFFFF" w:val="clear"/>
            <w:vAlign w:val="center"/>
          </w:tcPr>
          <w:p>
            <w:pPr>
              <w:pStyle w:val="TableContents"/>
              <w:bidi w:val="0"/>
              <w:spacing w:before="0" w:after="283"/>
              <w:jc w:val="left"/>
              <w:rPr>
                <w:caps/>
              </w:rPr>
            </w:pPr>
            <w:r>
              <w:rPr>
                <w:caps/>
              </w:rPr>
              <w:t> </w:t>
            </w:r>
          </w:p>
        </w:tc>
        <w:tc>
          <w:tcPr>
            <w:tcW w:w="1074" w:type="dxa"/>
            <w:tcBorders/>
            <w:shd w:fill="FFFFFF" w:val="clear"/>
            <w:vAlign w:val="center"/>
          </w:tcPr>
          <w:p>
            <w:pPr>
              <w:pStyle w:val="TableContents"/>
              <w:bidi w:val="0"/>
              <w:spacing w:before="0" w:after="283"/>
              <w:jc w:val="left"/>
              <w:rPr>
                <w:caps/>
              </w:rPr>
            </w:pPr>
            <w:r>
              <w:rPr>
                <w:caps/>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caps/>
              </w:rPr>
            </w:pPr>
            <w:r>
              <w:rPr>
                <w:caps/>
              </w:rPr>
              <w:t> </w:t>
            </w:r>
          </w:p>
        </w:tc>
        <w:tc>
          <w:tcPr>
            <w:tcW w:w="606" w:type="dxa"/>
            <w:tcBorders/>
            <w:shd w:fill="FFFFFF" w:val="clear"/>
            <w:vAlign w:val="center"/>
          </w:tcPr>
          <w:p>
            <w:pPr>
              <w:pStyle w:val="TableContents"/>
              <w:bidi w:val="0"/>
              <w:spacing w:before="0" w:after="283"/>
              <w:jc w:val="center"/>
              <w:rPr>
                <w:caps/>
              </w:rPr>
            </w:pPr>
            <w:r>
              <w:rPr>
                <w:caps/>
              </w:rPr>
              <w:t> </w:t>
            </w:r>
          </w:p>
        </w:tc>
      </w:tr>
      <w:tr>
        <w:trPr/>
        <w:tc>
          <w:tcPr>
            <w:tcW w:w="1802" w:type="dxa"/>
            <w:gridSpan w:val="2"/>
            <w:tcBorders/>
            <w:shd w:fill="CCEEFF" w:val="clear"/>
            <w:vAlign w:val="center"/>
          </w:tcPr>
          <w:p>
            <w:pPr>
              <w:pStyle w:val="TableContents"/>
              <w:bidi w:val="0"/>
              <w:spacing w:before="0" w:after="283"/>
              <w:jc w:val="left"/>
              <w:rPr>
                <w:caps/>
              </w:rPr>
            </w:pPr>
            <w:r>
              <w:rPr>
                <w:caps/>
              </w:rPr>
              <w:t>article 13</w:t>
            </w:r>
          </w:p>
        </w:tc>
        <w:tc>
          <w:tcPr>
            <w:tcW w:w="7797" w:type="dxa"/>
            <w:gridSpan w:val="2"/>
            <w:tcBorders/>
            <w:shd w:fill="CCEEFF" w:val="clear"/>
            <w:vAlign w:val="center"/>
          </w:tcPr>
          <w:p>
            <w:pPr>
              <w:pStyle w:val="TableContents"/>
              <w:bidi w:val="0"/>
              <w:spacing w:before="0" w:after="283"/>
              <w:jc w:val="left"/>
              <w:rPr/>
            </w:pPr>
            <w:r>
              <w:rPr/>
              <w:t>MISCELLANEOUS PROVISIONS</w:t>
            </w:r>
          </w:p>
        </w:tc>
        <w:tc>
          <w:tcPr>
            <w:tcW w:w="606" w:type="dxa"/>
            <w:tcBorders/>
            <w:shd w:fill="CCEEFF" w:val="clear"/>
            <w:vAlign w:val="center"/>
          </w:tcPr>
          <w:p>
            <w:pPr>
              <w:pStyle w:val="TableContents"/>
              <w:bidi w:val="0"/>
              <w:spacing w:before="0" w:after="283"/>
              <w:jc w:val="center"/>
              <w:rPr>
                <w:caps/>
              </w:rPr>
            </w:pPr>
            <w:r>
              <w:rPr>
                <w:caps/>
              </w:rPr>
              <w:t>41</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13.01</w:t>
            </w:r>
          </w:p>
        </w:tc>
        <w:tc>
          <w:tcPr>
            <w:tcW w:w="7555" w:type="dxa"/>
            <w:tcBorders/>
            <w:shd w:fill="CCEEFF" w:val="clear"/>
            <w:vAlign w:val="center"/>
          </w:tcPr>
          <w:p>
            <w:pPr>
              <w:pStyle w:val="TableContents"/>
              <w:bidi w:val="0"/>
              <w:spacing w:before="0" w:after="283"/>
              <w:jc w:val="left"/>
              <w:rPr/>
            </w:pPr>
            <w:r>
              <w:rPr/>
              <w:t>Effect on Successors and Assigns</w:t>
            </w:r>
          </w:p>
        </w:tc>
        <w:tc>
          <w:tcPr>
            <w:tcW w:w="606" w:type="dxa"/>
            <w:tcBorders/>
            <w:shd w:fill="CCEEFF" w:val="clear"/>
            <w:vAlign w:val="center"/>
          </w:tcPr>
          <w:p>
            <w:pPr>
              <w:pStyle w:val="TableContents"/>
              <w:bidi w:val="0"/>
              <w:spacing w:before="0" w:after="283"/>
              <w:jc w:val="center"/>
              <w:rPr/>
            </w:pPr>
            <w:r>
              <w:rPr/>
              <w:t>41</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13.02</w:t>
            </w:r>
          </w:p>
        </w:tc>
        <w:tc>
          <w:tcPr>
            <w:tcW w:w="7555" w:type="dxa"/>
            <w:tcBorders/>
            <w:shd w:fill="CCEEFF" w:val="clear"/>
            <w:vAlign w:val="center"/>
          </w:tcPr>
          <w:p>
            <w:pPr>
              <w:pStyle w:val="TableContents"/>
              <w:bidi w:val="0"/>
              <w:spacing w:before="0" w:after="283"/>
              <w:jc w:val="left"/>
              <w:rPr/>
            </w:pPr>
            <w:r>
              <w:rPr/>
              <w:t>Actions by Successor</w:t>
            </w:r>
          </w:p>
        </w:tc>
        <w:tc>
          <w:tcPr>
            <w:tcW w:w="606" w:type="dxa"/>
            <w:tcBorders/>
            <w:shd w:fill="CCEEFF" w:val="clear"/>
            <w:vAlign w:val="center"/>
          </w:tcPr>
          <w:p>
            <w:pPr>
              <w:pStyle w:val="TableContents"/>
              <w:bidi w:val="0"/>
              <w:spacing w:before="0" w:after="283"/>
              <w:jc w:val="center"/>
              <w:rPr/>
            </w:pPr>
            <w:r>
              <w:rPr/>
              <w:t>41</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13.03</w:t>
            </w:r>
          </w:p>
        </w:tc>
        <w:tc>
          <w:tcPr>
            <w:tcW w:w="7555" w:type="dxa"/>
            <w:tcBorders/>
            <w:shd w:fill="CCEEFF" w:val="clear"/>
            <w:vAlign w:val="center"/>
          </w:tcPr>
          <w:p>
            <w:pPr>
              <w:pStyle w:val="TableContents"/>
              <w:bidi w:val="0"/>
              <w:spacing w:before="0" w:after="283"/>
              <w:jc w:val="left"/>
              <w:rPr/>
            </w:pPr>
            <w:r>
              <w:rPr/>
              <w:t>Surrender of Company Powers</w:t>
            </w:r>
          </w:p>
        </w:tc>
        <w:tc>
          <w:tcPr>
            <w:tcW w:w="606" w:type="dxa"/>
            <w:tcBorders/>
            <w:shd w:fill="CCEEFF" w:val="clear"/>
            <w:vAlign w:val="center"/>
          </w:tcPr>
          <w:p>
            <w:pPr>
              <w:pStyle w:val="TableContents"/>
              <w:bidi w:val="0"/>
              <w:spacing w:before="0" w:after="283"/>
              <w:jc w:val="center"/>
              <w:rPr/>
            </w:pPr>
            <w:r>
              <w:rPr/>
              <w:t>41</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13.04</w:t>
            </w:r>
          </w:p>
        </w:tc>
        <w:tc>
          <w:tcPr>
            <w:tcW w:w="7555" w:type="dxa"/>
            <w:tcBorders/>
            <w:shd w:fill="CCEEFF" w:val="clear"/>
            <w:vAlign w:val="center"/>
          </w:tcPr>
          <w:p>
            <w:pPr>
              <w:pStyle w:val="TableContents"/>
              <w:bidi w:val="0"/>
              <w:spacing w:before="0" w:after="283"/>
              <w:jc w:val="left"/>
              <w:rPr/>
            </w:pPr>
            <w:r>
              <w:rPr/>
              <w:t>Notices</w:t>
            </w:r>
          </w:p>
        </w:tc>
        <w:tc>
          <w:tcPr>
            <w:tcW w:w="606" w:type="dxa"/>
            <w:tcBorders/>
            <w:shd w:fill="CCEEFF" w:val="clear"/>
            <w:vAlign w:val="center"/>
          </w:tcPr>
          <w:p>
            <w:pPr>
              <w:pStyle w:val="TableContents"/>
              <w:bidi w:val="0"/>
              <w:spacing w:before="0" w:after="283"/>
              <w:jc w:val="center"/>
              <w:rPr/>
            </w:pPr>
            <w:r>
              <w:rPr/>
              <w:t>41</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13.05</w:t>
            </w:r>
          </w:p>
        </w:tc>
        <w:tc>
          <w:tcPr>
            <w:tcW w:w="7555" w:type="dxa"/>
            <w:tcBorders/>
            <w:shd w:fill="CCEEFF" w:val="clear"/>
            <w:vAlign w:val="center"/>
          </w:tcPr>
          <w:p>
            <w:pPr>
              <w:pStyle w:val="TableContents"/>
              <w:bidi w:val="0"/>
              <w:spacing w:before="0" w:after="283"/>
              <w:jc w:val="left"/>
              <w:rPr/>
            </w:pPr>
            <w:r>
              <w:rPr/>
              <w:t>Governing Law; Jury Trial Waiver</w:t>
            </w:r>
          </w:p>
        </w:tc>
        <w:tc>
          <w:tcPr>
            <w:tcW w:w="606" w:type="dxa"/>
            <w:tcBorders/>
            <w:shd w:fill="CCEEFF" w:val="clear"/>
            <w:vAlign w:val="center"/>
          </w:tcPr>
          <w:p>
            <w:pPr>
              <w:pStyle w:val="TableContents"/>
              <w:bidi w:val="0"/>
              <w:spacing w:before="0" w:after="283"/>
              <w:jc w:val="center"/>
              <w:rPr/>
            </w:pPr>
            <w:r>
              <w:rPr/>
              <w:t>41</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13.06</w:t>
            </w:r>
          </w:p>
        </w:tc>
        <w:tc>
          <w:tcPr>
            <w:tcW w:w="7555" w:type="dxa"/>
            <w:tcBorders/>
            <w:shd w:fill="CCEEFF" w:val="clear"/>
            <w:vAlign w:val="center"/>
          </w:tcPr>
          <w:p>
            <w:pPr>
              <w:pStyle w:val="TableContents"/>
              <w:bidi w:val="0"/>
              <w:spacing w:before="0" w:after="283"/>
              <w:jc w:val="left"/>
              <w:rPr/>
            </w:pPr>
            <w:r>
              <w:rPr/>
              <w:t>Treatment of Securities as Debt</w:t>
            </w:r>
          </w:p>
        </w:tc>
        <w:tc>
          <w:tcPr>
            <w:tcW w:w="606" w:type="dxa"/>
            <w:tcBorders/>
            <w:shd w:fill="CCEEFF" w:val="clear"/>
            <w:vAlign w:val="center"/>
          </w:tcPr>
          <w:p>
            <w:pPr>
              <w:pStyle w:val="TableContents"/>
              <w:bidi w:val="0"/>
              <w:spacing w:before="0" w:after="283"/>
              <w:jc w:val="center"/>
              <w:rPr/>
            </w:pPr>
            <w:r>
              <w:rPr/>
              <w:t>42</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13.07</w:t>
            </w:r>
          </w:p>
        </w:tc>
        <w:tc>
          <w:tcPr>
            <w:tcW w:w="7555" w:type="dxa"/>
            <w:tcBorders/>
            <w:shd w:fill="CCEEFF" w:val="clear"/>
            <w:vAlign w:val="center"/>
          </w:tcPr>
          <w:p>
            <w:pPr>
              <w:pStyle w:val="TableContents"/>
              <w:bidi w:val="0"/>
              <w:spacing w:before="0" w:after="283"/>
              <w:jc w:val="left"/>
              <w:rPr/>
            </w:pPr>
            <w:r>
              <w:rPr/>
              <w:t>Certificates and Opinions as to Conditions Precedent</w:t>
            </w:r>
          </w:p>
        </w:tc>
        <w:tc>
          <w:tcPr>
            <w:tcW w:w="606" w:type="dxa"/>
            <w:tcBorders/>
            <w:shd w:fill="CCEEFF" w:val="clear"/>
            <w:vAlign w:val="center"/>
          </w:tcPr>
          <w:p>
            <w:pPr>
              <w:pStyle w:val="TableContents"/>
              <w:bidi w:val="0"/>
              <w:spacing w:before="0" w:after="283"/>
              <w:jc w:val="center"/>
              <w:rPr/>
            </w:pPr>
            <w:r>
              <w:rPr/>
              <w:t>42</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13.08</w:t>
            </w:r>
          </w:p>
        </w:tc>
        <w:tc>
          <w:tcPr>
            <w:tcW w:w="7555" w:type="dxa"/>
            <w:tcBorders/>
            <w:shd w:fill="CCEEFF" w:val="clear"/>
            <w:vAlign w:val="center"/>
          </w:tcPr>
          <w:p>
            <w:pPr>
              <w:pStyle w:val="TableContents"/>
              <w:bidi w:val="0"/>
              <w:spacing w:before="0" w:after="283"/>
              <w:jc w:val="left"/>
              <w:rPr/>
            </w:pPr>
            <w:r>
              <w:rPr/>
              <w:t>Payments on Business Days</w:t>
            </w:r>
          </w:p>
        </w:tc>
        <w:tc>
          <w:tcPr>
            <w:tcW w:w="606" w:type="dxa"/>
            <w:tcBorders/>
            <w:shd w:fill="CCEEFF" w:val="clear"/>
            <w:vAlign w:val="center"/>
          </w:tcPr>
          <w:p>
            <w:pPr>
              <w:pStyle w:val="TableContents"/>
              <w:bidi w:val="0"/>
              <w:spacing w:before="0" w:after="283"/>
              <w:jc w:val="center"/>
              <w:rPr/>
            </w:pPr>
            <w:r>
              <w:rPr/>
              <w:t>42</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13.09</w:t>
            </w:r>
          </w:p>
        </w:tc>
        <w:tc>
          <w:tcPr>
            <w:tcW w:w="7555" w:type="dxa"/>
            <w:tcBorders/>
            <w:shd w:fill="CCEEFF" w:val="clear"/>
            <w:vAlign w:val="center"/>
          </w:tcPr>
          <w:p>
            <w:pPr>
              <w:pStyle w:val="TableContents"/>
              <w:bidi w:val="0"/>
              <w:spacing w:before="0" w:after="283"/>
              <w:jc w:val="left"/>
              <w:rPr/>
            </w:pPr>
            <w:r>
              <w:rPr/>
              <w:t>Conflict with Trust Indenture Act</w:t>
            </w:r>
          </w:p>
        </w:tc>
        <w:tc>
          <w:tcPr>
            <w:tcW w:w="606" w:type="dxa"/>
            <w:tcBorders/>
            <w:shd w:fill="CCEEFF" w:val="clear"/>
            <w:vAlign w:val="center"/>
          </w:tcPr>
          <w:p>
            <w:pPr>
              <w:pStyle w:val="TableContents"/>
              <w:bidi w:val="0"/>
              <w:spacing w:before="0" w:after="283"/>
              <w:jc w:val="center"/>
              <w:rPr/>
            </w:pPr>
            <w:r>
              <w:rPr/>
              <w:t>42</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13.10</w:t>
            </w:r>
          </w:p>
        </w:tc>
        <w:tc>
          <w:tcPr>
            <w:tcW w:w="7555" w:type="dxa"/>
            <w:tcBorders/>
            <w:shd w:fill="CCEEFF" w:val="clear"/>
            <w:vAlign w:val="center"/>
          </w:tcPr>
          <w:p>
            <w:pPr>
              <w:pStyle w:val="TableContents"/>
              <w:bidi w:val="0"/>
              <w:spacing w:before="0" w:after="283"/>
              <w:jc w:val="left"/>
              <w:rPr/>
            </w:pPr>
            <w:r>
              <w:rPr/>
              <w:t>Counterparts</w:t>
            </w:r>
          </w:p>
        </w:tc>
        <w:tc>
          <w:tcPr>
            <w:tcW w:w="606" w:type="dxa"/>
            <w:tcBorders/>
            <w:shd w:fill="CCEEFF" w:val="clear"/>
            <w:vAlign w:val="center"/>
          </w:tcPr>
          <w:p>
            <w:pPr>
              <w:pStyle w:val="TableContents"/>
              <w:bidi w:val="0"/>
              <w:spacing w:before="0" w:after="283"/>
              <w:jc w:val="center"/>
              <w:rPr/>
            </w:pPr>
            <w:r>
              <w:rPr/>
              <w:t>42</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13.11</w:t>
            </w:r>
          </w:p>
        </w:tc>
        <w:tc>
          <w:tcPr>
            <w:tcW w:w="7555" w:type="dxa"/>
            <w:tcBorders/>
            <w:shd w:fill="CCEEFF" w:val="clear"/>
            <w:vAlign w:val="center"/>
          </w:tcPr>
          <w:p>
            <w:pPr>
              <w:pStyle w:val="TableContents"/>
              <w:bidi w:val="0"/>
              <w:spacing w:before="0" w:after="283"/>
              <w:jc w:val="left"/>
              <w:rPr/>
            </w:pPr>
            <w:r>
              <w:rPr/>
              <w:t>Severability</w:t>
            </w:r>
          </w:p>
        </w:tc>
        <w:tc>
          <w:tcPr>
            <w:tcW w:w="606" w:type="dxa"/>
            <w:tcBorders/>
            <w:shd w:fill="CCEEFF" w:val="clear"/>
            <w:vAlign w:val="center"/>
          </w:tcPr>
          <w:p>
            <w:pPr>
              <w:pStyle w:val="TableContents"/>
              <w:bidi w:val="0"/>
              <w:spacing w:before="0" w:after="283"/>
              <w:jc w:val="center"/>
              <w:rPr/>
            </w:pPr>
            <w:r>
              <w:rPr/>
              <w:t>43</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13.12</w:t>
            </w:r>
          </w:p>
        </w:tc>
        <w:tc>
          <w:tcPr>
            <w:tcW w:w="7555" w:type="dxa"/>
            <w:tcBorders/>
            <w:shd w:fill="CCEEFF" w:val="clear"/>
            <w:vAlign w:val="center"/>
          </w:tcPr>
          <w:p>
            <w:pPr>
              <w:pStyle w:val="TableContents"/>
              <w:bidi w:val="0"/>
              <w:spacing w:before="0" w:after="283"/>
              <w:jc w:val="left"/>
              <w:rPr/>
            </w:pPr>
            <w:r>
              <w:rPr/>
              <w:t>Compliance Certificates</w:t>
            </w:r>
          </w:p>
        </w:tc>
        <w:tc>
          <w:tcPr>
            <w:tcW w:w="606" w:type="dxa"/>
            <w:tcBorders/>
            <w:shd w:fill="CCEEFF" w:val="clear"/>
            <w:vAlign w:val="center"/>
          </w:tcPr>
          <w:p>
            <w:pPr>
              <w:pStyle w:val="TableContents"/>
              <w:bidi w:val="0"/>
              <w:spacing w:before="0" w:after="283"/>
              <w:jc w:val="center"/>
              <w:rPr/>
            </w:pPr>
            <w:r>
              <w:rPr/>
              <w:t>43</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13.13</w:t>
            </w:r>
          </w:p>
        </w:tc>
        <w:tc>
          <w:tcPr>
            <w:tcW w:w="7555" w:type="dxa"/>
            <w:tcBorders/>
            <w:shd w:fill="CCEEFF" w:val="clear"/>
            <w:vAlign w:val="center"/>
          </w:tcPr>
          <w:p>
            <w:pPr>
              <w:pStyle w:val="TableContents"/>
              <w:bidi w:val="0"/>
              <w:spacing w:before="0" w:after="283"/>
              <w:jc w:val="left"/>
              <w:rPr/>
            </w:pPr>
            <w:r>
              <w:rPr/>
              <w:t>Patriot Act</w:t>
            </w:r>
          </w:p>
        </w:tc>
        <w:tc>
          <w:tcPr>
            <w:tcW w:w="606" w:type="dxa"/>
            <w:tcBorders/>
            <w:shd w:fill="CCEEFF" w:val="clear"/>
            <w:vAlign w:val="center"/>
          </w:tcPr>
          <w:p>
            <w:pPr>
              <w:pStyle w:val="TableContents"/>
              <w:bidi w:val="0"/>
              <w:spacing w:before="0" w:after="283"/>
              <w:jc w:val="center"/>
              <w:rPr/>
            </w:pPr>
            <w:r>
              <w:rPr/>
              <w:t>43</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13.14</w:t>
            </w:r>
          </w:p>
        </w:tc>
        <w:tc>
          <w:tcPr>
            <w:tcW w:w="7555" w:type="dxa"/>
            <w:tcBorders/>
            <w:shd w:fill="CCEEFF" w:val="clear"/>
            <w:vAlign w:val="center"/>
          </w:tcPr>
          <w:p>
            <w:pPr>
              <w:pStyle w:val="TableContents"/>
              <w:bidi w:val="0"/>
              <w:spacing w:before="0" w:after="283"/>
              <w:jc w:val="left"/>
              <w:rPr/>
            </w:pPr>
            <w:r>
              <w:rPr/>
              <w:t>Force Majeure</w:t>
            </w:r>
          </w:p>
        </w:tc>
        <w:tc>
          <w:tcPr>
            <w:tcW w:w="606" w:type="dxa"/>
            <w:tcBorders/>
            <w:shd w:fill="CCEEFF" w:val="clear"/>
            <w:vAlign w:val="center"/>
          </w:tcPr>
          <w:p>
            <w:pPr>
              <w:pStyle w:val="TableContents"/>
              <w:bidi w:val="0"/>
              <w:spacing w:before="0" w:after="283"/>
              <w:jc w:val="center"/>
              <w:rPr/>
            </w:pPr>
            <w:r>
              <w:rPr/>
              <w:t>43</w:t>
            </w:r>
          </w:p>
        </w:tc>
      </w:tr>
      <w:tr>
        <w:trPr/>
        <w:tc>
          <w:tcPr>
            <w:tcW w:w="728" w:type="dxa"/>
            <w:tcBorders/>
            <w:shd w:fill="FFFFFF" w:val="clear"/>
            <w:vAlign w:val="center"/>
          </w:tcPr>
          <w:p>
            <w:pPr>
              <w:pStyle w:val="TableContents"/>
              <w:bidi w:val="0"/>
              <w:spacing w:before="0" w:after="283"/>
              <w:jc w:val="center"/>
              <w:rPr/>
            </w:pPr>
            <w:r>
              <w:rPr/>
              <w:t> </w:t>
            </w:r>
          </w:p>
        </w:tc>
        <w:tc>
          <w:tcPr>
            <w:tcW w:w="1074"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55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center"/>
              <w:rPr/>
            </w:pPr>
            <w:r>
              <w:rPr/>
              <w:t> </w:t>
            </w:r>
          </w:p>
        </w:tc>
      </w:tr>
      <w:tr>
        <w:trPr/>
        <w:tc>
          <w:tcPr>
            <w:tcW w:w="728" w:type="dxa"/>
            <w:tcBorders/>
            <w:shd w:fill="CCEEFF" w:val="clear"/>
            <w:vAlign w:val="center"/>
          </w:tcPr>
          <w:p>
            <w:pPr>
              <w:pStyle w:val="TableContents"/>
              <w:bidi w:val="0"/>
              <w:spacing w:before="0" w:after="283"/>
              <w:jc w:val="center"/>
              <w:rPr/>
            </w:pPr>
            <w:r>
              <w:rPr/>
              <w:t> </w:t>
            </w:r>
          </w:p>
        </w:tc>
        <w:tc>
          <w:tcPr>
            <w:tcW w:w="1316" w:type="dxa"/>
            <w:gridSpan w:val="2"/>
            <w:tcBorders/>
            <w:shd w:fill="CCEEFF" w:val="clear"/>
            <w:vAlign w:val="center"/>
          </w:tcPr>
          <w:p>
            <w:pPr>
              <w:pStyle w:val="TableContents"/>
              <w:bidi w:val="0"/>
              <w:spacing w:before="0" w:after="283"/>
              <w:jc w:val="left"/>
              <w:rPr/>
            </w:pPr>
            <w:r>
              <w:rPr/>
              <w:t>Section 13.15</w:t>
            </w:r>
          </w:p>
        </w:tc>
        <w:tc>
          <w:tcPr>
            <w:tcW w:w="7555" w:type="dxa"/>
            <w:tcBorders/>
            <w:shd w:fill="CCEEFF" w:val="clear"/>
            <w:vAlign w:val="center"/>
          </w:tcPr>
          <w:p>
            <w:pPr>
              <w:pStyle w:val="TableContents"/>
              <w:bidi w:val="0"/>
              <w:spacing w:before="0" w:after="283"/>
              <w:jc w:val="left"/>
              <w:rPr/>
            </w:pPr>
            <w:r>
              <w:rPr/>
              <w:t>Table of Contents; Headings</w:t>
            </w:r>
          </w:p>
        </w:tc>
        <w:tc>
          <w:tcPr>
            <w:tcW w:w="606" w:type="dxa"/>
            <w:tcBorders/>
            <w:shd w:fill="CCEEFF" w:val="clear"/>
            <w:vAlign w:val="center"/>
          </w:tcPr>
          <w:p>
            <w:pPr>
              <w:pStyle w:val="TableContents"/>
              <w:bidi w:val="0"/>
              <w:spacing w:before="0" w:after="283"/>
              <w:jc w:val="center"/>
              <w:rPr/>
            </w:pPr>
            <w:r>
              <w:rPr/>
              <w:t>43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Indenture</w:t>
      </w:r>
      <w:r>
        <w:rPr>
          <w:rFonts w:ascii="Times New Roman;Times;Serif" w:hAnsi="Times New Roman;Times;Serif"/>
          <w:b w:val="false"/>
          <w:i w:val="false"/>
          <w:caps w:val="false"/>
          <w:smallCaps w:val="false"/>
          <w:sz w:val="20"/>
        </w:rPr>
        <w:t>, dated as of [·], 20[·], among Bitdeer Technologies Group, an exempted company with limited liability incorporated under the laws of the Cayman Islands (the “Company”), and [</w:t>
      </w:r>
      <w:r>
        <w:rPr>
          <w:rFonts w:ascii="Times New Roman;Times;Serif" w:hAnsi="Times New Roman;Times;Serif"/>
          <w:b/>
          <w:i w:val="false"/>
          <w:smallCaps/>
          <w:sz w:val="20"/>
        </w:rPr>
        <w:t>Trustee</w:t>
      </w:r>
      <w:r>
        <w:rPr>
          <w:rFonts w:ascii="Times New Roman;Times;Serif" w:hAnsi="Times New Roman;Times;Serif"/>
          <w:b w:val="false"/>
          <w:i w:val="false"/>
          <w:caps w:val="false"/>
          <w:smallCaps w:val="false"/>
          <w:sz w:val="20"/>
        </w:rPr>
        <w:t>], as trustee (the “Trustee”):</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to provide the terms and conditions upon which the Securities are to be authenticated, issued and delivered, the Company has duly authorized the execution of this Indenture; and</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all things necessary to make this Indenture a valid agreement of the Company, in accordance with its terms, have been done.</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in consideration of the premises and the purchase of the Securities by the holders thereof, it is mutually covenanted and agreed as follows for the equal and ratable benefit of the holders of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b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 Definitions of Terms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or that are by reference in such Act defined in the Securities Act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Authenticating Agent</w:t>
      </w:r>
      <w:r>
        <w:rPr>
          <w:rFonts w:ascii="Times New Roman;Times;Serif" w:hAnsi="Times New Roman;Times;Serif"/>
          <w:b w:val="false"/>
          <w:i w:val="false"/>
          <w:caps w:val="false"/>
          <w:smallCaps w:val="false"/>
          <w:sz w:val="20"/>
        </w:rPr>
        <w:t>” means the Trustee or an authenticating agent with respect to all or any of the series of Securities appointed by the Trustee pursuant to Section 2.10.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Bankruptcy Law</w:t>
      </w:r>
      <w:r>
        <w:rPr>
          <w:rFonts w:ascii="Times New Roman;Times;Serif" w:hAnsi="Times New Roman;Times;Serif"/>
          <w:b w:val="false"/>
          <w:i w:val="false"/>
          <w:caps w:val="false"/>
          <w:smallCaps w:val="false"/>
          <w:sz w:val="20"/>
        </w:rPr>
        <w:t>” means Title 11, U.S. Code, or any similar federal or state law for the relief of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means the Board of Directors (or the functional equivalent thereof) of the Company or any duly authorized committee of such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with respect to any series of Securities, any day other than a day on which federal or state banking institutions in the Cayman Islands, in the Borough of Manhattan, the City of New York, or in the city of the Corporate Trust Office of the Trustee, are authorized or obligated by law, executive order or regulation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Bitdeer Technologies Group, an exempted company with limited liability incorporated under the laws of the Cayman Islands, and, subject to the provisions of Article Ten, shall also include its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Corporate Trust Office</w:t>
      </w:r>
      <w:r>
        <w:rPr>
          <w:rFonts w:ascii="Times New Roman;Times;Serif" w:hAnsi="Times New Roman;Times;Serif"/>
          <w:b w:val="false"/>
          <w:i w:val="false"/>
          <w:caps w:val="false"/>
          <w:smallCaps w:val="false"/>
          <w:sz w:val="20"/>
        </w:rPr>
        <w:t>” means the designated office of the Trustee at which, at any particular time, its corporate trust business related to this Indenture shall be principally administered, which office at the date hereof is located at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means any event that is (or, after notice,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Defaulted Interest</w:t>
      </w:r>
      <w:r>
        <w:rPr>
          <w:rFonts w:ascii="Times New Roman;Times;Serif" w:hAnsi="Times New Roman;Times;Serif"/>
          <w:b w:val="false"/>
          <w:i w:val="false"/>
          <w:caps w:val="false"/>
          <w:smallCaps w:val="false"/>
          <w:sz w:val="20"/>
        </w:rPr>
        <w:t>” has the meaning set forth in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Depositary</w:t>
      </w:r>
      <w:r>
        <w:rPr>
          <w:rFonts w:ascii="Times New Roman;Times;Serif" w:hAnsi="Times New Roman;Times;Serif"/>
          <w:b w:val="false"/>
          <w:i w:val="false"/>
          <w:caps w:val="false"/>
          <w:smallCaps w:val="false"/>
          <w:sz w:val="20"/>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means, with respect to Securities of a particular series, any event specified in Section 6.01, continued for the period of time, if any, therein designated.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United States Securities and Exchange Act of 1934, as amended, and the rules and regulations promulgated by the Commission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given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mailed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notify</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sent</w:t>
      </w:r>
      <w:r>
        <w:rPr>
          <w:rFonts w:ascii="Times New Roman;Times;Serif" w:hAnsi="Times New Roman;Times;Serif"/>
          <w:b w:val="false"/>
          <w:i w:val="false"/>
          <w:caps w:val="false"/>
          <w:smallCaps w:val="false"/>
          <w:sz w:val="20"/>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Global Security</w:t>
      </w:r>
      <w:r>
        <w:rPr>
          <w:rFonts w:ascii="Times New Roman;Times;Serif" w:hAnsi="Times New Roman;Times;Serif"/>
          <w:b w:val="false"/>
          <w:i w:val="false"/>
          <w:caps w:val="false"/>
          <w:smallCaps w:val="false"/>
          <w:sz w:val="20"/>
        </w:rPr>
        <w:t>” means a Security issued to evidence all or a part of any series of Securities which is executed by the Company and authenticated and delivered by the Trustee to the Depositary or pursuant to the Depositary’s instruction, all in accordance with this Indenture, which shall be registered in the name of the Depositary or its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Obligations</w:t>
      </w:r>
      <w:r>
        <w:rPr>
          <w:rFonts w:ascii="Times New Roman;Times;Serif" w:hAnsi="Times New Roman;Times;Serif"/>
          <w:b w:val="false"/>
          <w:i w:val="false"/>
          <w:caps w:val="false"/>
          <w:smallCaps w:val="false"/>
          <w:sz w:val="20"/>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hereof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hereunder</w:t>
      </w:r>
      <w:r>
        <w:rPr>
          <w:rFonts w:ascii="Times New Roman;Times;Serif" w:hAnsi="Times New Roman;Times;Serif"/>
          <w:b w:val="false"/>
          <w:i w:val="false"/>
          <w:caps w:val="false"/>
          <w:smallCaps w:val="false"/>
          <w:sz w:val="20"/>
        </w:rPr>
        <w:t>”, and other words of similar import, refer to this Indenture as a whole and not to any particular Article, Section or other subdivision.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means a certificate signed by any Officer. Each such certificate shall include the statements provided for in Section 13.07, if and to the extent required by the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Opinion of Counsel</w:t>
      </w:r>
      <w:r>
        <w:rPr>
          <w:rFonts w:ascii="Times New Roman;Times;Serif" w:hAnsi="Times New Roman;Times;Serif"/>
          <w:b w:val="false"/>
          <w:i w:val="false"/>
          <w:caps w:val="false"/>
          <w:smallCaps w:val="false"/>
          <w:sz w:val="20"/>
        </w:rPr>
        <w:t>” means an opinion in writing subject to customary and reasonable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Outstanding</w:t>
      </w:r>
      <w:r>
        <w:rPr>
          <w:rFonts w:ascii="Times New Roman;Times;Serif" w:hAnsi="Times New Roman;Times;Serif"/>
          <w:b w:val="false"/>
          <w:i w:val="false"/>
          <w:caps w:val="false"/>
          <w:smallCaps w:val="false"/>
          <w:sz w:val="20"/>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Predecessor Security</w:t>
      </w:r>
      <w:r>
        <w:rPr>
          <w:rFonts w:ascii="Times New Roman;Times;Serif" w:hAnsi="Times New Roman;Times;Serif"/>
          <w:b w:val="false"/>
          <w:i w:val="false"/>
          <w:caps w:val="false"/>
          <w:smallCaps w:val="false"/>
          <w:sz w:val="20"/>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relating to this Indenture,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has the meaning stated in the first recital of this Indenture and more particularly means any Securities authenticated and delivered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Securityholder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holder of Securities</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registered holder</w:t>
      </w:r>
      <w:r>
        <w:rPr>
          <w:rFonts w:ascii="Times New Roman;Times;Serif" w:hAnsi="Times New Roman;Times;Serif"/>
          <w:b w:val="false"/>
          <w:i w:val="false"/>
          <w:caps w:val="false"/>
          <w:smallCaps w:val="false"/>
          <w:sz w:val="20"/>
        </w:rPr>
        <w:t>”, or other similar term, means the Person or Persons in whose name or names a particular Security is registered on the Security Register kept for that purpose in accordance with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Security Registrar</w:t>
      </w:r>
      <w:r>
        <w:rPr>
          <w:rFonts w:ascii="Times New Roman;Times;Serif" w:hAnsi="Times New Roman;Times;Serif"/>
          <w:b w:val="false"/>
          <w:i w:val="false"/>
          <w:caps w:val="false"/>
          <w:smallCaps w:val="false"/>
          <w:sz w:val="20"/>
        </w:rPr>
        <w:t>” shall have the meanings as set forth in Section 2.05.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means [</w:t>
      </w:r>
      <w:r>
        <w:rPr>
          <w:rFonts w:ascii="Times New Roman;Times;Serif" w:hAnsi="Times New Roman;Times;Serif"/>
          <w:b/>
          <w:i w:val="false"/>
          <w:smallCaps/>
          <w:sz w:val="20"/>
        </w:rPr>
        <w:t>Trustee</w:t>
      </w:r>
      <w:r>
        <w:rPr>
          <w:rFonts w:ascii="Times New Roman;Times;Serif" w:hAnsi="Times New Roman;Times;Serif"/>
          <w:b w:val="false"/>
          <w:i w:val="false"/>
          <w:caps w:val="false"/>
          <w:smallCaps w:val="false"/>
          <w:sz w:val="20"/>
        </w:rPr>
        <w:t>],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U.S.A. Patriot Act”</w:t>
      </w:r>
      <w:r>
        <w:rPr>
          <w:rFonts w:ascii="Times New Roman;Times;Serif" w:hAnsi="Times New Roman;Times;Serif"/>
          <w:b w:val="false"/>
          <w:i w:val="false"/>
          <w:caps w:val="false"/>
          <w:smallCaps w:val="false"/>
          <w:sz w:val="20"/>
        </w:rPr>
        <w:t xml:space="preserve"> means the Uniting and Strengthening America by Providing Appropriate Tools Required to Intercept and Obstruct Terrorism Act of 2001, Pub. L. 107-56, as amended and signed into law October 26, 2001.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br/>
        <w:t>ISSUE, DESCRIPTION, TERMS, EXECUTION, REGISTRATION AND EXCHANGE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2.01 Designation and Terms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the title of the Securities of the series (which shall distinguish the Securities of that series from all other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the maturity date or dates on which the principal of the Securities of the series is payable;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rPr>
        <w:t>the form of the Securities of the series, including the form of the certificate of authentication for such series;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rPr>
        <w:t>the applicability of any guarantees;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val="false"/>
          <w:i w:val="false"/>
          <w:caps w:val="false"/>
          <w:smallCaps w:val="false"/>
          <w:sz w:val="20"/>
        </w:rPr>
        <w:t>whether the Securities will be secured or unsecured, and the terms of any secured debt;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val="false"/>
          <w:i w:val="false"/>
          <w:caps w:val="false"/>
          <w:smallCaps w:val="false"/>
          <w:sz w:val="20"/>
        </w:rPr>
        <w:t>whether the Securities rank as senior debt, senior subordinated debt, subordinated debt or any combination thereof, and the terms of any subordination;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val="false"/>
          <w:i w:val="false"/>
          <w:caps w:val="false"/>
          <w:smallCaps w:val="false"/>
          <w:sz w:val="20"/>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val="false"/>
          <w:i w:val="false"/>
          <w:caps w:val="false"/>
          <w:smallCaps w:val="false"/>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val="false"/>
          <w:i w:val="false"/>
          <w:caps w:val="false"/>
          <w:smallCaps w:val="false"/>
          <w:sz w:val="20"/>
        </w:rPr>
        <w:t>the Company’s right, if any, to defer the payment of interest and the maximum length of any such deferral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val="false"/>
          <w:i w:val="false"/>
          <w:caps w:val="false"/>
          <w:smallCaps w:val="false"/>
          <w:sz w:val="20"/>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val="false"/>
          <w:i w:val="false"/>
          <w:caps w:val="false"/>
          <w:smallCaps w:val="false"/>
          <w:sz w:val="20"/>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val="false"/>
          <w:i w:val="false"/>
          <w:caps w:val="false"/>
          <w:smallCaps w:val="false"/>
          <w:sz w:val="20"/>
        </w:rPr>
        <w:t>the denominations in which the Securities of the series shall be issuable, if other than denominations of one thousand U.S. dollars ($1,000) and any integral multiple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val="false"/>
          <w:i w:val="false"/>
          <w:caps w:val="false"/>
          <w:smallCaps w:val="false"/>
          <w:sz w:val="20"/>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val="false"/>
          <w:i w:val="false"/>
          <w:caps w:val="false"/>
          <w:smallCaps w:val="false"/>
          <w:sz w:val="20"/>
        </w:rPr>
        <w:t>whether the Securities of the series shall be issued in whole or in part in the form of a Global Security or Global Securities; the terms and conditions, if any, upon which such Global Security or Securities may be exchanged in whole or in part for other individual Securities; and the Depositary for such Global Security or Global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(16) </w:t>
      </w:r>
      <w:r>
        <w:rPr>
          <w:rFonts w:ascii="Times New Roman;Times;Serif" w:hAnsi="Times New Roman;Times;Serif"/>
          <w:b w:val="false"/>
          <w:i w:val="false"/>
          <w:caps w:val="false"/>
          <w:smallCaps w:val="false"/>
          <w:sz w:val="20"/>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(17) </w:t>
      </w:r>
      <w:r>
        <w:rPr>
          <w:rFonts w:ascii="Times New Roman;Times;Serif" w:hAnsi="Times New Roman;Times;Serif"/>
          <w:b w:val="false"/>
          <w:i w:val="false"/>
          <w:caps w:val="false"/>
          <w:smallCaps w:val="false"/>
          <w:sz w:val="20"/>
        </w:rPr>
        <w:t>if other than the full principal amount thereof, the portion of the principal amount of Securities of the series which shall be payable upon declaration of acceleration of the maturity thereof pursuant to Section 6.01;</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w:t>
      </w:r>
      <w:r>
        <w:rPr>
          <w:rFonts w:ascii="Times New Roman;Times;Serif" w:hAnsi="Times New Roman;Times;Serif"/>
          <w:b w:val="false"/>
          <w:i w:val="false"/>
          <w:caps w:val="false"/>
          <w:smallCaps w:val="false"/>
          <w:sz w:val="20"/>
        </w:rPr>
        <w:t>additions to or changes in the covenants applicable to the series of Securities being issued, including, among others, the consolidation, merger or sale covenant;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w:t>
      </w:r>
      <w:r>
        <w:rPr>
          <w:rFonts w:ascii="Times New Roman;Times;Serif" w:hAnsi="Times New Roman;Times;Serif"/>
          <w:b w:val="false"/>
          <w:i w:val="false"/>
          <w:caps w:val="false"/>
          <w:smallCaps w:val="false"/>
          <w:sz w:val="20"/>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(20) </w:t>
      </w:r>
      <w:r>
        <w:rPr>
          <w:rFonts w:ascii="Times New Roman;Times;Serif" w:hAnsi="Times New Roman;Times;Serif"/>
          <w:b w:val="false"/>
          <w:i w:val="false"/>
          <w:caps w:val="false"/>
          <w:smallCaps w:val="false"/>
          <w:sz w:val="20"/>
        </w:rPr>
        <w:t>additions to or changes in or deletions of the provisions relating to covenant defeasance and legal defeasance;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val="false"/>
          <w:i w:val="false"/>
          <w:caps w:val="false"/>
          <w:smallCaps w:val="false"/>
          <w:sz w:val="20"/>
        </w:rPr>
        <w:t>additions to or changes in the provisions relating to satisfaction and discharge of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w:t>
      </w:r>
      <w:r>
        <w:rPr>
          <w:rFonts w:ascii="Times New Roman;Times;Serif" w:hAnsi="Times New Roman;Times;Serif"/>
          <w:b w:val="false"/>
          <w:i w:val="false"/>
          <w:caps w:val="false"/>
          <w:smallCaps w:val="false"/>
          <w:sz w:val="20"/>
        </w:rPr>
        <w:t>additions to or changes in the provisions relating to the modification of this Indenture both with and without the consent of Securityholders of Securities issued under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(23) </w:t>
      </w:r>
      <w:r>
        <w:rPr>
          <w:rFonts w:ascii="Times New Roman;Times;Serif" w:hAnsi="Times New Roman;Times;Serif"/>
          <w:b w:val="false"/>
          <w:i w:val="false"/>
          <w:caps w:val="false"/>
          <w:smallCaps w:val="false"/>
          <w:sz w:val="20"/>
        </w:rPr>
        <w:t>the currency of payment of Securities if other than U.S. dollars and the manner of determining the equivalent amount in U.S. dollars;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(24) </w:t>
      </w:r>
      <w:r>
        <w:rPr>
          <w:rFonts w:ascii="Times New Roman;Times;Serif" w:hAnsi="Times New Roman;Times;Serif"/>
          <w:b w:val="false"/>
          <w:i w:val="false"/>
          <w:caps w:val="false"/>
          <w:smallCaps w:val="false"/>
          <w:sz w:val="20"/>
        </w:rPr>
        <w:t>whether interest will be payable in cash or additional Securities at the Company’s or the Securityholders’ option and the terms and conditions upon which the election may be made;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w:t>
      </w:r>
      <w:r>
        <w:rPr>
          <w:rFonts w:ascii="Times New Roman;Times;Serif" w:hAnsi="Times New Roman;Times;Serif"/>
          <w:b w:val="false"/>
          <w:i w:val="false"/>
          <w:caps w:val="false"/>
          <w:smallCaps w:val="false"/>
          <w:sz w:val="20"/>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(26) </w:t>
      </w:r>
      <w:r>
        <w:rPr>
          <w:rFonts w:ascii="Times New Roman;Times;Serif" w:hAnsi="Times New Roman;Times;Serif"/>
          <w:b w:val="false"/>
          <w:i w:val="false"/>
          <w:caps w:val="false"/>
          <w:smallCaps w:val="false"/>
          <w:sz w:val="20"/>
        </w:rPr>
        <w:t>any restrictions on transfer, sale or assignment of the Securities of the series;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(27) </w:t>
      </w:r>
      <w:r>
        <w:rPr>
          <w:rFonts w:ascii="Times New Roman;Times;Serif" w:hAnsi="Times New Roman;Times;Serif"/>
          <w:b w:val="false"/>
          <w:i w:val="false"/>
          <w:caps w:val="false"/>
          <w:smallCaps w:val="false"/>
          <w:sz w:val="20"/>
        </w:rPr>
        <w:t>any other specific terms, preferences, rights or limitations of, or restrictions on, the Securities, any other additions or changes in the provisions of this Indenture, and any terms that may be required by us or advisable under applicable laws 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may otherwise be provided in or pursuant to any such Board Resolution or in any indentures supplemental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2.02 Form of Securities and Trustee’s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2.03 Denominations: Provisions for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the Trustee,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2.04 Execution and Authentications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signed on behalf of the Company by one of its Officers. Signatures may be in the form of a manual, electronic or facsimile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use the electronic or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2.05 Registration of 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appoints the Trustee as initial Security Registrar for each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The Trustee shall not have any responsibility or liability for any actions taken or not taken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2.06 Temporary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Securities of any series, the Company may execute, and the Trustee, upon receipt of a Company Order,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2.07 Mutilated, Destroyed, Lost or Stolen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temporary or definitive Security shall become mutilated or be destroyed, lost or stolen, the Company (subject to the next succeeding sentence) shall execute, and upon the Company’s request in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in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2.08 Cancellation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2.09 Benefits of Indenture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2.10 Authenticating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2.11 Global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2.12 CUSIP Numbers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br/>
        <w:t>REDEMPTION OF SECURITIES AND SINKING FUND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3.01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any series issued hereunder on and after the dates and in accordance with the terms established for such series pursuant to Section 2.01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3.02 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(upon 5 Business Days’ written notice, unless a shorter period shall be satisfactory to the Trustee) to, give notice of such redemption to holders of the Securities of such series to be redeemed by mailing, first class postage prepaid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3.03 Payment upon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3.04 Sinking Fund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Sections 3.04, 3.05 and 3.06 shall be applicable to any sinking fund for the retirement of Securities of a series, except as otherwise specified as contemplated by Section 2.01 for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3.05 Satisfaction of Sinking Fund Payments with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3.06 Redemption of Securities for Sinking Fund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br/>
        <w:t>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4.01 Payment of Principal, Premium and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4.02 Maintenance of Office or Agency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made,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provided, however, the Trustee shall not be considered an agent of the Company for service of process. The Company initially appoints the Corporate Trust Office of the Trustee as its paying agent with respect to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4.03 Paying Agents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that it will give the Trustee notice of any failure by the Company (or by any other obligor of such Securities) to make any payment of the principal of (and premium, if any) or interest on the Securities of that series when the same shall be due and payable;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that it will, at any time during the continuance of any failure referred to in the preceding paragraph (a)(2) above, upon the written request of the Trustee, forthwith pay to the Trustee all sums so held in trust by such paying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rPr>
        <w:t>that upon any receivership, insolvency, liquidation, bankruptcy, reorganization, readjustment, arrangement, composition or judicial proceedings affecting the Company, the Trustee will automatically be the paying agent;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rPr>
        <w:t>that it will perform all other duties of paying agent as set forth in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4.04 Appointment to Fill Vacancy in Office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whenever necessary to avoid or fill a vacancy in the office of Trustee, will appoint, in the manner provided in Section 7.10, a Trustee, so that there shall at all times be a Trustee hereunder.</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br/>
        <w:t>SECURITYHOLDERS’ LISTS AND REPORTS BY THE COMPANY AND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5.01 Company to Furnish Trustee Names and Addresses of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5.02 Preservation of Information; Communications with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Trustee may destroy any list furnished to it as provided in Section 5.01 upon receipt of a new list so furnished.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5.03 Reports by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Delivery of reports, information and documents to the Trustee under Section 5.03 is for informational purposes only and the information and the Trustee’s receipt of the foregoing shall not constitute actual or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5.04 Reports by the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required by Section 313(a) of the Trust Indenture Act, the Trustee, within sixty (60) days after each May 1, shall send to the Securityholders a brief report dated as of such May 1, which complies with Section 313(a) of the Trust Indenture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Trustee shall comply with Section 313(b) and 313(c) of the Trust Indenture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br/>
        <w:t>REMEDIES OF THE TRUSTEE AND SECURITYHOLDERS ON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6.01 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Whenever used herein with respect to Securities of a particular series, “Event of Default” means any one or more of the following events that has occurred and is continuing: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the Company defaults in the payment of any installment of interest 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if any,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this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and annulment shall extend to or shall affect any subsequent default or impair any right consequent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6.02 Collection of Indebtedness and Suits for Enforcement by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6.03 Application of Moneys Collected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property collected by the Trustee pursuant to this Article with respect to a particular series of Securities shall be applied in the following order, at the date or dates fixed by the Trustee and, in case of the distribution of such moneys or property on account of principal (or premium, if any) or interest, upon presentation of the Securities of that series, and notation thereon of the payment, if only partially paid, and upon surrender thereof if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costs and expenses of collection and of all amounts payable to the Trustee under Section 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payment of the remainder, if any, to the Company or any other Person lawfully entitled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6.04 Limitation on Suits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6.05 Rights and Remedies Cumulative; Delay or Omission Not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6.06 Control by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6.07 Undertaking to Pay Costs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br/>
        <w:t>CONCERNING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7.01 Certain Duties and Responsibilities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prior to the occurrence of an Event of Default with respect to the Securities of a series and after the curing or waiving of all such Events of Default with respect to that series that may have occurred: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the Trustee shall not be required to give any bond or surety in respect of the performance of its powers or duties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the permissive right of the Trustee to do things enumerated in this Indenture shall not be construed as a duty of the Trustee;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 </w:t>
      </w:r>
      <w:r>
        <w:rPr>
          <w:rFonts w:ascii="Times New Roman;Times;Serif" w:hAnsi="Times New Roman;Times;Serif"/>
          <w:b w:val="false"/>
          <w:i w:val="false"/>
          <w:caps w:val="false"/>
          <w:smallCaps w:val="false"/>
          <w:sz w:val="20"/>
        </w:rPr>
        <w:t>no Trustee shall have any duty or responsibility for any act or omission of any other Trustee appointed with respect to a series of Securities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7.02 Certain Rights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The Trustee shall not be liable for any action taken or omitted to be taken by it in good faith and believed by it to be authorized or within the discretion or rights or powers conferred upon it by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acceptable to the Trustee against such costs, expenses or liabilities as a condition to so proceeding. The reasonable expense of every such examination shall be paid by the Company or, if paid by the Trustee, shall be repaid by the Company upon demand;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In no event shall the Trustee be responsible or liable for special, indirect, incidental, punitive or consequential loss or damage of any kind whatsoever (including, but not limited to, loss of profit) irrespective of whether the Trustee has been advised of the likelihood of such loss or damage and regardless of the form of action. The provisions of this Section 7.02(i) shall survive the termination or discharge of this Indenture and the resignation or removal of the Trustee;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The Trustee may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val="false"/>
          <w:i w:val="false"/>
          <w:caps w:val="false"/>
          <w:smallCaps w:val="false"/>
          <w:sz w:val="20"/>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val="false"/>
          <w:i w:val="false"/>
          <w:caps w:val="false"/>
          <w:smallCaps w:val="false"/>
          <w:sz w:val="20"/>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7.03 Trustee Not Responsible for Recitals or Issuance or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Trustee makes no representations as to the validity or sufficiency of this Indenture or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7.04 May Hold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7.05 Moneys Held in Trust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7.06 Compensation and Reimbursement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The Company need not reimburse any expense or indemnify against any loss or liability incurred by the Trustee or by any officer, director, employee, shareholder or agent of the Trustee through negligence or bad faith.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7.07 Reliance on Officer’s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will, in the absence of gross negligence or willful misconduct on the part of the Trustee, be deemed to be conclusively proved and established by an Officer’s Certificate delivered to the Trustee and such certificate, in the absence of gross negligence or willful misconduct on the part of the Trustee, shall be full warrant to the Trustee for any action taken, suffered or omitted to be taken by it under the provisions of this Indenture upon the faith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7.08 Disqualification; Conflicting Interests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7.09 Corporate Trustee Required; Eligibility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7.10 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case at any time any one of the following shall occur: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the Trustee shall fail to comply with the provisions of Section 7.08 after written request therefor by the Company or by any Securityholder who has been a bona fide holder of a Security or Securities for at least six months;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the Trustee shall cease to be eligible in accordance with the provisions of Section 7.09 and shall fail to resign after written request therefor by the Company or by any such Securityholder;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7.11 Acceptance of Appointment by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No successor trustee shall accept its appointment unless at the time of such acceptance such successor trustee shall be qualified and eligible under this Article.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7.12 Merger, Conversion, Consolidation or Succession to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entity into which the Trustee may be merged or converted or with which it may be consolidated, or any corporation resulting from any merger, conversion or consolidation to which the Trustee shall be a party, or any entity succeeding to all or substantially all the corporate trust business of the Trustee, including the administration of the trust created by this Indenture, shall be the successor of the Trustee hereunder, provided that such entity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7.13 Preferential Collection of Claims Against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7.14 Notice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 The Trustee will not be required to deliver such notice at any time after such Default or Event of Default is cured or waived.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br/>
        <w:t>CONCERNING THE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8.01 Evidence of Action by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8.02 Proof of Execution by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fact and date of the execution by any such Person of any instrument may be proved in any reasonable manner acceptable to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ownership of Securities shall be proved by the Security Register of such Securities or by a certificate of the Security Registrar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such additional proof of any matter referred to in this Section as it shall deem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8.03 Who May be Deemed Owners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8.04 Certain Securities Owned by Company Disregarded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8.05 Actions Binding on Future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br/>
        <w:br/>
        <w:t>SUPPLEMENTAL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9.01 Supplemental Indentures Without the Consent of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to cure any ambiguity, defect, or inconsistency herein or in the Securities of any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to comply with Article Ten;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to provide for uncertificated Securities in addition to or in place of certificated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to add to, delete from, or revise the conditions, limitations, and restrictions on the authorized amount, terms, or purposes of issue, authentication, and delivery of Securities, as herein set forth;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to make any change that does not adversely affect the rights of any Securityholder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to evidence and provide for the acceptance of appointment hereunder by a successor trustee;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to comply with any requirements of the Commission or any successor in connection with the qualification of this Indenture under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9.02 Supplemental Indentures with Consent of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 The Trustee may in its discretion, but shall not be obligated to, enter into any such supplemental indenture that affects the Trustee’s own rights, duties or immunities under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9.03 Effect of Supplemental Indentures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9.04 Securities Affected by Supplemental Indentures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9.05 Execution of Supplemental Indentures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br/>
        <w:br/>
        <w:t>SUCCESSOR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10.01 Company May Consolidate,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10.02 Successor Entity Substituted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11</w:t>
        <w:br/>
        <w:br/>
        <w:t>SATISFACTION AND 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11.01 Satisfaction and Discharge of Indenture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11.02 Discharge of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Sections 7.06 and 11.05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11.03 Deposited Moneys to be Held in Trust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11.04 Payment of Moneys Held by Paying Agents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11.05 Repayment to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12</w:t>
        <w:br/>
        <w:br/>
        <w:t>IMMUNITY OF INCORPORATORS, STOCKHOLDERS,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12.01 No Recourse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13</w:t>
        <w:br/>
        <w:br/>
        <w:t>MISCELLANEOUS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13.01 Effect on 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stipulations, promises and agreements in this Indenture made by or on behalf of the Company shall bind its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13.02 Actions by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13.03 Surrender of Company Powers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13.04 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13.05 Governing Law; Jury Trial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each Security shall be governed by, and construed in accordance with, the internal laws of the State of New York, except to the extent that the Trust Indenture Act is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13.06 Treatment of Securities as Debt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the Securities will be treated as indebtedness and not as equity for federal income tax purposes. The provisions of this Indenture shall be interpreted to further this intention.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13.07 Certificates and Opinions as to Conditions Precedent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13.08 Payments on Business Days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13.09 Conflict with Trust Indenture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that any provision of this Indenture limits, qualifies or conflicts with the duties imposed by Section 318(c) of the Trust Indenture Act, such imposed duties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13.10 Counterparts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13.11 Severability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13.12 Compliance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13.13 U.S.A Patriot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13.14 Force Majeure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epidemics, pandemics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13.15 Table of Contents; Headings.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headings of the articles and sections of this Indenture have been inserted for convenience of reference only, are not intended to be considered a part hereof, and will not modify or restrict any of the terms or provisions 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parties hereto have caused this Indenture to be duly executed all as of the day and year first above written.</w:t>
      </w:r>
    </w:p>
    <w:p>
      <w:pPr>
        <w:pStyle w:val="TextBody"/>
        <w:bidi w:val="0"/>
        <w:spacing w:before="0" w:after="0"/>
        <w:ind w:left="4320" w:right="0" w:hanging="0"/>
        <w:jc w:val="both"/>
        <w:rPr>
          <w:caps w:val="false"/>
          <w:smallCaps w:val="false"/>
        </w:rPr>
      </w:pPr>
      <w:r>
        <w:rPr>
          <w:caps w:val="false"/>
          <w:smallCaps w:val="false"/>
        </w:rPr>
        <w:t> </w:t>
      </w:r>
    </w:p>
    <w:tbl>
      <w:tblPr>
        <w:tblW w:w="3484" w:type="dxa"/>
        <w:jc w:val="left"/>
        <w:tblInd w:w="0" w:type="dxa"/>
        <w:tblLayout w:type="fixed"/>
        <w:tblCellMar>
          <w:top w:w="0" w:type="dxa"/>
          <w:left w:w="0" w:type="dxa"/>
          <w:bottom w:w="0" w:type="dxa"/>
          <w:right w:w="0" w:type="dxa"/>
        </w:tblCellMar>
      </w:tblPr>
      <w:tblGrid>
        <w:gridCol w:w="75"/>
        <w:gridCol w:w="1452"/>
        <w:gridCol w:w="1957"/>
      </w:tblGrid>
      <w:tr>
        <w:trPr/>
        <w:tc>
          <w:tcPr>
            <w:tcW w:w="75" w:type="dxa"/>
            <w:tcBorders/>
            <w:vAlign w:val="center"/>
          </w:tcPr>
          <w:p>
            <w:pPr>
              <w:pStyle w:val="TableContents"/>
              <w:bidi w:val="0"/>
              <w:spacing w:before="0" w:after="283"/>
              <w:ind w:left="0" w:right="0" w:hanging="0"/>
              <w:jc w:val="left"/>
              <w:rPr/>
            </w:pPr>
            <w:r>
              <w:rPr/>
              <w:t> </w:t>
            </w:r>
          </w:p>
        </w:tc>
        <w:tc>
          <w:tcPr>
            <w:tcW w:w="3409" w:type="dxa"/>
            <w:gridSpan w:val="2"/>
            <w:tcBorders/>
            <w:vAlign w:val="center"/>
          </w:tcPr>
          <w:p>
            <w:pPr>
              <w:pStyle w:val="TableContents"/>
              <w:bidi w:val="0"/>
              <w:spacing w:before="0" w:after="283"/>
              <w:jc w:val="both"/>
              <w:rPr>
                <w:b/>
                <w:smallCaps/>
              </w:rPr>
            </w:pPr>
            <w:r>
              <w:rPr>
                <w:b/>
                <w:smallCaps/>
              </w:rPr>
              <w:t>Bitdeer Technologies Group</w:t>
            </w:r>
          </w:p>
        </w:tc>
      </w:tr>
      <w:tr>
        <w:trPr/>
        <w:tc>
          <w:tcPr>
            <w:tcW w:w="75" w:type="dxa"/>
            <w:tcBorders/>
            <w:vAlign w:val="center"/>
          </w:tcPr>
          <w:p>
            <w:pPr>
              <w:pStyle w:val="TableContents"/>
              <w:bidi w:val="0"/>
              <w:spacing w:before="0" w:after="283"/>
              <w:ind w:left="0" w:right="0" w:hanging="0"/>
              <w:jc w:val="left"/>
              <w:rPr/>
            </w:pPr>
            <w:r>
              <w:rPr/>
              <w:t> </w:t>
            </w:r>
          </w:p>
        </w:tc>
        <w:tc>
          <w:tcPr>
            <w:tcW w:w="1452" w:type="dxa"/>
            <w:tcBorders/>
            <w:vAlign w:val="center"/>
          </w:tcPr>
          <w:p>
            <w:pPr>
              <w:pStyle w:val="TableContents"/>
              <w:bidi w:val="0"/>
              <w:spacing w:before="0" w:after="283"/>
              <w:ind w:left="0" w:right="0" w:hanging="0"/>
              <w:jc w:val="both"/>
              <w:rPr/>
            </w:pPr>
            <w:r>
              <w:rPr/>
              <w:t> </w:t>
            </w:r>
          </w:p>
        </w:tc>
        <w:tc>
          <w:tcPr>
            <w:tcW w:w="19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52" w:type="dxa"/>
            <w:tcBorders/>
            <w:vAlign w:val="center"/>
          </w:tcPr>
          <w:p>
            <w:pPr>
              <w:pStyle w:val="TableContents"/>
              <w:bidi w:val="0"/>
              <w:spacing w:before="0" w:after="283"/>
              <w:ind w:left="0" w:right="0" w:hanging="0"/>
              <w:jc w:val="both"/>
              <w:rPr/>
            </w:pPr>
            <w:r>
              <w:rPr/>
              <w:t>By:</w:t>
            </w:r>
          </w:p>
        </w:tc>
        <w:tc>
          <w:tcPr>
            <w:tcW w:w="1957"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52" w:type="dxa"/>
            <w:tcBorders/>
            <w:vAlign w:val="center"/>
          </w:tcPr>
          <w:p>
            <w:pPr>
              <w:pStyle w:val="TableContents"/>
              <w:bidi w:val="0"/>
              <w:spacing w:before="0" w:after="283"/>
              <w:ind w:left="0" w:right="0" w:hanging="0"/>
              <w:jc w:val="both"/>
              <w:rPr/>
            </w:pPr>
            <w:r>
              <w:rPr/>
              <w:t> </w:t>
            </w:r>
          </w:p>
        </w:tc>
        <w:tc>
          <w:tcPr>
            <w:tcW w:w="19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52" w:type="dxa"/>
            <w:tcBorders/>
            <w:vAlign w:val="center"/>
          </w:tcPr>
          <w:p>
            <w:pPr>
              <w:pStyle w:val="TableContents"/>
              <w:bidi w:val="0"/>
              <w:spacing w:before="0" w:after="283"/>
              <w:ind w:left="0" w:right="0" w:hanging="0"/>
              <w:jc w:val="both"/>
              <w:rPr/>
            </w:pPr>
            <w:r>
              <w:rPr/>
              <w:t>Name:</w:t>
            </w:r>
          </w:p>
        </w:tc>
        <w:tc>
          <w:tcPr>
            <w:tcW w:w="1957"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52" w:type="dxa"/>
            <w:tcBorders/>
            <w:vAlign w:val="center"/>
          </w:tcPr>
          <w:p>
            <w:pPr>
              <w:pStyle w:val="TableContents"/>
              <w:bidi w:val="0"/>
              <w:spacing w:before="0" w:after="283"/>
              <w:ind w:left="0" w:right="0" w:hanging="0"/>
              <w:jc w:val="both"/>
              <w:rPr/>
            </w:pPr>
            <w:r>
              <w:rPr/>
              <w:t> </w:t>
            </w:r>
          </w:p>
        </w:tc>
        <w:tc>
          <w:tcPr>
            <w:tcW w:w="19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52" w:type="dxa"/>
            <w:tcBorders/>
            <w:vAlign w:val="center"/>
          </w:tcPr>
          <w:p>
            <w:pPr>
              <w:pStyle w:val="TableContents"/>
              <w:bidi w:val="0"/>
              <w:spacing w:before="0" w:after="283"/>
              <w:ind w:left="0" w:right="0" w:hanging="0"/>
              <w:jc w:val="both"/>
              <w:rPr/>
            </w:pPr>
            <w:r>
              <w:rPr/>
              <w:t>Title:</w:t>
            </w:r>
          </w:p>
        </w:tc>
        <w:tc>
          <w:tcPr>
            <w:tcW w:w="1957"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52" w:type="dxa"/>
            <w:tcBorders/>
            <w:vAlign w:val="center"/>
          </w:tcPr>
          <w:p>
            <w:pPr>
              <w:pStyle w:val="TableContents"/>
              <w:bidi w:val="0"/>
              <w:spacing w:before="0" w:after="283"/>
              <w:ind w:left="0" w:right="0" w:hanging="0"/>
              <w:jc w:val="left"/>
              <w:rPr/>
            </w:pPr>
            <w:r>
              <w:rPr/>
              <w:t> </w:t>
            </w:r>
          </w:p>
        </w:tc>
        <w:tc>
          <w:tcPr>
            <w:tcW w:w="19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09" w:type="dxa"/>
            <w:gridSpan w:val="2"/>
            <w:tcBorders/>
            <w:vAlign w:val="center"/>
          </w:tcPr>
          <w:p>
            <w:pPr>
              <w:pStyle w:val="TableContents"/>
              <w:bidi w:val="0"/>
              <w:spacing w:before="0" w:after="283"/>
              <w:jc w:val="left"/>
              <w:rPr/>
            </w:pPr>
            <w:r>
              <w:rPr>
                <w:b/>
                <w:smallCaps/>
              </w:rPr>
              <w:t>[Trustee]</w:t>
            </w:r>
            <w:r>
              <w:rPr/>
              <w:t>, as Trustee</w:t>
            </w:r>
          </w:p>
        </w:tc>
      </w:tr>
      <w:tr>
        <w:trPr/>
        <w:tc>
          <w:tcPr>
            <w:tcW w:w="75" w:type="dxa"/>
            <w:tcBorders/>
            <w:vAlign w:val="center"/>
          </w:tcPr>
          <w:p>
            <w:pPr>
              <w:pStyle w:val="TableContents"/>
              <w:bidi w:val="0"/>
              <w:spacing w:before="0" w:after="283"/>
              <w:ind w:left="0" w:right="0" w:hanging="0"/>
              <w:jc w:val="left"/>
              <w:rPr/>
            </w:pPr>
            <w:r>
              <w:rPr/>
              <w:t> </w:t>
            </w:r>
          </w:p>
        </w:tc>
        <w:tc>
          <w:tcPr>
            <w:tcW w:w="1452" w:type="dxa"/>
            <w:tcBorders/>
            <w:vAlign w:val="center"/>
          </w:tcPr>
          <w:p>
            <w:pPr>
              <w:pStyle w:val="TableContents"/>
              <w:bidi w:val="0"/>
              <w:spacing w:before="0" w:after="283"/>
              <w:ind w:left="0" w:right="0" w:hanging="0"/>
              <w:jc w:val="both"/>
              <w:rPr/>
            </w:pPr>
            <w:r>
              <w:rPr/>
              <w:t> </w:t>
            </w:r>
          </w:p>
        </w:tc>
        <w:tc>
          <w:tcPr>
            <w:tcW w:w="19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52" w:type="dxa"/>
            <w:tcBorders/>
            <w:vAlign w:val="center"/>
          </w:tcPr>
          <w:p>
            <w:pPr>
              <w:pStyle w:val="TableContents"/>
              <w:bidi w:val="0"/>
              <w:spacing w:before="0" w:after="283"/>
              <w:ind w:left="0" w:right="0" w:hanging="0"/>
              <w:jc w:val="both"/>
              <w:rPr/>
            </w:pPr>
            <w:r>
              <w:rPr/>
              <w:t>By:</w:t>
            </w:r>
          </w:p>
        </w:tc>
        <w:tc>
          <w:tcPr>
            <w:tcW w:w="1957"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52" w:type="dxa"/>
            <w:tcBorders/>
            <w:vAlign w:val="center"/>
          </w:tcPr>
          <w:p>
            <w:pPr>
              <w:pStyle w:val="TableContents"/>
              <w:bidi w:val="0"/>
              <w:spacing w:before="0" w:after="283"/>
              <w:ind w:left="0" w:right="0" w:hanging="0"/>
              <w:jc w:val="both"/>
              <w:rPr/>
            </w:pPr>
            <w:r>
              <w:rPr/>
              <w:t> </w:t>
            </w:r>
          </w:p>
        </w:tc>
        <w:tc>
          <w:tcPr>
            <w:tcW w:w="19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52" w:type="dxa"/>
            <w:tcBorders/>
            <w:vAlign w:val="center"/>
          </w:tcPr>
          <w:p>
            <w:pPr>
              <w:pStyle w:val="TableContents"/>
              <w:bidi w:val="0"/>
              <w:spacing w:before="0" w:after="283"/>
              <w:ind w:left="0" w:right="0" w:hanging="0"/>
              <w:jc w:val="both"/>
              <w:rPr/>
            </w:pPr>
            <w:r>
              <w:rPr/>
              <w:t>Name:</w:t>
            </w:r>
          </w:p>
        </w:tc>
        <w:tc>
          <w:tcPr>
            <w:tcW w:w="1957"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52" w:type="dxa"/>
            <w:tcBorders/>
            <w:vAlign w:val="center"/>
          </w:tcPr>
          <w:p>
            <w:pPr>
              <w:pStyle w:val="TableContents"/>
              <w:bidi w:val="0"/>
              <w:spacing w:before="0" w:after="283"/>
              <w:ind w:left="0" w:right="0" w:hanging="0"/>
              <w:jc w:val="both"/>
              <w:rPr/>
            </w:pPr>
            <w:r>
              <w:rPr/>
              <w:t> </w:t>
            </w:r>
          </w:p>
        </w:tc>
        <w:tc>
          <w:tcPr>
            <w:tcW w:w="19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52" w:type="dxa"/>
            <w:tcBorders/>
            <w:vAlign w:val="center"/>
          </w:tcPr>
          <w:p>
            <w:pPr>
              <w:pStyle w:val="TableContents"/>
              <w:bidi w:val="0"/>
              <w:spacing w:before="0" w:after="283"/>
              <w:ind w:left="0" w:right="0" w:hanging="0"/>
              <w:jc w:val="both"/>
              <w:rPr/>
            </w:pPr>
            <w:r>
              <w:rPr/>
              <w:t>Title:</w:t>
            </w:r>
          </w:p>
        </w:tc>
        <w:tc>
          <w:tcPr>
            <w:tcW w:w="1957" w:type="dxa"/>
            <w:tcBorders>
              <w:bottom w:val="single" w:sz="12"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4320" w:right="0" w:hanging="0"/>
        <w:jc w:val="both"/>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CROSS-REFERENCE TABLE (1)</w:t>
      </w:r>
    </w:p>
    <w:p>
      <w:pPr>
        <w:pStyle w:val="TextBody"/>
        <w:bidi w:val="0"/>
        <w:spacing w:before="0" w:after="0"/>
        <w:ind w:left="0" w:right="0" w:hanging="0"/>
        <w:jc w:val="both"/>
        <w:rPr>
          <w:caps w:val="false"/>
          <w:smallCaps w:val="false"/>
        </w:rPr>
      </w:pPr>
      <w:r>
        <w:rPr>
          <w:caps w:val="false"/>
          <w:smallCaps w:val="false"/>
        </w:rPr>
        <w:t> </w:t>
      </w:r>
    </w:p>
    <w:tbl>
      <w:tblPr>
        <w:tblW w:w="6145" w:type="dxa"/>
        <w:jc w:val="left"/>
        <w:tblInd w:w="0" w:type="dxa"/>
        <w:tblLayout w:type="fixed"/>
        <w:tblCellMar>
          <w:top w:w="0" w:type="dxa"/>
          <w:left w:w="0" w:type="dxa"/>
          <w:bottom w:w="28" w:type="dxa"/>
          <w:right w:w="0" w:type="dxa"/>
        </w:tblCellMar>
      </w:tblPr>
      <w:tblGrid>
        <w:gridCol w:w="4355"/>
        <w:gridCol w:w="60"/>
        <w:gridCol w:w="1730"/>
      </w:tblGrid>
      <w:tr>
        <w:trPr/>
        <w:tc>
          <w:tcPr>
            <w:tcW w:w="435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Trust Indenture Act of 1939, as Amended</w:t>
            </w:r>
          </w:p>
        </w:tc>
        <w:tc>
          <w:tcPr>
            <w:tcW w:w="60" w:type="dxa"/>
            <w:tcBorders/>
            <w:tcMar>
              <w:bottom w:w="0" w:type="dxa"/>
            </w:tcMar>
            <w:vAlign w:val="center"/>
          </w:tcPr>
          <w:p>
            <w:pPr>
              <w:pStyle w:val="TableContents"/>
              <w:bidi w:val="0"/>
              <w:spacing w:before="0" w:after="283"/>
              <w:jc w:val="left"/>
              <w:rPr/>
            </w:pPr>
            <w:r>
              <w:rPr/>
              <w:t> </w:t>
            </w:r>
          </w:p>
        </w:tc>
        <w:tc>
          <w:tcPr>
            <w:tcW w:w="173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Indenture</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310(a)</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7.09</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310(b)</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7.08</w:t>
            </w:r>
          </w:p>
        </w:tc>
      </w:tr>
      <w:tr>
        <w:trPr/>
        <w:tc>
          <w:tcPr>
            <w:tcW w:w="435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7.10</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310(c)</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Inapplicable</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311(a)</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7.13</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311(b)</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7.13</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311(c)</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Inapplicable</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312(a)</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5.01</w:t>
            </w:r>
          </w:p>
        </w:tc>
      </w:tr>
      <w:tr>
        <w:trPr/>
        <w:tc>
          <w:tcPr>
            <w:tcW w:w="435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5.02(a)</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312(b)</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5.02(c)</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312(c)</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5.02(c)</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313(a)</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5.04(a)</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313(b)</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5.04(b)</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313(c)</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5.04(a)</w:t>
            </w:r>
          </w:p>
        </w:tc>
      </w:tr>
      <w:tr>
        <w:trPr/>
        <w:tc>
          <w:tcPr>
            <w:tcW w:w="435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5.04(b)</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313(d)</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5.04(c)</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314(a)</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5.03</w:t>
            </w:r>
          </w:p>
        </w:tc>
      </w:tr>
      <w:tr>
        <w:trPr/>
        <w:tc>
          <w:tcPr>
            <w:tcW w:w="435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13.12</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314(b)</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Inapplicable</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314(c)</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13.07(a)</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314(d)</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Inapplicable</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314(e)</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13.07(b)</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314(f)</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Inapplicable</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315(a)</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7.01(a)</w:t>
            </w:r>
          </w:p>
        </w:tc>
      </w:tr>
      <w:tr>
        <w:trPr/>
        <w:tc>
          <w:tcPr>
            <w:tcW w:w="435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7.01(b)</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315(b)</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7.14</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315(c)</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7.01</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315(d)</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7.01(b)</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315(e)</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6.07</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316(a)</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6.06</w:t>
            </w:r>
          </w:p>
        </w:tc>
      </w:tr>
      <w:tr>
        <w:trPr/>
        <w:tc>
          <w:tcPr>
            <w:tcW w:w="435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8.04</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316(b)</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6.04</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316(c)</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8.01</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317(a)</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6.02</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317(b)</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4.03</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318(a)</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13.09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Cross-Reference Table does not constitute part of the Indenture and shall not have any bearing on the interpretation of any of its terms or provisions.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30073701ex4-5.htm"/>
      <w:bookmarkStart w:id="24" w:name="ksea030073701ex45"/>
      <w:bookmarkEnd w:id="23"/>
      <w:bookmarkEnd w:id="24"/>
      <w:r>
        <w:rPr>
          <w:rFonts w:ascii="Times New Roman;Times;Serif" w:hAnsi="Times New Roman;Times;Serif"/>
          <w:b/>
          <w:i w:val="false"/>
          <w:caps w:val="false"/>
          <w:smallCaps w:val="false"/>
          <w:sz w:val="20"/>
        </w:rPr>
        <w:t>Exhibit 4.5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Bitdeer Technologies Group</w:t>
        <w:br/>
        <w:br/>
        <w:t>and</w:t>
        <w:br/>
        <w:br/>
        <w:t>_____________, As Warrant Agent</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Ordinary Share</w:t>
        <w:br/>
        <w:t>Warrant Agreement</w:t>
        <w:br/>
        <w:br/>
        <w:t>Dated As Of 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Bitdeer Technologies Group Form of Ordinary Share Warrant Agreement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Ordinary Share Warrant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dated as of [●], between </w:t>
      </w:r>
      <w:r>
        <w:rPr>
          <w:rFonts w:ascii="Times New Roman;Times;Serif" w:hAnsi="Times New Roman;Times;Serif"/>
          <w:b/>
          <w:i w:val="false"/>
          <w:smallCaps/>
          <w:sz w:val="20"/>
        </w:rPr>
        <w:t>Bitdeer Technologies Group</w:t>
      </w:r>
      <w:r>
        <w:rPr>
          <w:rFonts w:ascii="Times New Roman;Times;Serif" w:hAnsi="Times New Roman;Times;Serif"/>
          <w:b w:val="false"/>
          <w:i w:val="false"/>
          <w:caps w:val="false"/>
          <w:smallCaps w:val="false"/>
          <w:sz w:val="20"/>
        </w:rPr>
        <w:t>, an exempted company with limited liability incorporated under the laws of the Cayman Islands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 a [corporation] [national banking association] organized and existing under the laws of [●] and having a corporate trust office in [●],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xml:space="preserve"> the Company proposes to sell [If Warrants are sold with other securities —[title of such other securities being offered] (the “</w:t>
      </w:r>
      <w:r>
        <w:rPr>
          <w:rFonts w:ascii="Times New Roman;Times;Serif" w:hAnsi="Times New Roman;Times;Serif"/>
          <w:b/>
          <w:i/>
          <w:caps w:val="false"/>
          <w:smallCaps w:val="false"/>
          <w:sz w:val="20"/>
        </w:rPr>
        <w:t>Other Securities</w:t>
      </w:r>
      <w:r>
        <w:rPr>
          <w:rFonts w:ascii="Times New Roman;Times;Serif" w:hAnsi="Times New Roman;Times;Serif"/>
          <w:b w:val="false"/>
          <w:i w:val="false"/>
          <w:caps w:val="false"/>
          <w:smallCaps w:val="false"/>
          <w:sz w:val="20"/>
        </w:rPr>
        <w:t>”) with] warrant certificates evidencing one or more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or, individually, a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representing the right to purchase Class A ordinary shares of the Company, par value $0.0000001 per share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such warrant certificates and other warrant certificates issued pursuant to this Agreement being herein called the “</w:t>
      </w:r>
      <w:r>
        <w:rPr>
          <w:rFonts w:ascii="Times New Roman;Times;Serif" w:hAnsi="Times New Roman;Times;Serif"/>
          <w:b/>
          <w:i/>
          <w:caps w:val="false"/>
          <w:smallCaps w:val="false"/>
          <w:sz w:val="20"/>
        </w:rPr>
        <w:t>Warrant Certificates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Whereas, </w:t>
      </w:r>
      <w:r>
        <w:rPr>
          <w:rFonts w:ascii="Times New Roman;Times;Serif" w:hAnsi="Times New Roman;Times;Serif"/>
          <w:b w:val="false"/>
          <w:i w:val="false"/>
          <w:caps w:val="false"/>
          <w:smallCaps w:val="false"/>
          <w:sz w:val="20"/>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xml:space="preserve"> in consideration of the premises and of the mutual agreements herein contained, the parties hereto agree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br/>
        <w:t>ISSUANCE OF WARRANTS AND EXECUTION AND</w:t>
        <w:br/>
        <w:t>DELIVERY OF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Issuance of Warrants.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If Warrants alone</w:t>
      </w:r>
      <w:r>
        <w:rPr>
          <w:rFonts w:ascii="Times New Roman;Times;Serif" w:hAnsi="Times New Roman;Times;Serif"/>
          <w:b w:val="false"/>
          <w:i w:val="false"/>
          <w:caps w:val="false"/>
          <w:smallCaps w:val="false"/>
          <w:sz w:val="20"/>
        </w:rPr>
        <w:t xml:space="preserve"> —Upon issuance, each Warrant Certificate shall evidence one or more Warrants.]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—Warrant Certificates will be issued with the Other Securities and each Warrant Certificate will evidence [●] Warrants for each [$[●] principal amount] [[●] shares] of Other Securities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Execution and Delivery of Warrant Certificates. </w:t>
      </w:r>
      <w:r>
        <w:rPr>
          <w:rFonts w:ascii="Times New Roman;Times;Serif" w:hAnsi="Times New Roman;Times;Serif"/>
          <w:b w:val="false"/>
          <w:i w:val="false"/>
          <w:caps w:val="false"/>
          <w:smallCaps w:val="false"/>
          <w:sz w:val="20"/>
        </w:rPr>
        <w:t xml:space="preserve">Each Warrant Certificate, whenever issued, shall be in registered form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holder of a Warrant Certificate</w:t>
      </w:r>
      <w:r>
        <w:rPr>
          <w:rFonts w:ascii="Times New Roman;Times;Serif" w:hAnsi="Times New Roman;Times;Serif"/>
          <w:b w:val="false"/>
          <w:i w:val="false"/>
          <w:caps w:val="false"/>
          <w:smallCaps w:val="false"/>
          <w:sz w:val="20"/>
        </w:rPr>
        <w:t>” as used herein shall mean any person in whose name at the time any Warrant Certificate shall be registered upon the books to be maintained by the Warrant Agent for that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Issuance of Warrant Certificates. </w:t>
      </w:r>
      <w:r>
        <w:rPr>
          <w:rFonts w:ascii="Times New Roman;Times;Serif" w:hAnsi="Times New Roman;Times;Serif"/>
          <w:b w:val="false"/>
          <w:i w:val="false"/>
          <w:caps w:val="false"/>
          <w:smallCaps w:val="false"/>
          <w:sz w:val="20"/>
        </w:rPr>
        <w:t>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br/>
        <w:t>WARRANT PRICE, DURATION AND 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Warrant Price. </w:t>
      </w:r>
      <w:r>
        <w:rPr>
          <w:rFonts w:ascii="Times New Roman;Times;Serif" w:hAnsi="Times New Roman;Times;Serif"/>
          <w:b w:val="false"/>
          <w:i w:val="false"/>
          <w:caps w:val="false"/>
          <w:smallCaps w:val="false"/>
          <w:sz w:val="20"/>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Duration of Warrants. </w:t>
      </w:r>
      <w:r>
        <w:rPr>
          <w:rFonts w:ascii="Times New Roman;Times;Serif" w:hAnsi="Times New Roman;Times;Serif"/>
          <w:b w:val="false"/>
          <w:i w:val="false"/>
          <w:caps w:val="false"/>
          <w:smallCaps w:val="false"/>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Each Warrant not exercised at or before [●] p.m., [City] time, on the Expiration Date shall become void, and all rights of the holder of the Warrant Certificate evidencing such Warrant under this Agreement shall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Exercise of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br/>
        <w:t>OTHER PROVISIONS RELATING TO RIGHTS OF HOLDERS OF</w:t>
        <w:br/>
        <w:t>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No Rights as Warrant Securityholder Conferred by Warrants or Warrant Certificates. </w:t>
      </w:r>
      <w:r>
        <w:rPr>
          <w:rFonts w:ascii="Times New Roman;Times;Serif" w:hAnsi="Times New Roman;Times;Serif"/>
          <w:b w:val="false"/>
          <w:i w:val="false"/>
          <w:caps w:val="false"/>
          <w:smallCaps w:val="false"/>
          <w:sz w:val="20"/>
        </w:rPr>
        <w:t>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Lost, Stolen, Mutilated or Destroyed Warrant Certificates. </w:t>
      </w:r>
      <w:r>
        <w:rPr>
          <w:rFonts w:ascii="Times New Roman;Times;Serif" w:hAnsi="Times New Roman;Times;Serif"/>
          <w:b w:val="false"/>
          <w:i w:val="false"/>
          <w:caps w:val="false"/>
          <w:smallCaps w:val="false"/>
          <w:sz w:val="20"/>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Holder of Warrant Certificate May Enforce Rights. </w:t>
      </w:r>
      <w:r>
        <w:rPr>
          <w:rFonts w:ascii="Times New Roman;Times;Serif" w:hAnsi="Times New Roman;Times;Serif"/>
          <w:b w:val="false"/>
          <w:i w:val="false"/>
          <w:caps w:val="false"/>
          <w:smallCaps w:val="false"/>
          <w:sz w:val="20"/>
        </w:rPr>
        <w:t>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Adjustments.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In case the Company shall at any time subdivide its outstanding Class A ordinary shares into a greater number of shares, the Warrant Price in effect immediately prior to such subdivision shall be proportionately reduced and the number of Warrant Securities purchasable under the Warrants shall be proportionately increased. Conversely, in case the outstanding Class A ordinary shares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If at any time or from time to time the holders of Class A ordinary shares (or any shares of stock or other securities at the time receivable upon the exercise of the Warrants) shall have received or become entitled to receive, without payment therefor,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Class A ordinary shares or any shares of stock or other securities which are at any time directly or indirectly convertible into or exchangeable for Class A ordinary shares, or any rights or options to subscribe for, purchase or otherwise acquire any of the foregoing by way of dividend or other distribution;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any cash paid or payable otherwise than as a cash dividend paid or payable out of the Company’s current or retained earnings;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any evidence of the Company’s indebtedness or rights to subscribe for or purchase the Company’s indebtedness;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Class A ordinary shares or additional stock or other securities or property (including cash) by way of spinoff, split-up, reclassification, combination of shares or similar corporate rearrangement (other than Class A ordinary shares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Class A ordinary shares received or became entitled to receive such shares or all other additional stock and other securities and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In case of (i) any reclassification, capital reorganization, or change in the Class A ordinary shares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Class A ordinary shares other than the issuance of additional Class A ordinary shares) or (iii) the sale, exchange, lease, transfer or other disposition of all or substantially all of the properties and assets of the Company as an entirety (in any such case, a “</w:t>
      </w:r>
      <w:r>
        <w:rPr>
          <w:rFonts w:ascii="Times New Roman;Times;Serif" w:hAnsi="Times New Roman;Times;Serif"/>
          <w:b/>
          <w:i/>
          <w:caps w:val="false"/>
          <w:smallCaps w:val="false"/>
          <w:sz w:val="20"/>
        </w:rPr>
        <w:t>Reorganization Event</w:t>
      </w:r>
      <w:r>
        <w:rPr>
          <w:rFonts w:ascii="Times New Roman;Times;Serif" w:hAnsi="Times New Roman;Times;Serif"/>
          <w:b w:val="false"/>
          <w:i w:val="false"/>
          <w:caps w:val="false"/>
          <w:smallCaps w:val="false"/>
          <w:sz w:val="20"/>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Except as herein otherwise expressly provided, no adjustment in the Warrant Price shall be made by reason of the issuance of Class A ordinary shares, or securities convertible into or exchangeable for Class A ordinary shares, or securities carrying the right to purchase any of the foregoing or for any other reason whatsoever.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Times;Serif" w:hAnsi="Times New Roman;Times;Serif"/>
          <w:b/>
          <w:i/>
          <w:caps w:val="false"/>
          <w:smallCaps w:val="false"/>
          <w:sz w:val="20"/>
        </w:rPr>
        <w:t>OTC Bulletin Board</w:t>
      </w:r>
      <w:r>
        <w:rPr>
          <w:rFonts w:ascii="Times New Roman;Times;Serif" w:hAnsi="Times New Roman;Times;Serif"/>
          <w:b w:val="false"/>
          <w:i w:val="false"/>
          <w:caps w:val="false"/>
          <w:smallCaps w:val="false"/>
          <w:sz w:val="20"/>
        </w:rPr>
        <w:t>”) operated by the Financial Industry Regulatory Authority, Inc. (“</w:t>
      </w:r>
      <w:r>
        <w:rPr>
          <w:rFonts w:ascii="Times New Roman;Times;Serif" w:hAnsi="Times New Roman;Times;Serif"/>
          <w:b/>
          <w:i/>
          <w:caps w:val="false"/>
          <w:smallCaps w:val="false"/>
          <w:sz w:val="20"/>
        </w:rPr>
        <w:t>FINRA</w:t>
      </w:r>
      <w:r>
        <w:rPr>
          <w:rFonts w:ascii="Times New Roman;Times;Serif" w:hAnsi="Times New Roman;Times;Serif"/>
          <w:b w:val="false"/>
          <w:i w:val="false"/>
          <w:caps w:val="false"/>
          <w:smallCaps w:val="false"/>
          <w:sz w:val="20"/>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Notwithstanding anything to the contrary herein, in no event shall the Warrant Price, as adjusted in accordance with the terms hereof, be less than the par value per Class A ordinary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3.5 Notice to Warrantholders. </w:t>
      </w:r>
      <w:r>
        <w:rPr>
          <w:rFonts w:ascii="Times New Roman;Times;Serif" w:hAnsi="Times New Roman;Times;Serif"/>
          <w:b w:val="false"/>
          <w:i w:val="false"/>
          <w:caps w:val="false"/>
          <w:smallCaps w:val="false"/>
          <w:sz w:val="20"/>
        </w:rPr>
        <w:t>In case the Company shall (a) effect any dividend or distribution described in Section 3.4(b), (b) effect any Reorganization Event, (c) make any distribution on or in respect of the Class A ordinary shares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Class A ordinary shares that will be entitled to such dividend or distribution are to be determined, (y) the date on which such Reorganization Event, dissolution, liquidation or winding up is expected to become effective, and the date as of which it is expected that holders of Class A ordinary shares of record shall be entitled to exchange their Class A ordinary shares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3.6 </w:t>
      </w:r>
      <w:r>
        <w:rPr>
          <w:rFonts w:ascii="Times New Roman;Times;Serif" w:hAnsi="Times New Roman;Times;Serif"/>
          <w:b w:val="false"/>
          <w:i w:val="false"/>
          <w:caps w:val="false"/>
          <w:smallCaps w:val="false"/>
          <w:sz w:val="20"/>
        </w:rPr>
        <w:t>[If the Warrants are Subject to Acceleration by the Company, Insert — Acceleration of Warrants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At any time on or after [●], the Company shall have the right to accelerate any or all Warrants at any time by causing them to expire at the close of business on the day next preceding a specified date (the “</w:t>
      </w:r>
      <w:r>
        <w:rPr>
          <w:rFonts w:ascii="Times New Roman;Times;Serif" w:hAnsi="Times New Roman;Times;Serif"/>
          <w:b/>
          <w:i/>
          <w:caps w:val="false"/>
          <w:smallCaps w:val="false"/>
          <w:sz w:val="20"/>
        </w:rPr>
        <w:t>Acceleration Date</w:t>
      </w:r>
      <w:r>
        <w:rPr>
          <w:rFonts w:ascii="Times New Roman;Times;Serif" w:hAnsi="Times New Roman;Times;Serif"/>
          <w:b w:val="false"/>
          <w:i w:val="false"/>
          <w:caps w:val="false"/>
          <w:smallCaps w:val="false"/>
          <w:sz w:val="20"/>
        </w:rPr>
        <w:t>”), if the Market Price (as hereinafter defined) of the Class A ordinary shares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Market Price</w:t>
      </w:r>
      <w:r>
        <w:rPr>
          <w:rFonts w:ascii="Times New Roman;Times;Serif" w:hAnsi="Times New Roman;Times;Serif"/>
          <w:b w:val="false"/>
          <w:i w:val="false"/>
          <w:caps w:val="false"/>
          <w:smallCaps w:val="false"/>
          <w:sz w:val="20"/>
        </w:rPr>
        <w:t>” for each Trading Day shall be, if the Class A ordinary share is listed or admitted to trading on any registered national securities exchange, the last reported sale price, regular way (or, if no such price is reported, the average of the reported closing bid and asked prices, regular way) of Class A ordinary shares, in either case as reported on the principal registered national securities exchange on which the Class A ordinary share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Class A ordinary shares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Class A ordinary shares,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Any Warrant accelerated may be exercised until [●] p.m., [City] time, on the business day next preceding the Acceleration Date. The Warrant Price shall be payable as provided in Section 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br/>
        <w:t>EXCHANGE AND TRANSFER OF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w:t>
      </w:r>
      <w:r>
        <w:rPr>
          <w:rFonts w:ascii="Times New Roman;Times;Serif" w:hAnsi="Times New Roman;Times;Serif"/>
          <w:b w:val="false"/>
          <w:i w:val="false"/>
          <w:caps w:val="false"/>
          <w:smallCaps w:val="false"/>
          <w:sz w:val="20"/>
        </w:rPr>
        <w:t>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Treatment of Holders of Warrant Certificates. </w:t>
      </w:r>
      <w:r>
        <w:rPr>
          <w:rFonts w:ascii="Times New Roman;Times;Serif" w:hAnsi="Times New Roman;Times;Serif"/>
          <w:b w:val="false"/>
          <w:i w:val="false"/>
          <w:caps w:val="false"/>
          <w:smallCaps w:val="false"/>
          <w:sz w:val="20"/>
        </w:rPr>
        <w:t>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Cancellation of Warrant Certificates. </w:t>
      </w:r>
      <w:r>
        <w:rPr>
          <w:rFonts w:ascii="Times New Roman;Times;Serif" w:hAnsi="Times New Roman;Times;Serif"/>
          <w:b w:val="false"/>
          <w:i w:val="false"/>
          <w:caps w:val="false"/>
          <w:smallCaps w:val="false"/>
          <w:sz w:val="20"/>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br/>
        <w:t>CONCERNING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Warrant Agent. </w:t>
      </w:r>
      <w:r>
        <w:rPr>
          <w:rFonts w:ascii="Times New Roman;Times;Serif" w:hAnsi="Times New Roman;Times;Serif"/>
          <w:b w:val="false"/>
          <w:i w:val="false"/>
          <w:caps w:val="false"/>
          <w:smallCaps w:val="false"/>
          <w:sz w:val="20"/>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Conditions of Warrant Agent’s Obligations. </w:t>
      </w:r>
      <w:r>
        <w:rPr>
          <w:rFonts w:ascii="Times New Roman;Times;Serif" w:hAnsi="Times New Roman;Times;Serif"/>
          <w:b w:val="false"/>
          <w:i w:val="false"/>
          <w:caps w:val="false"/>
          <w:smallCaps w:val="false"/>
          <w:sz w:val="20"/>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Compensation and Indemnification. </w:t>
      </w:r>
      <w:r>
        <w:rPr>
          <w:rFonts w:ascii="Times New Roman;Times;Serif" w:hAnsi="Times New Roman;Times;Serif"/>
          <w:b w:val="false"/>
          <w:i w:val="false"/>
          <w:caps w:val="false"/>
          <w:smallCaps w:val="false"/>
          <w:sz w:val="20"/>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Agent for the Company. </w:t>
      </w:r>
      <w:r>
        <w:rPr>
          <w:rFonts w:ascii="Times New Roman;Times;Serif" w:hAnsi="Times New Roman;Times;Serif"/>
          <w:b w:val="false"/>
          <w:i w:val="false"/>
          <w:caps w:val="false"/>
          <w:smallCaps w:val="false"/>
          <w:sz w:val="20"/>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Counsel. </w:t>
      </w:r>
      <w:r>
        <w:rPr>
          <w:rFonts w:ascii="Times New Roman;Times;Serif" w:hAnsi="Times New Roman;Times;Serif"/>
          <w:b w:val="false"/>
          <w:i w:val="false"/>
          <w:caps w:val="false"/>
          <w:smallCaps w:val="false"/>
          <w:sz w:val="20"/>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Documents. </w:t>
      </w:r>
      <w:r>
        <w:rPr>
          <w:rFonts w:ascii="Times New Roman;Times;Serif" w:hAnsi="Times New Roman;Times;Serif"/>
          <w:b w:val="false"/>
          <w:i w:val="false"/>
          <w:caps w:val="false"/>
          <w:smallCaps w:val="false"/>
          <w:sz w:val="20"/>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Certain Transactions. </w:t>
      </w:r>
      <w:r>
        <w:rPr>
          <w:rFonts w:ascii="Times New Roman;Times;Serif" w:hAnsi="Times New Roman;Times;Serif"/>
          <w:b w:val="false"/>
          <w:i w:val="false"/>
          <w:caps w:val="false"/>
          <w:smallCaps w:val="false"/>
          <w:sz w:val="20"/>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No Liability for Interest. </w:t>
      </w:r>
      <w:r>
        <w:rPr>
          <w:rFonts w:ascii="Times New Roman;Times;Serif" w:hAnsi="Times New Roman;Times;Serif"/>
          <w:b w:val="false"/>
          <w:i w:val="false"/>
          <w:caps w:val="false"/>
          <w:smallCaps w:val="false"/>
          <w:sz w:val="20"/>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No Liability for Invalidity. </w:t>
      </w:r>
      <w:r>
        <w:rPr>
          <w:rFonts w:ascii="Times New Roman;Times;Serif" w:hAnsi="Times New Roman;Times;Serif"/>
          <w:b w:val="false"/>
          <w:i w:val="false"/>
          <w:caps w:val="false"/>
          <w:smallCaps w:val="false"/>
          <w:sz w:val="20"/>
        </w:rPr>
        <w:t>The Warrant Agent shall have no liability with respect to any invalidity of this Agreement or any of the Warrant Certificates (except as to the Warrant Agent’s countersignature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No Responsibility for Representations. </w:t>
      </w:r>
      <w:r>
        <w:rPr>
          <w:rFonts w:ascii="Times New Roman;Times;Serif" w:hAnsi="Times New Roman;Times;Serif"/>
          <w:b w:val="false"/>
          <w:i w:val="false"/>
          <w:caps w:val="false"/>
          <w:smallCaps w:val="false"/>
          <w:sz w:val="20"/>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No Implied Obligations. </w:t>
      </w:r>
      <w:r>
        <w:rPr>
          <w:rFonts w:ascii="Times New Roman;Times;Serif" w:hAnsi="Times New Roman;Times;Serif"/>
          <w:b w:val="false"/>
          <w:i w:val="false"/>
          <w:caps w:val="false"/>
          <w:smallCaps w:val="false"/>
          <w:sz w:val="20"/>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Resignation, Removal and Appointment of Successors.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b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Amendment. </w:t>
      </w:r>
      <w:r>
        <w:rPr>
          <w:rFonts w:ascii="Times New Roman;Times;Serif" w:hAnsi="Times New Roman;Times;Serif"/>
          <w:b w:val="false"/>
          <w:i w:val="false"/>
          <w:caps w:val="false"/>
          <w:smallCaps w:val="false"/>
          <w:sz w:val="20"/>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Notices and Demands to the Company and Warrant Agent. </w:t>
      </w:r>
      <w:r>
        <w:rPr>
          <w:rFonts w:ascii="Times New Roman;Times;Serif" w:hAnsi="Times New Roman;Times;Serif"/>
          <w:b w:val="false"/>
          <w:i w:val="false"/>
          <w:caps w:val="false"/>
          <w:smallCaps w:val="false"/>
          <w:sz w:val="20"/>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Addresses. </w:t>
      </w:r>
      <w:r>
        <w:rPr>
          <w:rFonts w:ascii="Times New Roman;Times;Serif" w:hAnsi="Times New Roman;Times;Serif"/>
          <w:b w:val="false"/>
          <w:i w:val="false"/>
          <w:caps w:val="false"/>
          <w:smallCaps w:val="false"/>
          <w:sz w:val="20"/>
        </w:rPr>
        <w:t>Any communication from the Company to the Warrant Agent with respect to this Agreement shall be addressed to [●], Attention: [●] and any communication from the Warrant Agent to the Company with respect to this Agreement shall be addressed to Bitdeer Technologies Group, 08 Kallang Avenue, Aperia tower 1, #09-03/04, Singapore 339509, Attention: [●] (or such other address as shall be specified in writing by the Warrant Agent or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6.4 Governing Law. </w:t>
      </w:r>
      <w:r>
        <w:rPr>
          <w:rFonts w:ascii="Times New Roman;Times;Serif" w:hAnsi="Times New Roman;Times;Serif"/>
          <w:b w:val="false"/>
          <w:i w:val="false"/>
          <w:caps w:val="false"/>
          <w:smallCaps w:val="false"/>
          <w:sz w:val="20"/>
        </w:rPr>
        <w:t>This Agreement and each Warrant Certificate issued hereunder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6.5 Delivery of Prospectus. </w:t>
      </w:r>
      <w:r>
        <w:rPr>
          <w:rFonts w:ascii="Times New Roman;Times;Serif" w:hAnsi="Times New Roman;Times;Serif"/>
          <w:b w:val="false"/>
          <w:i w:val="false"/>
          <w:caps w:val="false"/>
          <w:smallCaps w:val="false"/>
          <w:sz w:val="20"/>
        </w:rPr>
        <w:t>The Company shall furnish to the Warrant Agent sufficient copies of a prospectus meeting the requirements of the Securities Act of 1933, as amended, relating to the Warrant Securities deliverable upon exercise of the Warrants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Obtaining of Governmental Approvals. </w:t>
      </w:r>
      <w:r>
        <w:rPr>
          <w:rFonts w:ascii="Times New Roman;Times;Serif" w:hAnsi="Times New Roman;Times;Serif"/>
          <w:b w:val="false"/>
          <w:i w:val="false"/>
          <w:caps w:val="false"/>
          <w:smallCaps w:val="false"/>
          <w:sz w:val="20"/>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6.7 Persons Having Rights Under the Agreement. </w:t>
      </w:r>
      <w:r>
        <w:rPr>
          <w:rFonts w:ascii="Times New Roman;Times;Serif" w:hAnsi="Times New Roman;Times;Serif"/>
          <w:b w:val="false"/>
          <w:i w:val="false"/>
          <w:caps w:val="false"/>
          <w:smallCaps w:val="false"/>
          <w:sz w:val="20"/>
        </w:rPr>
        <w:t>Nothing in this Agreement shall give to any person other than the Company, the Warrant Agent and the holders of the Warrant Certificates any right, remedy or claim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6.8 Headings. </w:t>
      </w:r>
      <w:r>
        <w:rPr>
          <w:rFonts w:ascii="Times New Roman;Times;Serif" w:hAnsi="Times New Roman;Times;Serif"/>
          <w:b w:val="false"/>
          <w:i w:val="false"/>
          <w:caps w:val="false"/>
          <w:smallCaps w:val="false"/>
          <w:sz w:val="20"/>
        </w:rPr>
        <w:t>The descriptive headings of the several Articles and Sections of this Agreement are inserted for convenience only and shall not control or affect the meaning or construction of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6.9 Counterparts. </w:t>
      </w:r>
      <w:r>
        <w:rPr>
          <w:rFonts w:ascii="Times New Roman;Times;Serif" w:hAnsi="Times New Roman;Times;Serif"/>
          <w:b w:val="false"/>
          <w:i w:val="false"/>
          <w:caps w:val="false"/>
          <w:smallCaps w:val="false"/>
          <w:sz w:val="20"/>
        </w:rPr>
        <w:t>This Agreement may be executed in any number of counterparts, each of which as so executed shall be deemed to be an original, but such counterparts shall together constitute but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6.10 Inspection of Agreement. </w:t>
      </w:r>
      <w:r>
        <w:rPr>
          <w:rFonts w:ascii="Times New Roman;Times;Serif" w:hAnsi="Times New Roman;Times;Serif"/>
          <w:b w:val="false"/>
          <w:i w:val="false"/>
          <w:caps w:val="false"/>
          <w:smallCaps w:val="false"/>
          <w:sz w:val="20"/>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xml:space="preserve"> the parties hereto have caused this Agreement to be duly executed as of the day and year first above written.</w:t>
      </w:r>
    </w:p>
    <w:p>
      <w:pPr>
        <w:pStyle w:val="TextBody"/>
        <w:bidi w:val="0"/>
        <w:spacing w:before="0" w:after="0"/>
        <w:ind w:left="4320" w:right="0" w:hanging="0"/>
        <w:jc w:val="both"/>
        <w:rPr>
          <w:caps w:val="false"/>
          <w:smallCaps w:val="false"/>
        </w:rPr>
      </w:pPr>
      <w:r>
        <w:rPr>
          <w:caps w:val="false"/>
          <w:smallCaps w:val="false"/>
        </w:rPr>
        <w:t> </w:t>
      </w:r>
    </w:p>
    <w:tbl>
      <w:tblPr>
        <w:tblW w:w="3514" w:type="dxa"/>
        <w:jc w:val="left"/>
        <w:tblInd w:w="0" w:type="dxa"/>
        <w:tblLayout w:type="fixed"/>
        <w:tblCellMar>
          <w:top w:w="0" w:type="dxa"/>
          <w:left w:w="0" w:type="dxa"/>
          <w:bottom w:w="0" w:type="dxa"/>
          <w:right w:w="0" w:type="dxa"/>
        </w:tblCellMar>
      </w:tblPr>
      <w:tblGrid>
        <w:gridCol w:w="75"/>
        <w:gridCol w:w="1630"/>
        <w:gridCol w:w="1809"/>
      </w:tblGrid>
      <w:tr>
        <w:trPr/>
        <w:tc>
          <w:tcPr>
            <w:tcW w:w="75" w:type="dxa"/>
            <w:tcBorders/>
            <w:vAlign w:val="center"/>
          </w:tcPr>
          <w:p>
            <w:pPr>
              <w:pStyle w:val="TableContents"/>
              <w:bidi w:val="0"/>
              <w:spacing w:before="0" w:after="283"/>
              <w:jc w:val="both"/>
              <w:rPr/>
            </w:pPr>
            <w:r>
              <w:rPr/>
              <w:t> </w:t>
            </w:r>
          </w:p>
        </w:tc>
        <w:tc>
          <w:tcPr>
            <w:tcW w:w="3439" w:type="dxa"/>
            <w:gridSpan w:val="2"/>
            <w:tcBorders/>
            <w:vAlign w:val="center"/>
          </w:tcPr>
          <w:p>
            <w:pPr>
              <w:pStyle w:val="TableContents"/>
              <w:bidi w:val="0"/>
              <w:spacing w:before="0" w:after="283"/>
              <w:jc w:val="both"/>
              <w:rPr>
                <w:sz w:val="20"/>
              </w:rPr>
            </w:pPr>
            <w:r>
              <w:rPr>
                <w:sz w:val="20"/>
              </w:rPr>
              <w:t>Bitdeer Technologies Group, as Company</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By:</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Name:</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Title:</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mallCaps/>
              </w:rPr>
            </w:pPr>
            <w:r>
              <w:rPr>
                <w:smallCaps/>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b/>
                <w:smallCaps/>
                <w:sz w:val="20"/>
              </w:rPr>
              <w:t>Attest</w:t>
            </w:r>
            <w:r>
              <w:rPr>
                <w:b/>
                <w:sz w:val="20"/>
              </w:rPr>
              <w:t>: </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t> </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mallCaps/>
              </w:rPr>
            </w:pPr>
            <w:r>
              <w:rPr>
                <w:smallCaps/>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439" w:type="dxa"/>
            <w:gridSpan w:val="2"/>
            <w:tcBorders/>
            <w:vAlign w:val="center"/>
          </w:tcPr>
          <w:p>
            <w:pPr>
              <w:pStyle w:val="TableContents"/>
              <w:bidi w:val="0"/>
              <w:spacing w:before="0" w:after="283"/>
              <w:jc w:val="both"/>
              <w:rPr>
                <w:b/>
                <w:smallCaps/>
                <w:sz w:val="20"/>
              </w:rPr>
            </w:pPr>
            <w:r>
              <w:rPr>
                <w:b/>
                <w:smallCaps/>
                <w:sz w:val="20"/>
              </w:rPr>
              <w:t>Countersigned</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mallCaps/>
              </w:rPr>
            </w:pPr>
            <w:r>
              <w:rPr>
                <w:smallCaps/>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439" w:type="dxa"/>
            <w:gridSpan w:val="2"/>
            <w:tcBorders/>
            <w:vAlign w:val="center"/>
          </w:tcPr>
          <w:p>
            <w:pPr>
              <w:pStyle w:val="TableContents"/>
              <w:bidi w:val="0"/>
              <w:spacing w:before="0" w:after="283"/>
              <w:jc w:val="both"/>
              <w:rPr/>
            </w:pPr>
            <w:r>
              <w:rPr>
                <w:b/>
                <w:smallCaps/>
                <w:sz w:val="20"/>
              </w:rPr>
              <w:t>[●]</w:t>
            </w:r>
            <w:r>
              <w:rPr>
                <w:sz w:val="20"/>
              </w:rPr>
              <w:t>, as Warrant Agent</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By:</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Name:</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Title:</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mallCaps/>
              </w:rPr>
            </w:pPr>
            <w:r>
              <w:rPr>
                <w:smallCaps/>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b/>
                <w:smallCaps/>
                <w:sz w:val="20"/>
              </w:rPr>
              <w:t>Attest</w:t>
            </w:r>
            <w:r>
              <w:rPr>
                <w:b/>
                <w:sz w:val="20"/>
              </w:rPr>
              <w:t>:</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t> </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Bitdeer Technologies Group Ordinary Share Warrant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CERTIFICATE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[FACE OF WARRANT CERTIFICATE]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13"/>
        <w:gridCol w:w="5692"/>
      </w:tblGrid>
      <w:tr>
        <w:trPr/>
        <w:tc>
          <w:tcPr>
            <w:tcW w:w="4513" w:type="dxa"/>
            <w:tcBorders/>
            <w:vAlign w:val="center"/>
          </w:tcPr>
          <w:p>
            <w:pPr>
              <w:pStyle w:val="TableContents"/>
              <w:bidi w:val="0"/>
              <w:spacing w:before="0" w:after="283"/>
              <w:jc w:val="left"/>
              <w:rPr>
                <w:sz w:val="20"/>
              </w:rPr>
            </w:pPr>
            <w:r>
              <w:rPr>
                <w:sz w:val="20"/>
              </w:rPr>
              <w:t>[</w:t>
            </w:r>
            <w:r>
              <w:rPr>
                <w:b/>
                <w:i/>
                <w:sz w:val="20"/>
              </w:rPr>
              <w:t>Form of Legend if Warrants are not immediately exercisable.</w:t>
            </w:r>
            <w:r>
              <w:rPr>
                <w:sz w:val="20"/>
              </w:rPr>
              <w:t>]</w:t>
            </w:r>
          </w:p>
        </w:tc>
        <w:tc>
          <w:tcPr>
            <w:tcW w:w="5692" w:type="dxa"/>
            <w:tcBorders/>
            <w:vAlign w:val="center"/>
          </w:tcPr>
          <w:p>
            <w:pPr>
              <w:pStyle w:val="TableContents"/>
              <w:bidi w:val="0"/>
              <w:spacing w:before="0" w:after="283"/>
              <w:jc w:val="left"/>
              <w:rPr>
                <w:sz w:val="20"/>
              </w:rPr>
            </w:pPr>
            <w:r>
              <w:rPr>
                <w:sz w:val="20"/>
              </w:rPr>
              <w:t>[Prior to [●], Warrants evidenced by this Warrant Certificate cannot be exercised.]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ONLY IF COUNTERSIGNED BY THE WARRANT AGENT AS PROVIDED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VOID AFTER [●] P.M., [City] time, 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br/>
      </w:r>
      <w:r>
        <w:rPr>
          <w:rFonts w:ascii="Times New Roman;Times;Serif" w:hAnsi="Times New Roman;Times;Serif"/>
          <w:b/>
          <w:i w:val="false"/>
          <w:caps w:val="false"/>
          <w:smallCaps w:val="false"/>
          <w:sz w:val="20"/>
        </w:rPr>
        <w:t>WARRANT CERTIFICATE REPRESENTING</w:t>
        <w:br/>
        <w:t>WARRANTS TO PURCHASE</w:t>
        <w:br/>
        <w:t>CLASS A ORDINARY SHARE, PAR VALUE $0.0000001 PER SHARE</w:t>
      </w:r>
    </w:p>
    <w:p>
      <w:pPr>
        <w:pStyle w:val="TextBody"/>
        <w:bidi w:val="0"/>
        <w:spacing w:before="0" w:after="0"/>
        <w:ind w:left="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5"/>
        <w:gridCol w:w="1085"/>
      </w:tblGrid>
      <w:tr>
        <w:trPr/>
        <w:tc>
          <w:tcPr>
            <w:tcW w:w="605" w:type="dxa"/>
            <w:tcBorders/>
            <w:vAlign w:val="center"/>
          </w:tcPr>
          <w:p>
            <w:pPr>
              <w:pStyle w:val="TableContents"/>
              <w:bidi w:val="0"/>
              <w:spacing w:before="0" w:after="283"/>
              <w:jc w:val="both"/>
              <w:rPr>
                <w:sz w:val="20"/>
              </w:rPr>
            </w:pPr>
            <w:r>
              <w:rPr>
                <w:sz w:val="20"/>
              </w:rPr>
              <w:t>No. [●]</w:t>
            </w:r>
          </w:p>
        </w:tc>
        <w:tc>
          <w:tcPr>
            <w:tcW w:w="1085" w:type="dxa"/>
            <w:tcBorders/>
            <w:vAlign w:val="center"/>
          </w:tcPr>
          <w:p>
            <w:pPr>
              <w:pStyle w:val="TableContents"/>
              <w:bidi w:val="0"/>
              <w:spacing w:before="0" w:after="283"/>
              <w:jc w:val="right"/>
              <w:rPr>
                <w:sz w:val="20"/>
              </w:rPr>
            </w:pPr>
            <w:r>
              <w:rPr>
                <w:sz w:val="20"/>
              </w:rPr>
              <w:t xml:space="preserve">[●] Warrants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 or registered assigns is the registered owner of the above indicated number of Warrants, each Warrant entitling such owner to purchase, at any time [after [●] p.m., [City] time, [on [●] and] on or before [●] p.m., [City] time, on [●], [●] Class A ordinary shares, par value $0.0000001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of Bitdeer Technologies Group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on the following basis: during the period from [●], through and including [●], the exercise price per Warrant Security will be $[●], subject to adjustment as provided in the Warrant Agreement (as hereinafter defined)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 which is, on the date hereof, at the address specified on the reverse hereof, and upon compliance with and subject to the conditions set forth herein and in the Warrant Agreement (as hereinafter defined).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is issued under and in accordance with the Warrant Agreement dated as of [●] (the “</w:t>
      </w:r>
      <w:r>
        <w:rPr>
          <w:rFonts w:ascii="Times New Roman;Times;Serif" w:hAnsi="Times New Roman;Times;Serif"/>
          <w:b/>
          <w:i/>
          <w:caps w:val="false"/>
          <w:smallCaps w:val="false"/>
          <w:sz w:val="20"/>
        </w:rPr>
        <w:t>Warrant Agreement</w:t>
      </w:r>
      <w:r>
        <w:rPr>
          <w:rFonts w:ascii="Times New Roman;Times;Serif" w:hAnsi="Times New Roman;Times;Serif"/>
          <w:b w:val="false"/>
          <w:i w:val="false"/>
          <w:caps w:val="false"/>
          <w:smallCaps w:val="false"/>
          <w:sz w:val="20"/>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Warrant Certificate set forth on the reverse hereof, which further provisions shall for all purposes have the same effect as if set forth at this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be valid or obligatory for any purpose until countersigned by the Warrant Agent.</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Company has caused this Warrant to be executed in its name and on its behalf by the facsimile signatures of its duly authorized officers.</w:t>
      </w:r>
    </w:p>
    <w:p>
      <w:pPr>
        <w:pStyle w:val="TextBody"/>
        <w:bidi w:val="0"/>
        <w:spacing w:before="0" w:after="0"/>
        <w:ind w:left="0" w:right="0" w:hanging="0"/>
        <w:jc w:val="both"/>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575"/>
        <w:gridCol w:w="60"/>
        <w:gridCol w:w="75"/>
      </w:tblGrid>
      <w:tr>
        <w:trPr/>
        <w:tc>
          <w:tcPr>
            <w:tcW w:w="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xml:space="preserve">  </w:t>
      </w:r>
    </w:p>
    <w:tbl>
      <w:tblPr>
        <w:tblW w:w="5479" w:type="dxa"/>
        <w:jc w:val="left"/>
        <w:tblInd w:w="0" w:type="dxa"/>
        <w:tblLayout w:type="fixed"/>
        <w:tblCellMar>
          <w:top w:w="0" w:type="dxa"/>
          <w:left w:w="0" w:type="dxa"/>
          <w:bottom w:w="0" w:type="dxa"/>
          <w:right w:w="0" w:type="dxa"/>
        </w:tblCellMar>
      </w:tblPr>
      <w:tblGrid>
        <w:gridCol w:w="2659"/>
        <w:gridCol w:w="2745"/>
        <w:gridCol w:w="75"/>
      </w:tblGrid>
      <w:tr>
        <w:trPr/>
        <w:tc>
          <w:tcPr>
            <w:tcW w:w="5404" w:type="dxa"/>
            <w:gridSpan w:val="2"/>
            <w:tcBorders/>
            <w:vAlign w:val="center"/>
          </w:tcPr>
          <w:p>
            <w:pPr>
              <w:pStyle w:val="TableContents"/>
              <w:bidi w:val="0"/>
              <w:spacing w:before="0" w:after="283"/>
              <w:jc w:val="both"/>
              <w:rPr/>
            </w:pPr>
            <w:r>
              <w:rPr>
                <w:b/>
              </w:rPr>
              <w:t>BITDEER TECHNOLOGIES GROUP</w:t>
            </w:r>
            <w:r>
              <w:rPr/>
              <w:t>, as Company</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pPr>
            <w:r>
              <w:rPr/>
              <w:t> </w:t>
            </w:r>
          </w:p>
        </w:tc>
        <w:tc>
          <w:tcPr>
            <w:tcW w:w="274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74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74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74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smallCaps/>
              </w:rPr>
            </w:pPr>
            <w:r>
              <w:rPr>
                <w:smallCaps/>
              </w:rPr>
              <w:t> </w:t>
            </w:r>
          </w:p>
        </w:tc>
        <w:tc>
          <w:tcPr>
            <w:tcW w:w="274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ATTEST:</w:t>
            </w:r>
          </w:p>
        </w:tc>
        <w:tc>
          <w:tcPr>
            <w:tcW w:w="274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pPr>
            <w:r>
              <w:rPr/>
              <w:t> </w:t>
            </w:r>
          </w:p>
        </w:tc>
        <w:tc>
          <w:tcPr>
            <w:tcW w:w="274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smallCaps/>
              </w:rPr>
            </w:pPr>
            <w:r>
              <w:rPr>
                <w:smallCaps/>
              </w:rPr>
              <w:t> </w:t>
            </w:r>
          </w:p>
        </w:tc>
        <w:tc>
          <w:tcPr>
            <w:tcW w:w="274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5404"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COUNTERSIGNED</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smallCaps/>
              </w:rPr>
            </w:pPr>
            <w:r>
              <w:rPr>
                <w:smallCaps/>
              </w:rPr>
              <w:t> </w:t>
            </w:r>
          </w:p>
        </w:tc>
        <w:tc>
          <w:tcPr>
            <w:tcW w:w="274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5404" w:type="dxa"/>
            <w:gridSpan w:val="2"/>
            <w:tcBorders/>
            <w:vAlign w:val="center"/>
          </w:tcPr>
          <w:p>
            <w:pPr>
              <w:pStyle w:val="TableContents"/>
              <w:bidi w:val="0"/>
              <w:spacing w:before="0" w:after="283"/>
              <w:jc w:val="both"/>
              <w:rPr/>
            </w:pPr>
            <w:r>
              <w:rPr>
                <w:rFonts w:ascii="Times New Roman;Times;Serif" w:hAnsi="Times New Roman;Times;Serif"/>
                <w:b/>
                <w:i w:val="false"/>
                <w:smallCaps/>
                <w:sz w:val="20"/>
              </w:rPr>
              <w:t>[●]</w:t>
            </w:r>
            <w:r>
              <w:rPr>
                <w:rFonts w:ascii="Times New Roman;Times;Serif" w:hAnsi="Times New Roman;Times;Serif"/>
                <w:sz w:val="20"/>
              </w:rPr>
              <w:t>, as Warrant Agent</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pPr>
            <w:r>
              <w:rPr/>
              <w:t> </w:t>
            </w:r>
          </w:p>
        </w:tc>
        <w:tc>
          <w:tcPr>
            <w:tcW w:w="274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74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74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74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smallCaps/>
              </w:rPr>
            </w:pPr>
            <w:r>
              <w:rPr>
                <w:smallCaps/>
              </w:rPr>
              <w:t> </w:t>
            </w:r>
          </w:p>
        </w:tc>
        <w:tc>
          <w:tcPr>
            <w:tcW w:w="274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ATTEST: </w:t>
            </w:r>
          </w:p>
        </w:tc>
        <w:tc>
          <w:tcPr>
            <w:tcW w:w="274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both"/>
              <w:rPr/>
            </w:pPr>
            <w:r>
              <w:rPr/>
              <w:t> </w:t>
            </w:r>
          </w:p>
        </w:tc>
        <w:tc>
          <w:tcPr>
            <w:tcW w:w="274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WARRANT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for Exercise of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upon 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exercise ______ Warrants, evidenced by this Warrant Certificate, to purchase _______ Class A ordinary shares, par value $0.0000001 per share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of Bitdeer Technologies Group.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Bitdeer Technologies Group,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pStyle w:val="TextBody"/>
        <w:bidi w:val="0"/>
        <w:spacing w:before="0" w:after="0"/>
        <w:ind w:left="0" w:right="0" w:hanging="0"/>
        <w:jc w:val="both"/>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665"/>
        <w:gridCol w:w="60"/>
        <w:gridCol w:w="60"/>
        <w:gridCol w:w="650"/>
        <w:gridCol w:w="1145"/>
      </w:tblGrid>
      <w:tr>
        <w:trPr/>
        <w:tc>
          <w:tcPr>
            <w:tcW w:w="665" w:type="dxa"/>
            <w:tcBorders/>
            <w:vAlign w:val="center"/>
          </w:tcPr>
          <w:p>
            <w:pPr>
              <w:pStyle w:val="TableContents"/>
              <w:bidi w:val="0"/>
              <w:spacing w:before="0" w:after="283"/>
              <w:jc w:val="both"/>
              <w:rPr/>
            </w:pPr>
            <w:r>
              <w:rPr/>
              <w:t>Dated: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114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 </w:t>
            </w:r>
          </w:p>
        </w:tc>
        <w:tc>
          <w:tcPr>
            <w:tcW w:w="1145" w:type="dxa"/>
            <w:tcBorders/>
            <w:vAlign w:val="center"/>
          </w:tcPr>
          <w:p>
            <w:pPr>
              <w:pStyle w:val="TableContents"/>
              <w:bidi w:val="0"/>
              <w:spacing w:before="0" w:after="283"/>
              <w:jc w:val="center"/>
              <w:rPr/>
            </w:pPr>
            <w:r>
              <w:rPr/>
              <w:t>Please Print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both"/>
        <w:rPr>
          <w:caps w:val="false"/>
          <w:smallCaps w:val="false"/>
        </w:rPr>
      </w:pPr>
      <w:r>
        <w:rPr>
          <w:caps w:val="false"/>
          <w:smallCaps w:val="false"/>
        </w:rPr>
        <w:t> </w:t>
      </w:r>
    </w:p>
    <w:tbl>
      <w:tblPr>
        <w:tblW w:w="4250" w:type="dxa"/>
        <w:jc w:val="left"/>
        <w:tblInd w:w="0" w:type="dxa"/>
        <w:tblLayout w:type="fixed"/>
        <w:tblCellMar>
          <w:top w:w="0" w:type="dxa"/>
          <w:left w:w="0" w:type="dxa"/>
          <w:bottom w:w="28" w:type="dxa"/>
          <w:right w:w="0" w:type="dxa"/>
        </w:tblCellMar>
      </w:tblPr>
      <w:tblGrid>
        <w:gridCol w:w="4175"/>
        <w:gridCol w:w="75"/>
      </w:tblGrid>
      <w:tr>
        <w:trPr/>
        <w:tc>
          <w:tcPr>
            <w:tcW w:w="417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175" w:type="dxa"/>
            <w:tcBorders/>
            <w:tcMar>
              <w:bottom w:w="0" w:type="dxa"/>
            </w:tcMar>
            <w:vAlign w:val="center"/>
          </w:tcPr>
          <w:p>
            <w:pPr>
              <w:pStyle w:val="TableContents"/>
              <w:bidi w:val="0"/>
              <w:spacing w:before="0" w:after="283"/>
              <w:jc w:val="left"/>
              <w:rPr>
                <w:sz w:val="20"/>
              </w:rPr>
            </w:pPr>
            <w:r>
              <w:rPr>
                <w:sz w:val="20"/>
              </w:rPr>
              <w:t>(Insert Social Security or Other Identifying Number</w:t>
            </w:r>
          </w:p>
        </w:tc>
        <w:tc>
          <w:tcPr>
            <w:tcW w:w="75" w:type="dxa"/>
            <w:tcBorders/>
            <w:tcMar>
              <w:bottom w:w="0" w:type="dxa"/>
            </w:tcMar>
            <w:vAlign w:val="center"/>
          </w:tcPr>
          <w:p>
            <w:pPr>
              <w:pStyle w:val="TableContents"/>
              <w:bidi w:val="0"/>
              <w:spacing w:before="0" w:after="283"/>
              <w:jc w:val="left"/>
              <w:rPr/>
            </w:pPr>
            <w:r>
              <w:rPr/>
              <w:t> </w:t>
            </w:r>
          </w:p>
        </w:tc>
      </w:tr>
      <w:tr>
        <w:trPr/>
        <w:tc>
          <w:tcPr>
            <w:tcW w:w="4175" w:type="dxa"/>
            <w:tcBorders/>
            <w:tcMar>
              <w:bottom w:w="0" w:type="dxa"/>
            </w:tcMar>
            <w:vAlign w:val="center"/>
          </w:tcPr>
          <w:p>
            <w:pPr>
              <w:pStyle w:val="TableContents"/>
              <w:bidi w:val="0"/>
              <w:spacing w:before="0" w:after="283"/>
              <w:jc w:val="left"/>
              <w:rPr>
                <w:sz w:val="20"/>
              </w:rPr>
            </w:pPr>
            <w:r>
              <w:rPr>
                <w:sz w:val="20"/>
              </w:rPr>
              <w:t>of Holder)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895"/>
        <w:gridCol w:w="920"/>
        <w:gridCol w:w="75"/>
      </w:tblGrid>
      <w:tr>
        <w:trPr/>
        <w:tc>
          <w:tcPr>
            <w:tcW w:w="1895" w:type="dxa"/>
            <w:tcBorders/>
            <w:vAlign w:val="center"/>
          </w:tcPr>
          <w:p>
            <w:pPr>
              <w:pStyle w:val="TableContents"/>
              <w:bidi w:val="0"/>
              <w:spacing w:before="0" w:after="283"/>
              <w:jc w:val="both"/>
              <w:rPr>
                <w:sz w:val="20"/>
              </w:rPr>
            </w:pPr>
            <w:r>
              <w:rPr>
                <w:sz w:val="20"/>
              </w:rPr>
              <w:t>Signature Guaranteed: </w:t>
            </w:r>
          </w:p>
        </w:tc>
        <w:tc>
          <w:tcPr>
            <w:tcW w:w="92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center"/>
              <w:rPr/>
            </w:pPr>
            <w:r>
              <w:rPr/>
              <w:t>Signature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this Warrant Certificate and must bear a signature guarantee by a FINRA member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may be exercised at the following addresses: By hand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mail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as to form and delivery of Warrant Securities and, if applicable, Warrant Certificates evidencing Warrants for the number of Warrant Securities remaining unexercised—complete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to be executed if Warrant Holder desires to transfer Warrant]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For Value Received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______________ hereby sells, assigns and transfers unto:</w:t>
      </w:r>
    </w:p>
    <w:p>
      <w:pPr>
        <w:pStyle w:val="TextBody"/>
        <w:bidi w:val="0"/>
        <w:spacing w:before="0" w:after="0"/>
        <w:ind w:left="0" w:right="0" w:hanging="0"/>
        <w:jc w:val="both"/>
        <w:rPr>
          <w:caps w:val="false"/>
          <w:smallCaps w:val="false"/>
        </w:rPr>
      </w:pPr>
      <w:r>
        <w:rPr>
          <w:caps w:val="false"/>
          <w:smallCaps w:val="false"/>
        </w:rPr>
        <w:t> </w:t>
      </w:r>
    </w:p>
    <w:tbl>
      <w:tblPr>
        <w:tblW w:w="8755" w:type="dxa"/>
        <w:jc w:val="left"/>
        <w:tblInd w:w="0" w:type="dxa"/>
        <w:tblLayout w:type="fixed"/>
        <w:tblCellMar>
          <w:top w:w="0" w:type="dxa"/>
          <w:left w:w="0" w:type="dxa"/>
          <w:bottom w:w="28" w:type="dxa"/>
          <w:right w:w="0" w:type="dxa"/>
        </w:tblCellMar>
      </w:tblPr>
      <w:tblGrid>
        <w:gridCol w:w="4145"/>
        <w:gridCol w:w="60"/>
        <w:gridCol w:w="4550"/>
      </w:tblGrid>
      <w:tr>
        <w:trPr/>
        <w:tc>
          <w:tcPr>
            <w:tcW w:w="414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50" w:type="dxa"/>
            <w:tcBorders>
              <w:bottom w:val="single" w:sz="12" w:space="0" w:color="000000"/>
            </w:tcBorders>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sz w:val="20"/>
              </w:rPr>
            </w:pPr>
            <w:r>
              <w:rPr>
                <w:sz w:val="20"/>
              </w:rPr>
              <w:t>(Please print name and address including zip code)</w:t>
            </w:r>
          </w:p>
        </w:tc>
        <w:tc>
          <w:tcPr>
            <w:tcW w:w="60" w:type="dxa"/>
            <w:tcBorders/>
            <w:tcMar>
              <w:bottom w:w="0" w:type="dxa"/>
            </w:tcMar>
            <w:vAlign w:val="center"/>
          </w:tcPr>
          <w:p>
            <w:pPr>
              <w:pStyle w:val="TableContents"/>
              <w:bidi w:val="0"/>
              <w:spacing w:before="0" w:after="283"/>
              <w:jc w:val="left"/>
              <w:rPr/>
            </w:pPr>
            <w:r>
              <w:rPr/>
              <w:t> </w:t>
            </w:r>
          </w:p>
        </w:tc>
        <w:tc>
          <w:tcPr>
            <w:tcW w:w="4550" w:type="dxa"/>
            <w:tcBorders/>
            <w:tcMar>
              <w:bottom w:w="0" w:type="dxa"/>
            </w:tcMar>
            <w:vAlign w:val="center"/>
          </w:tcPr>
          <w:p>
            <w:pPr>
              <w:pStyle w:val="TableContents"/>
              <w:bidi w:val="0"/>
              <w:spacing w:before="0" w:after="283"/>
              <w:jc w:val="left"/>
              <w:rPr>
                <w:sz w:val="20"/>
              </w:rPr>
            </w:pPr>
            <w:r>
              <w:rPr>
                <w:sz w:val="20"/>
              </w:rPr>
              <w:t>Please print Social Security or other identifying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represented by the within Warrant to purchase _______________ shares of [Title of Warrant Securities] of Bitdeer Technologies Group to which the within Warrant relates and appoints ____________________ attorney to transfer such right on the books of the Warrant Agent with full power of substitution in the premises.</w:t>
      </w:r>
    </w:p>
    <w:p>
      <w:pPr>
        <w:pStyle w:val="TextBody"/>
        <w:bidi w:val="0"/>
        <w:spacing w:before="0" w:after="0"/>
        <w:ind w:left="0" w:right="0" w:hanging="0"/>
        <w:jc w:val="both"/>
        <w:rPr>
          <w:caps w:val="false"/>
          <w:smallCaps w:val="false"/>
        </w:rPr>
      </w:pPr>
      <w:r>
        <w:rPr>
          <w:caps w:val="false"/>
          <w:smallCaps w:val="false"/>
        </w:rPr>
        <w:t> </w:t>
      </w:r>
    </w:p>
    <w:tbl>
      <w:tblPr>
        <w:tblW w:w="2370" w:type="dxa"/>
        <w:jc w:val="left"/>
        <w:tblInd w:w="0" w:type="dxa"/>
        <w:tblLayout w:type="fixed"/>
        <w:tblCellMar>
          <w:top w:w="0" w:type="dxa"/>
          <w:left w:w="0" w:type="dxa"/>
          <w:bottom w:w="0" w:type="dxa"/>
          <w:right w:w="0" w:type="dxa"/>
        </w:tblCellMar>
      </w:tblPr>
      <w:tblGrid>
        <w:gridCol w:w="665"/>
        <w:gridCol w:w="60"/>
        <w:gridCol w:w="60"/>
        <w:gridCol w:w="650"/>
        <w:gridCol w:w="935"/>
      </w:tblGrid>
      <w:tr>
        <w:trPr/>
        <w:tc>
          <w:tcPr>
            <w:tcW w:w="665" w:type="dxa"/>
            <w:tcBorders/>
            <w:vAlign w:val="center"/>
          </w:tcPr>
          <w:p>
            <w:pPr>
              <w:pStyle w:val="TableContents"/>
              <w:bidi w:val="0"/>
              <w:spacing w:before="0" w:after="283"/>
              <w:jc w:val="both"/>
              <w:rPr/>
            </w:pPr>
            <w:r>
              <w:rPr/>
              <w:t>Dated: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93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 </w:t>
            </w:r>
          </w:p>
        </w:tc>
        <w:tc>
          <w:tcPr>
            <w:tcW w:w="935" w:type="dxa"/>
            <w:tcBorders/>
            <w:vAlign w:val="center"/>
          </w:tcPr>
          <w:p>
            <w:pPr>
              <w:pStyle w:val="TableContents"/>
              <w:bidi w:val="0"/>
              <w:spacing w:before="0" w:after="283"/>
              <w:jc w:val="center"/>
              <w:rPr/>
            </w:pPr>
            <w:r>
              <w:rPr/>
              <w:t>Signature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the Warrant)</w:t>
      </w:r>
    </w:p>
    <w:p>
      <w:pPr>
        <w:pStyle w:val="TextBody"/>
        <w:bidi w:val="0"/>
        <w:spacing w:before="0" w:after="0"/>
        <w:ind w:left="0" w:right="0" w:firstLine="720"/>
        <w:jc w:val="both"/>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1790"/>
        <w:gridCol w:w="75"/>
      </w:tblGrid>
      <w:tr>
        <w:trPr/>
        <w:tc>
          <w:tcPr>
            <w:tcW w:w="1790" w:type="dxa"/>
            <w:tcBorders/>
            <w:vAlign w:val="center"/>
          </w:tcPr>
          <w:p>
            <w:pPr>
              <w:pStyle w:val="TableContents"/>
              <w:bidi w:val="0"/>
              <w:spacing w:before="0" w:after="283"/>
              <w:jc w:val="both"/>
              <w:rPr>
                <w:sz w:val="20"/>
              </w:rPr>
            </w:pPr>
            <w:r>
              <w:rPr>
                <w:sz w:val="20"/>
              </w:rPr>
              <w:t>Signature Guaranteed</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790"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30073701ex4-6.htm"/>
      <w:bookmarkStart w:id="26" w:name="ksea030073701ex46"/>
      <w:bookmarkEnd w:id="25"/>
      <w:bookmarkEnd w:id="26"/>
      <w:r>
        <w:rPr>
          <w:rFonts w:ascii="Times New Roman;Times;Serif" w:hAnsi="Times New Roman;Times;Serif"/>
          <w:b/>
          <w:i w:val="false"/>
          <w:caps w:val="false"/>
          <w:smallCaps w:val="false"/>
          <w:sz w:val="20"/>
        </w:rPr>
        <w:t>Exhibit 4.6</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BITDEER TECHNOLOGIES GROUP</w:t>
        <w:br/>
        <w:br/>
        <w:t>and</w:t>
        <w:br/>
        <w:br/>
        <w:t>_____________, As Warrant Agent</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Preferred Stock</w:t>
        <w:br/>
        <w:t>Warrant Agreement</w:t>
        <w:br/>
        <w:br/>
        <w:t>Dated As Of 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BITDEER TECHNOLOGIES GROUP</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Preferred Stock Warrant Agreement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Preferred Stock Warrant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dated as of [●], between </w:t>
      </w:r>
      <w:r>
        <w:rPr>
          <w:rFonts w:ascii="Times New Roman;Times;Serif" w:hAnsi="Times New Roman;Times;Serif"/>
          <w:b/>
          <w:i w:val="false"/>
          <w:smallCaps/>
          <w:sz w:val="20"/>
        </w:rPr>
        <w:t>BITDEER TECHNOLOGIES GROUP</w:t>
      </w:r>
      <w:r>
        <w:rPr>
          <w:rFonts w:ascii="Times New Roman;Times;Serif" w:hAnsi="Times New Roman;Times;Serif"/>
          <w:b w:val="false"/>
          <w:i w:val="false"/>
          <w:caps w:val="false"/>
          <w:smallCaps w:val="false"/>
          <w:sz w:val="20"/>
        </w:rPr>
        <w:t>, an exempted company with limited liability incorporated under the laws of the Cayman Islands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 a [corporation] [national banking association] organized and existing under the laws of [●] and having a corporate trust office in [●],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xml:space="preserve"> the Company proposes to sell [</w:t>
      </w:r>
      <w:r>
        <w:rPr>
          <w:rFonts w:ascii="Times New Roman;Times;Serif" w:hAnsi="Times New Roman;Times;Serif"/>
          <w:b/>
          <w:i/>
          <w:caps w:val="false"/>
          <w:smallCaps w:val="false"/>
          <w:sz w:val="20"/>
        </w:rPr>
        <w:t xml:space="preserve">If Warrants are sold with other securities — </w:t>
      </w:r>
      <w:r>
        <w:rPr>
          <w:rFonts w:ascii="Times New Roman;Times;Serif" w:hAnsi="Times New Roman;Times;Serif"/>
          <w:b w:val="false"/>
          <w:i w:val="false"/>
          <w:caps w:val="false"/>
          <w:smallCaps w:val="false"/>
          <w:sz w:val="20"/>
        </w:rPr>
        <w:t>[title of such other securities being offered] (the “</w:t>
      </w:r>
      <w:r>
        <w:rPr>
          <w:rFonts w:ascii="Times New Roman;Times;Serif" w:hAnsi="Times New Roman;Times;Serif"/>
          <w:b/>
          <w:i/>
          <w:caps w:val="false"/>
          <w:smallCaps w:val="false"/>
          <w:sz w:val="20"/>
        </w:rPr>
        <w:t>Other Securities</w:t>
      </w:r>
      <w:r>
        <w:rPr>
          <w:rFonts w:ascii="Times New Roman;Times;Serif" w:hAnsi="Times New Roman;Times;Serif"/>
          <w:b w:val="false"/>
          <w:i w:val="false"/>
          <w:caps w:val="false"/>
          <w:smallCaps w:val="false"/>
          <w:sz w:val="20"/>
        </w:rPr>
        <w:t>”) with] warrant certificates evidencing one or more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or, individually, a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representing the right to purchase [title of Preferred Stock purchasable through exercise of Warrants] of the Company, par value US$0.0000001 per share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such warrant certificates and other warrant certificates issued pursuant to this Agreement being herein called the “</w:t>
      </w:r>
      <w:r>
        <w:rPr>
          <w:rFonts w:ascii="Times New Roman;Times;Serif" w:hAnsi="Times New Roman;Times;Serif"/>
          <w:b/>
          <w:i/>
          <w:caps w:val="false"/>
          <w:smallCaps w:val="false"/>
          <w:sz w:val="20"/>
        </w:rPr>
        <w:t>Warrant Certificates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Whereas, </w:t>
      </w:r>
      <w:r>
        <w:rPr>
          <w:rFonts w:ascii="Times New Roman;Times;Serif" w:hAnsi="Times New Roman;Times;Serif"/>
          <w:b w:val="false"/>
          <w:i w:val="false"/>
          <w:caps w:val="false"/>
          <w:smallCaps w:val="false"/>
          <w:sz w:val="20"/>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xml:space="preserve"> in consideration of the premises and of the mutual agreements herein contained, the parties hereto agree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br/>
        <w:t>ISSUANCE OF WARRANTS AND EXECUTION AND</w:t>
        <w:br/>
        <w:t>DELIVERY OF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Issuance of Warrants.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If Warrants alone</w:t>
      </w:r>
      <w:r>
        <w:rPr>
          <w:rFonts w:ascii="Times New Roman;Times;Serif" w:hAnsi="Times New Roman;Times;Serif"/>
          <w:b w:val="false"/>
          <w:i w:val="false"/>
          <w:caps w:val="false"/>
          <w:smallCaps w:val="false"/>
          <w:sz w:val="20"/>
        </w:rPr>
        <w:t xml:space="preserve"> —Upon issuance, each Warrant Certificate shall evidence one or more Warrants.]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—Warrant Certificates will be issued with the Other Securities and each Warrant Certificate will evidence [●] Warrants for each [$[●] principal amount] [[●] shares] of Other Securities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Execution and Delivery of Warrant Certificates. </w:t>
      </w:r>
      <w:r>
        <w:rPr>
          <w:rFonts w:ascii="Times New Roman;Times;Serif" w:hAnsi="Times New Roman;Times;Serif"/>
          <w:b w:val="false"/>
          <w:i w:val="false"/>
          <w:caps w:val="false"/>
          <w:smallCaps w:val="false"/>
          <w:sz w:val="20"/>
        </w:rPr>
        <w:t xml:space="preserve">Each Warrant Certificate, whenever issued, shall be in registered form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holder of a Warrant Certificate</w:t>
      </w:r>
      <w:r>
        <w:rPr>
          <w:rFonts w:ascii="Times New Roman;Times;Serif" w:hAnsi="Times New Roman;Times;Serif"/>
          <w:b w:val="false"/>
          <w:i w:val="false"/>
          <w:caps w:val="false"/>
          <w:smallCaps w:val="false"/>
          <w:sz w:val="20"/>
        </w:rPr>
        <w:t>” as used herein shall mean any person in whose name at the time any Warrant Certificate shall be registered upon the books to be maintained by the Warrant Agent for that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Issuance of Warrant Certificates. </w:t>
      </w:r>
      <w:r>
        <w:rPr>
          <w:rFonts w:ascii="Times New Roman;Times;Serif" w:hAnsi="Times New Roman;Times;Serif"/>
          <w:b w:val="false"/>
          <w:i w:val="false"/>
          <w:caps w:val="false"/>
          <w:smallCaps w:val="false"/>
          <w:sz w:val="20"/>
        </w:rPr>
        <w:t>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br/>
        <w:t>WARRANT PRICE, DURATION AND 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Warrant Price. </w:t>
      </w:r>
      <w:r>
        <w:rPr>
          <w:rFonts w:ascii="Times New Roman;Times;Serif" w:hAnsi="Times New Roman;Times;Serif"/>
          <w:b w:val="false"/>
          <w:i w:val="false"/>
          <w:caps w:val="false"/>
          <w:smallCaps w:val="false"/>
          <w:sz w:val="20"/>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Duration of Warrants. </w:t>
      </w:r>
      <w:r>
        <w:rPr>
          <w:rFonts w:ascii="Times New Roman;Times;Serif" w:hAnsi="Times New Roman;Times;Serif"/>
          <w:b w:val="false"/>
          <w:i w:val="false"/>
          <w:caps w:val="false"/>
          <w:smallCaps w:val="false"/>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Each Warrant not exercised at or before [●] p.m., [City] time, on the Expiration Date shall become void, and all rights of the holder of the Warrant Certificate evidencing such Warrant under this Agreement shall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Exercise of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br/>
        <w:t>OTHER PROVISIONS RELATING TO RIGHTS OF HOLDERS OF</w:t>
        <w:br/>
        <w:t>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No Rights as Warrant Securityholder Conferred by Warrants or Warrant Certificates. </w:t>
      </w:r>
      <w:r>
        <w:rPr>
          <w:rFonts w:ascii="Times New Roman;Times;Serif" w:hAnsi="Times New Roman;Times;Serif"/>
          <w:b w:val="false"/>
          <w:i w:val="false"/>
          <w:caps w:val="false"/>
          <w:smallCaps w:val="false"/>
          <w:sz w:val="20"/>
        </w:rPr>
        <w:t>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Lost, Stolen, Mutilated or Destroyed Warrant Certificates. </w:t>
      </w:r>
      <w:r>
        <w:rPr>
          <w:rFonts w:ascii="Times New Roman;Times;Serif" w:hAnsi="Times New Roman;Times;Serif"/>
          <w:b w:val="false"/>
          <w:i w:val="false"/>
          <w:caps w:val="false"/>
          <w:smallCaps w:val="false"/>
          <w:sz w:val="20"/>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Holder of Warrant Certificate May Enforce Rights. </w:t>
      </w:r>
      <w:r>
        <w:rPr>
          <w:rFonts w:ascii="Times New Roman;Times;Serif" w:hAnsi="Times New Roman;Times;Serif"/>
          <w:b w:val="false"/>
          <w:i w:val="false"/>
          <w:caps w:val="false"/>
          <w:smallCaps w:val="false"/>
          <w:sz w:val="20"/>
        </w:rPr>
        <w:t>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Adjustments.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any cash paid or payable otherwise than in accordance with the terms of [title of Preferred Stock purchasable through exercise of Warrants] or as a cash dividend paid or payable out of the Company’s current or retained earnings;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any evidence of the Company’s indebtedness or rights to subscribe for or purchase the Company’s indebtedness;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Times;Serif" w:hAnsi="Times New Roman;Times;Serif"/>
          <w:b/>
          <w:i/>
          <w:caps w:val="false"/>
          <w:smallCaps w:val="false"/>
          <w:sz w:val="20"/>
        </w:rPr>
        <w:t>Reorganization Event</w:t>
      </w:r>
      <w:r>
        <w:rPr>
          <w:rFonts w:ascii="Times New Roman;Times;Serif" w:hAnsi="Times New Roman;Times;Serif"/>
          <w:b w:val="false"/>
          <w:i w:val="false"/>
          <w:caps w:val="false"/>
          <w:smallCaps w:val="false"/>
          <w:sz w:val="20"/>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Except as herein otherwise expressly provided, no adjustment in the Warrant Price shall be made by reason of the issuance of </w:t>
      </w:r>
      <w:r>
        <w:rPr>
          <w:rFonts w:ascii="Times New Roman;Times;Serif" w:hAnsi="Times New Roman;Times;Serif"/>
          <w:b w:val="false"/>
          <w:i w:val="false"/>
          <w:caps w:val="false"/>
          <w:smallCaps w:val="false"/>
          <w:sz w:val="20"/>
          <w:shd w:fill="FFFFFF" w:val="clear"/>
        </w:rPr>
        <w:t>any securities of the Company or for any other reason whatsoever.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Times;Serif" w:hAnsi="Times New Roman;Times;Serif"/>
          <w:b/>
          <w:i/>
          <w:caps w:val="false"/>
          <w:smallCaps w:val="false"/>
          <w:sz w:val="20"/>
        </w:rPr>
        <w:t>OTC Bulletin Board</w:t>
      </w:r>
      <w:r>
        <w:rPr>
          <w:rFonts w:ascii="Times New Roman;Times;Serif" w:hAnsi="Times New Roman;Times;Serif"/>
          <w:b w:val="false"/>
          <w:i w:val="false"/>
          <w:caps w:val="false"/>
          <w:smallCaps w:val="false"/>
          <w:sz w:val="20"/>
        </w:rPr>
        <w:t>”) operated by the Financial Industry Regulatory Authority, Inc. (“</w:t>
      </w:r>
      <w:r>
        <w:rPr>
          <w:rFonts w:ascii="Times New Roman;Times;Serif" w:hAnsi="Times New Roman;Times;Serif"/>
          <w:b/>
          <w:i/>
          <w:caps w:val="false"/>
          <w:smallCaps w:val="false"/>
          <w:sz w:val="20"/>
        </w:rPr>
        <w:t>FINRA</w:t>
      </w:r>
      <w:r>
        <w:rPr>
          <w:rFonts w:ascii="Times New Roman;Times;Serif" w:hAnsi="Times New Roman;Times;Serif"/>
          <w:b w:val="false"/>
          <w:i w:val="false"/>
          <w:caps w:val="false"/>
          <w:smallCaps w:val="false"/>
          <w:sz w:val="20"/>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Notwithstanding anything to the contrary herein, in no event shall the Warrant Price, as adjusted in accordance with the terms hereof, be less than the par value per share of [title of Preferred Stock purchasable through 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3.5 Notice to Warrantholders. </w:t>
      </w:r>
      <w:r>
        <w:rPr>
          <w:rFonts w:ascii="Times New Roman;Times;Serif" w:hAnsi="Times New Roman;Times;Serif"/>
          <w:b w:val="false"/>
          <w:i w:val="false"/>
          <w:caps w:val="false"/>
          <w:smallCaps w:val="false"/>
          <w:sz w:val="20"/>
        </w:rPr>
        <w:t>In case the Company shall (a) effect any dividend or distribution described in Section 3.4(b), (b) effect any 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3.6 </w:t>
      </w:r>
      <w:r>
        <w:rPr>
          <w:rFonts w:ascii="Times New Roman;Times;Serif" w:hAnsi="Times New Roman;Times;Serif"/>
          <w:b w:val="false"/>
          <w:i w:val="false"/>
          <w:caps w:val="false"/>
          <w:smallCaps w:val="false"/>
          <w:sz w:val="20"/>
        </w:rPr>
        <w:t>[If the Warrants are Subject to Acceleration by the Company, Insert — Acceleration of Warrants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At any time on or after [●], the Company shall have the right to accelerate any or all Warrants at any time by causing them to expire at the close of business on the day next preceding a specified date (the “</w:t>
      </w:r>
      <w:r>
        <w:rPr>
          <w:rFonts w:ascii="Times New Roman;Times;Serif" w:hAnsi="Times New Roman;Times;Serif"/>
          <w:b/>
          <w:i/>
          <w:caps w:val="false"/>
          <w:smallCaps w:val="false"/>
          <w:sz w:val="20"/>
        </w:rPr>
        <w:t>Acceleration Date</w:t>
      </w:r>
      <w:r>
        <w:rPr>
          <w:rFonts w:ascii="Times New Roman;Times;Serif" w:hAnsi="Times New Roman;Times;Serif"/>
          <w:b w:val="false"/>
          <w:i w:val="false"/>
          <w:caps w:val="false"/>
          <w:smallCaps w:val="false"/>
          <w:sz w:val="20"/>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Market Price</w:t>
      </w:r>
      <w:r>
        <w:rPr>
          <w:rFonts w:ascii="Times New Roman;Times;Serif" w:hAnsi="Times New Roman;Times;Serif"/>
          <w:b w:val="false"/>
          <w:i w:val="false"/>
          <w:caps w:val="false"/>
          <w:smallCaps w:val="false"/>
          <w:sz w:val="20"/>
        </w:rPr>
        <w:t>” for each Trading Day shall be, if the [title of Preferred Stock purchasable through exercise of Warrants] is listed or 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Any Warrant accelerated may be exercised until [●] p.m., [City] time, on the business day next preceding the Acceleration Date. The Warrant Price shall be payable as provided in Section 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br/>
        <w:t>EXCHANGE AND TRANSFER OF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w:t>
      </w:r>
      <w:r>
        <w:rPr>
          <w:rFonts w:ascii="Times New Roman;Times;Serif" w:hAnsi="Times New Roman;Times;Serif"/>
          <w:b w:val="false"/>
          <w:i w:val="false"/>
          <w:caps w:val="false"/>
          <w:smallCaps w:val="false"/>
          <w:sz w:val="20"/>
        </w:rPr>
        <w:t>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Treatment of Holders of Warrant Certificates. </w:t>
      </w:r>
      <w:r>
        <w:rPr>
          <w:rFonts w:ascii="Times New Roman;Times;Serif" w:hAnsi="Times New Roman;Times;Serif"/>
          <w:b w:val="false"/>
          <w:i w:val="false"/>
          <w:caps w:val="false"/>
          <w:smallCaps w:val="false"/>
          <w:sz w:val="20"/>
        </w:rPr>
        <w:t>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Cancellation of Warrant Certificates. </w:t>
      </w:r>
      <w:r>
        <w:rPr>
          <w:rFonts w:ascii="Times New Roman;Times;Serif" w:hAnsi="Times New Roman;Times;Serif"/>
          <w:b w:val="false"/>
          <w:i w:val="false"/>
          <w:caps w:val="false"/>
          <w:smallCaps w:val="false"/>
          <w:sz w:val="20"/>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br/>
        <w:t>CONCERNING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Warrant Agent. </w:t>
      </w:r>
      <w:r>
        <w:rPr>
          <w:rFonts w:ascii="Times New Roman;Times;Serif" w:hAnsi="Times New Roman;Times;Serif"/>
          <w:b w:val="false"/>
          <w:i w:val="false"/>
          <w:caps w:val="false"/>
          <w:smallCaps w:val="false"/>
          <w:sz w:val="20"/>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Conditions of Warrant Agent’s Obligations. </w:t>
      </w:r>
      <w:r>
        <w:rPr>
          <w:rFonts w:ascii="Times New Roman;Times;Serif" w:hAnsi="Times New Roman;Times;Serif"/>
          <w:b w:val="false"/>
          <w:i w:val="false"/>
          <w:caps w:val="false"/>
          <w:smallCaps w:val="false"/>
          <w:sz w:val="20"/>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Compensation and Indemnification. </w:t>
      </w:r>
      <w:r>
        <w:rPr>
          <w:rFonts w:ascii="Times New Roman;Times;Serif" w:hAnsi="Times New Roman;Times;Serif"/>
          <w:b w:val="false"/>
          <w:i w:val="false"/>
          <w:caps w:val="false"/>
          <w:smallCaps w:val="false"/>
          <w:sz w:val="20"/>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Agent for the Company. </w:t>
      </w:r>
      <w:r>
        <w:rPr>
          <w:rFonts w:ascii="Times New Roman;Times;Serif" w:hAnsi="Times New Roman;Times;Serif"/>
          <w:b w:val="false"/>
          <w:i w:val="false"/>
          <w:caps w:val="false"/>
          <w:smallCaps w:val="false"/>
          <w:sz w:val="20"/>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Counsel. </w:t>
      </w:r>
      <w:r>
        <w:rPr>
          <w:rFonts w:ascii="Times New Roman;Times;Serif" w:hAnsi="Times New Roman;Times;Serif"/>
          <w:b w:val="false"/>
          <w:i w:val="false"/>
          <w:caps w:val="false"/>
          <w:smallCaps w:val="false"/>
          <w:sz w:val="20"/>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Documents. </w:t>
      </w:r>
      <w:r>
        <w:rPr>
          <w:rFonts w:ascii="Times New Roman;Times;Serif" w:hAnsi="Times New Roman;Times;Serif"/>
          <w:b w:val="false"/>
          <w:i w:val="false"/>
          <w:caps w:val="false"/>
          <w:smallCaps w:val="false"/>
          <w:sz w:val="20"/>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Certain Transactions. </w:t>
      </w:r>
      <w:r>
        <w:rPr>
          <w:rFonts w:ascii="Times New Roman;Times;Serif" w:hAnsi="Times New Roman;Times;Serif"/>
          <w:b w:val="false"/>
          <w:i w:val="false"/>
          <w:caps w:val="false"/>
          <w:smallCaps w:val="false"/>
          <w:sz w:val="20"/>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No Liability for Interest. </w:t>
      </w:r>
      <w:r>
        <w:rPr>
          <w:rFonts w:ascii="Times New Roman;Times;Serif" w:hAnsi="Times New Roman;Times;Serif"/>
          <w:b w:val="false"/>
          <w:i w:val="false"/>
          <w:caps w:val="false"/>
          <w:smallCaps w:val="false"/>
          <w:sz w:val="20"/>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No Liability for Invalidity. </w:t>
      </w:r>
      <w:r>
        <w:rPr>
          <w:rFonts w:ascii="Times New Roman;Times;Serif" w:hAnsi="Times New Roman;Times;Serif"/>
          <w:b w:val="false"/>
          <w:i w:val="false"/>
          <w:caps w:val="false"/>
          <w:smallCaps w:val="false"/>
          <w:sz w:val="20"/>
        </w:rPr>
        <w:t>The Warrant Agent shall have no liability with respect to any invalidity of this Agreement or any of the Warrant Certificates (except as to the Warrant Agent’s countersignature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No Responsibility for Representations. </w:t>
      </w:r>
      <w:r>
        <w:rPr>
          <w:rFonts w:ascii="Times New Roman;Times;Serif" w:hAnsi="Times New Roman;Times;Serif"/>
          <w:b w:val="false"/>
          <w:i w:val="false"/>
          <w:caps w:val="false"/>
          <w:smallCaps w:val="false"/>
          <w:sz w:val="20"/>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No Implied Obligations. </w:t>
      </w:r>
      <w:r>
        <w:rPr>
          <w:rFonts w:ascii="Times New Roman;Times;Serif" w:hAnsi="Times New Roman;Times;Serif"/>
          <w:b w:val="false"/>
          <w:i w:val="false"/>
          <w:caps w:val="false"/>
          <w:smallCaps w:val="false"/>
          <w:sz w:val="20"/>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Resignation, Removal and Appointment of Successors.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b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Amendment. </w:t>
      </w:r>
      <w:r>
        <w:rPr>
          <w:rFonts w:ascii="Times New Roman;Times;Serif" w:hAnsi="Times New Roman;Times;Serif"/>
          <w:b w:val="false"/>
          <w:i w:val="false"/>
          <w:caps w:val="false"/>
          <w:smallCaps w:val="false"/>
          <w:sz w:val="20"/>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Notices and Demands to the Company and Warrant Agent. </w:t>
      </w:r>
      <w:r>
        <w:rPr>
          <w:rFonts w:ascii="Times New Roman;Times;Serif" w:hAnsi="Times New Roman;Times;Serif"/>
          <w:b w:val="false"/>
          <w:i w:val="false"/>
          <w:caps w:val="false"/>
          <w:smallCaps w:val="false"/>
          <w:sz w:val="20"/>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Addresses. </w:t>
      </w:r>
      <w:r>
        <w:rPr>
          <w:rFonts w:ascii="Times New Roman;Times;Serif" w:hAnsi="Times New Roman;Times;Serif"/>
          <w:b w:val="false"/>
          <w:i w:val="false"/>
          <w:caps w:val="false"/>
          <w:smallCaps w:val="false"/>
          <w:sz w:val="20"/>
        </w:rPr>
        <w:t>Any communication from the Company to the Warrant Agent with respect to this Agreement shall be addressed to [●], Attention: [●] and any communication from the Warrant Agent to the Company with respect to this Agreement shall be addressed toBitdeer Technologies Group, 08 Kallang Avenue, Aperia tower 1, #09-03/04, Singapore 339509, Attention: [●] (or such other address as shall be specified in writing by the Warrant Agent or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6.4 Governing Law. </w:t>
      </w:r>
      <w:r>
        <w:rPr>
          <w:rFonts w:ascii="Times New Roman;Times;Serif" w:hAnsi="Times New Roman;Times;Serif"/>
          <w:b w:val="false"/>
          <w:i w:val="false"/>
          <w:caps w:val="false"/>
          <w:smallCaps w:val="false"/>
          <w:sz w:val="20"/>
        </w:rPr>
        <w:t>This Agreement and each Warrant Certificate issued hereunder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6.5 Delivery of Prospectus. </w:t>
      </w:r>
      <w:r>
        <w:rPr>
          <w:rFonts w:ascii="Times New Roman;Times;Serif" w:hAnsi="Times New Roman;Times;Serif"/>
          <w:b w:val="false"/>
          <w:i w:val="false"/>
          <w:caps w:val="false"/>
          <w:smallCaps w:val="false"/>
          <w:sz w:val="20"/>
        </w:rPr>
        <w:t>The Company shall furnish to the Warrant Agent sufficient copies of a prospectus meeting the requirements of the Securities Act of 1933, as amended, relating to the Warrant Securities deliverable upon exercise of the Warrants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Obtaining of Governmental Approvals. </w:t>
      </w:r>
      <w:r>
        <w:rPr>
          <w:rFonts w:ascii="Times New Roman;Times;Serif" w:hAnsi="Times New Roman;Times;Serif"/>
          <w:b w:val="false"/>
          <w:i w:val="false"/>
          <w:caps w:val="false"/>
          <w:smallCaps w:val="false"/>
          <w:sz w:val="20"/>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6.7 Persons Having Rights Under the Agreement. </w:t>
      </w:r>
      <w:r>
        <w:rPr>
          <w:rFonts w:ascii="Times New Roman;Times;Serif" w:hAnsi="Times New Roman;Times;Serif"/>
          <w:b w:val="false"/>
          <w:i w:val="false"/>
          <w:caps w:val="false"/>
          <w:smallCaps w:val="false"/>
          <w:sz w:val="20"/>
        </w:rPr>
        <w:t>Nothing in this Agreement shall give to any person other than the Company, the Warrant Agent and the holders of the Warrant Certificates any right, remedy or claim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6.8 Headings. </w:t>
      </w:r>
      <w:r>
        <w:rPr>
          <w:rFonts w:ascii="Times New Roman;Times;Serif" w:hAnsi="Times New Roman;Times;Serif"/>
          <w:b w:val="false"/>
          <w:i w:val="false"/>
          <w:caps w:val="false"/>
          <w:smallCaps w:val="false"/>
          <w:sz w:val="20"/>
        </w:rPr>
        <w:t>The descriptive headings of the several Articles and Sections of this Agreement are inserted for convenience only and shall not control or affect the meaning or construction of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6.9 Counterparts. </w:t>
      </w:r>
      <w:r>
        <w:rPr>
          <w:rFonts w:ascii="Times New Roman;Times;Serif" w:hAnsi="Times New Roman;Times;Serif"/>
          <w:b w:val="false"/>
          <w:i w:val="false"/>
          <w:caps w:val="false"/>
          <w:smallCaps w:val="false"/>
          <w:sz w:val="20"/>
        </w:rPr>
        <w:t>This Agreement may be executed in any number of counterparts, each of which as so executed shall be deemed to be an original, but such counterparts shall together constitute but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6.10 Inspection of Agreement. </w:t>
      </w:r>
      <w:r>
        <w:rPr>
          <w:rFonts w:ascii="Times New Roman;Times;Serif" w:hAnsi="Times New Roman;Times;Serif"/>
          <w:b w:val="false"/>
          <w:i w:val="false"/>
          <w:caps w:val="false"/>
          <w:smallCaps w:val="false"/>
          <w:sz w:val="20"/>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xml:space="preserve"> the parties hereto have caused this Agreement to be duly executed as of the day and year first above written.</w:t>
      </w:r>
    </w:p>
    <w:p>
      <w:pPr>
        <w:pStyle w:val="TextBody"/>
        <w:bidi w:val="0"/>
        <w:spacing w:before="0" w:after="0"/>
        <w:ind w:left="4320" w:right="0" w:hanging="0"/>
        <w:jc w:val="both"/>
        <w:rPr>
          <w:caps w:val="false"/>
          <w:smallCaps w:val="false"/>
        </w:rPr>
      </w:pPr>
      <w:r>
        <w:rPr>
          <w:caps w:val="false"/>
          <w:smallCaps w:val="false"/>
        </w:rPr>
        <w:t> </w:t>
      </w:r>
    </w:p>
    <w:tbl>
      <w:tblPr>
        <w:tblW w:w="3514" w:type="dxa"/>
        <w:jc w:val="left"/>
        <w:tblInd w:w="0" w:type="dxa"/>
        <w:tblLayout w:type="fixed"/>
        <w:tblCellMar>
          <w:top w:w="0" w:type="dxa"/>
          <w:left w:w="0" w:type="dxa"/>
          <w:bottom w:w="0" w:type="dxa"/>
          <w:right w:w="0" w:type="dxa"/>
        </w:tblCellMar>
      </w:tblPr>
      <w:tblGrid>
        <w:gridCol w:w="75"/>
        <w:gridCol w:w="1630"/>
        <w:gridCol w:w="1809"/>
      </w:tblGrid>
      <w:tr>
        <w:trPr/>
        <w:tc>
          <w:tcPr>
            <w:tcW w:w="75" w:type="dxa"/>
            <w:tcBorders/>
            <w:vAlign w:val="center"/>
          </w:tcPr>
          <w:p>
            <w:pPr>
              <w:pStyle w:val="TableContents"/>
              <w:bidi w:val="0"/>
              <w:spacing w:before="0" w:after="283"/>
              <w:jc w:val="both"/>
              <w:rPr/>
            </w:pPr>
            <w:r>
              <w:rPr/>
              <w:t> </w:t>
            </w:r>
          </w:p>
        </w:tc>
        <w:tc>
          <w:tcPr>
            <w:tcW w:w="3439" w:type="dxa"/>
            <w:gridSpan w:val="2"/>
            <w:tcBorders/>
            <w:vAlign w:val="center"/>
          </w:tcPr>
          <w:p>
            <w:pPr>
              <w:pStyle w:val="TableContents"/>
              <w:bidi w:val="0"/>
              <w:spacing w:before="0" w:after="283"/>
              <w:jc w:val="both"/>
              <w:rPr>
                <w:sz w:val="20"/>
              </w:rPr>
            </w:pPr>
            <w:r>
              <w:rPr>
                <w:sz w:val="20"/>
              </w:rPr>
              <w:t>Bitdeer Technologies Group, as Company</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By:</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Name:</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Title:</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mallCaps/>
              </w:rPr>
            </w:pPr>
            <w:r>
              <w:rPr>
                <w:smallCaps/>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b/>
                <w:smallCaps/>
                <w:sz w:val="20"/>
              </w:rPr>
              <w:t>Attest</w:t>
            </w:r>
            <w:r>
              <w:rPr>
                <w:b/>
                <w:sz w:val="20"/>
              </w:rPr>
              <w:t>: </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t> </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mallCaps/>
              </w:rPr>
            </w:pPr>
            <w:r>
              <w:rPr>
                <w:smallCaps/>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439" w:type="dxa"/>
            <w:gridSpan w:val="2"/>
            <w:tcBorders/>
            <w:vAlign w:val="center"/>
          </w:tcPr>
          <w:p>
            <w:pPr>
              <w:pStyle w:val="TableContents"/>
              <w:bidi w:val="0"/>
              <w:spacing w:before="0" w:after="283"/>
              <w:jc w:val="both"/>
              <w:rPr>
                <w:b/>
                <w:smallCaps/>
                <w:sz w:val="20"/>
              </w:rPr>
            </w:pPr>
            <w:r>
              <w:rPr>
                <w:b/>
                <w:smallCaps/>
                <w:sz w:val="20"/>
              </w:rPr>
              <w:t>Countersigned</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mallCaps/>
              </w:rPr>
            </w:pPr>
            <w:r>
              <w:rPr>
                <w:smallCaps/>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439" w:type="dxa"/>
            <w:gridSpan w:val="2"/>
            <w:tcBorders/>
            <w:vAlign w:val="center"/>
          </w:tcPr>
          <w:p>
            <w:pPr>
              <w:pStyle w:val="TableContents"/>
              <w:bidi w:val="0"/>
              <w:spacing w:before="0" w:after="283"/>
              <w:jc w:val="both"/>
              <w:rPr/>
            </w:pPr>
            <w:r>
              <w:rPr>
                <w:b/>
                <w:smallCaps/>
                <w:sz w:val="20"/>
              </w:rPr>
              <w:t>[●]</w:t>
            </w:r>
            <w:r>
              <w:rPr>
                <w:sz w:val="20"/>
              </w:rPr>
              <w:t>, as Warrant Agent</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By:</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Name:</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Title:</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mallCaps/>
              </w:rPr>
            </w:pPr>
            <w:r>
              <w:rPr>
                <w:smallCaps/>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b/>
                <w:smallCaps/>
                <w:sz w:val="20"/>
              </w:rPr>
              <w:t>Attest</w:t>
            </w:r>
            <w:r>
              <w:rPr>
                <w:b/>
                <w:sz w:val="20"/>
              </w:rPr>
              <w:t>:</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t> </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Bitdeer Technologies Group Preferred Stock Warrant Agreement]</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CERTIFICATE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[FACE OF WARRANT CERTIFICATE]</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13"/>
        <w:gridCol w:w="5692"/>
      </w:tblGrid>
      <w:tr>
        <w:trPr/>
        <w:tc>
          <w:tcPr>
            <w:tcW w:w="4513" w:type="dxa"/>
            <w:tcBorders/>
            <w:vAlign w:val="center"/>
          </w:tcPr>
          <w:p>
            <w:pPr>
              <w:pStyle w:val="TableContents"/>
              <w:bidi w:val="0"/>
              <w:spacing w:before="0" w:after="283"/>
              <w:jc w:val="left"/>
              <w:rPr>
                <w:sz w:val="20"/>
              </w:rPr>
            </w:pPr>
            <w:r>
              <w:rPr>
                <w:sz w:val="20"/>
              </w:rPr>
              <w:t>[</w:t>
            </w:r>
            <w:r>
              <w:rPr>
                <w:b/>
                <w:i/>
                <w:sz w:val="20"/>
              </w:rPr>
              <w:t>Form of Legend if Warrants are not immediately exercisable.</w:t>
            </w:r>
            <w:r>
              <w:rPr>
                <w:sz w:val="20"/>
              </w:rPr>
              <w:t>]</w:t>
            </w:r>
          </w:p>
        </w:tc>
        <w:tc>
          <w:tcPr>
            <w:tcW w:w="5692" w:type="dxa"/>
            <w:tcBorders/>
            <w:vAlign w:val="center"/>
          </w:tcPr>
          <w:p>
            <w:pPr>
              <w:pStyle w:val="TableContents"/>
              <w:bidi w:val="0"/>
              <w:spacing w:before="0" w:after="283"/>
              <w:jc w:val="left"/>
              <w:rPr>
                <w:sz w:val="20"/>
              </w:rPr>
            </w:pPr>
            <w:r>
              <w:rPr>
                <w:sz w:val="20"/>
              </w:rPr>
              <w:t>[Prior to [●], Warrants evidenced by this Warrant Certificate cannot be exercised.]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ONLY IF COUNTERSIGNED BY THE WARRANT AGENT AS PROVIDED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VOID AFTER [●] P.M., [City] time, ON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BITDEER TECHNOLOGIES GROUP</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WARRANT CERTIFICATE REPRESENTING</w:t>
        <w:br/>
        <w:t>WARRANTS TO PURCHASE</w:t>
        <w:br/>
        <w:t>[TITLE OF WARRANT SECURITIES]</w:t>
      </w:r>
    </w:p>
    <w:p>
      <w:pPr>
        <w:pStyle w:val="TextBody"/>
        <w:bidi w:val="0"/>
        <w:spacing w:before="0" w:after="0"/>
        <w:ind w:left="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5"/>
        <w:gridCol w:w="1085"/>
      </w:tblGrid>
      <w:tr>
        <w:trPr/>
        <w:tc>
          <w:tcPr>
            <w:tcW w:w="605" w:type="dxa"/>
            <w:tcBorders/>
            <w:vAlign w:val="center"/>
          </w:tcPr>
          <w:p>
            <w:pPr>
              <w:pStyle w:val="TableContents"/>
              <w:bidi w:val="0"/>
              <w:spacing w:before="0" w:after="283"/>
              <w:jc w:val="both"/>
              <w:rPr>
                <w:sz w:val="20"/>
              </w:rPr>
            </w:pPr>
            <w:r>
              <w:rPr>
                <w:sz w:val="20"/>
              </w:rPr>
              <w:t>No. [●]</w:t>
            </w:r>
          </w:p>
        </w:tc>
        <w:tc>
          <w:tcPr>
            <w:tcW w:w="1085" w:type="dxa"/>
            <w:tcBorders/>
            <w:vAlign w:val="center"/>
          </w:tcPr>
          <w:p>
            <w:pPr>
              <w:pStyle w:val="TableContents"/>
              <w:bidi w:val="0"/>
              <w:spacing w:before="0" w:after="283"/>
              <w:jc w:val="right"/>
              <w:rPr>
                <w:sz w:val="20"/>
              </w:rPr>
            </w:pPr>
            <w:r>
              <w:rPr>
                <w:sz w:val="20"/>
              </w:rPr>
              <w:t xml:space="preserve">[●] Warrants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US$0.0000001 per share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of Bitdeer Technologies Group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on the following basis: during the period from [●], through and including [●], the exercise price per Warrant Security will be $[●], subject to adjustment as provided in the Warrant Agreement (as hereinafter defined)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 which is, on the date hereof, at the address specified on the reverse hereof, and upon compliance with and subject to the conditions set forth herein and in the Warrant Agreement (as hereinafter defined).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is issued under and in accordance with the Warrant Agreement dated as of [●] (the “</w:t>
      </w:r>
      <w:r>
        <w:rPr>
          <w:rFonts w:ascii="Times New Roman;Times;Serif" w:hAnsi="Times New Roman;Times;Serif"/>
          <w:b/>
          <w:i/>
          <w:caps w:val="false"/>
          <w:smallCaps w:val="false"/>
          <w:sz w:val="20"/>
        </w:rPr>
        <w:t>Warrant Agreement</w:t>
      </w:r>
      <w:r>
        <w:rPr>
          <w:rFonts w:ascii="Times New Roman;Times;Serif" w:hAnsi="Times New Roman;Times;Serif"/>
          <w:b w:val="false"/>
          <w:i w:val="false"/>
          <w:caps w:val="false"/>
          <w:smallCaps w:val="false"/>
          <w:sz w:val="20"/>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Warrant Certificate set forth on the reverse hereof, which further provisions shall for all purposes have the same effect as if set forth at this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be valid or obligatory for any purpose until countersigned by the Warrant Agent.</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Company has caused this Warrant to be executed in its name and on its behalf by the facsimile signatures of its duly authorized officers.</w:t>
      </w:r>
    </w:p>
    <w:p>
      <w:pPr>
        <w:pStyle w:val="TextBody"/>
        <w:bidi w:val="0"/>
        <w:spacing w:before="0" w:after="0"/>
        <w:ind w:left="0" w:right="0" w:hanging="0"/>
        <w:jc w:val="both"/>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575"/>
        <w:gridCol w:w="60"/>
        <w:gridCol w:w="75"/>
      </w:tblGrid>
      <w:tr>
        <w:trPr/>
        <w:tc>
          <w:tcPr>
            <w:tcW w:w="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xml:space="preserve">  </w:t>
      </w:r>
    </w:p>
    <w:tbl>
      <w:tblPr>
        <w:tblW w:w="3604" w:type="dxa"/>
        <w:jc w:val="left"/>
        <w:tblInd w:w="0" w:type="dxa"/>
        <w:tblLayout w:type="fixed"/>
        <w:tblCellMar>
          <w:top w:w="0" w:type="dxa"/>
          <w:left w:w="0" w:type="dxa"/>
          <w:bottom w:w="0" w:type="dxa"/>
          <w:right w:w="0" w:type="dxa"/>
        </w:tblCellMar>
      </w:tblPr>
      <w:tblGrid>
        <w:gridCol w:w="1845"/>
        <w:gridCol w:w="1684"/>
        <w:gridCol w:w="75"/>
      </w:tblGrid>
      <w:tr>
        <w:trPr/>
        <w:tc>
          <w:tcPr>
            <w:tcW w:w="352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Bitdeer Technologies Group</w:t>
            </w:r>
            <w:r>
              <w:rPr>
                <w:rFonts w:ascii="Times New Roman;Times;Serif" w:hAnsi="Times New Roman;Times;Serif"/>
                <w:sz w:val="20"/>
              </w:rPr>
              <w:t>, as Company</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pPr>
            <w:r>
              <w:rPr/>
              <w:t> </w:t>
            </w:r>
          </w:p>
        </w:tc>
        <w:tc>
          <w:tcPr>
            <w:tcW w:w="168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smallCaps/>
              </w:rPr>
            </w:pPr>
            <w:r>
              <w:rPr>
                <w:smallCaps/>
              </w:rPr>
              <w:t> </w:t>
            </w:r>
          </w:p>
        </w:tc>
        <w:tc>
          <w:tcPr>
            <w:tcW w:w="168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ATTEST:</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pPr>
            <w:r>
              <w:rPr/>
              <w:t> </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smallCaps/>
              </w:rPr>
            </w:pPr>
            <w:r>
              <w:rPr>
                <w:smallCaps/>
              </w:rPr>
              <w:t> </w:t>
            </w:r>
          </w:p>
        </w:tc>
        <w:tc>
          <w:tcPr>
            <w:tcW w:w="168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529"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COUNTERSIGNED</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smallCaps/>
              </w:rPr>
            </w:pPr>
            <w:r>
              <w:rPr>
                <w:smallCaps/>
              </w:rPr>
              <w:t> </w:t>
            </w:r>
          </w:p>
        </w:tc>
        <w:tc>
          <w:tcPr>
            <w:tcW w:w="168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529" w:type="dxa"/>
            <w:gridSpan w:val="2"/>
            <w:tcBorders/>
            <w:vAlign w:val="center"/>
          </w:tcPr>
          <w:p>
            <w:pPr>
              <w:pStyle w:val="TableContents"/>
              <w:bidi w:val="0"/>
              <w:spacing w:before="0" w:after="283"/>
              <w:jc w:val="both"/>
              <w:rPr/>
            </w:pPr>
            <w:r>
              <w:rPr>
                <w:rFonts w:ascii="Times New Roman;Times;Serif" w:hAnsi="Times New Roman;Times;Serif"/>
                <w:b/>
                <w:i w:val="false"/>
                <w:smallCaps/>
                <w:sz w:val="20"/>
              </w:rPr>
              <w:t>[●]</w:t>
            </w:r>
            <w:r>
              <w:rPr>
                <w:rFonts w:ascii="Times New Roman;Times;Serif" w:hAnsi="Times New Roman;Times;Serif"/>
                <w:sz w:val="20"/>
              </w:rPr>
              <w:t>, as Warrant Agent</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pPr>
            <w:r>
              <w:rPr/>
              <w:t> </w:t>
            </w:r>
          </w:p>
        </w:tc>
        <w:tc>
          <w:tcPr>
            <w:tcW w:w="168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smallCaps/>
              </w:rPr>
            </w:pPr>
            <w:r>
              <w:rPr>
                <w:smallCaps/>
              </w:rPr>
              <w:t> </w:t>
            </w:r>
          </w:p>
        </w:tc>
        <w:tc>
          <w:tcPr>
            <w:tcW w:w="168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ATTEST: </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pPr>
            <w:r>
              <w:rPr/>
              <w:t> </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WARRANT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for Exercise of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upon 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exercise ______ Warrants, evidenced by this Warrant Certificate, to purchase _______ shares of the [TITLE OF WARRANT SECURITIES], par value US$0.0000001 per share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of Bitdeer Technologies Group.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Bitdeer Technologies Group,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pStyle w:val="TextBody"/>
        <w:bidi w:val="0"/>
        <w:spacing w:before="0" w:after="0"/>
        <w:ind w:left="0" w:right="0" w:hanging="0"/>
        <w:jc w:val="both"/>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665"/>
        <w:gridCol w:w="60"/>
        <w:gridCol w:w="60"/>
        <w:gridCol w:w="650"/>
        <w:gridCol w:w="1145"/>
      </w:tblGrid>
      <w:tr>
        <w:trPr/>
        <w:tc>
          <w:tcPr>
            <w:tcW w:w="665" w:type="dxa"/>
            <w:tcBorders/>
            <w:vAlign w:val="center"/>
          </w:tcPr>
          <w:p>
            <w:pPr>
              <w:pStyle w:val="TableContents"/>
              <w:bidi w:val="0"/>
              <w:spacing w:before="0" w:after="283"/>
              <w:jc w:val="both"/>
              <w:rPr/>
            </w:pPr>
            <w:r>
              <w:rPr/>
              <w:t>Dated: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114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 </w:t>
            </w:r>
          </w:p>
        </w:tc>
        <w:tc>
          <w:tcPr>
            <w:tcW w:w="1145" w:type="dxa"/>
            <w:tcBorders/>
            <w:vAlign w:val="center"/>
          </w:tcPr>
          <w:p>
            <w:pPr>
              <w:pStyle w:val="TableContents"/>
              <w:bidi w:val="0"/>
              <w:spacing w:before="0" w:after="283"/>
              <w:jc w:val="center"/>
              <w:rPr/>
            </w:pPr>
            <w:r>
              <w:rPr/>
              <w:t>Please Print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both"/>
        <w:rPr>
          <w:caps w:val="false"/>
          <w:smallCaps w:val="false"/>
        </w:rPr>
      </w:pPr>
      <w:r>
        <w:rPr>
          <w:caps w:val="false"/>
          <w:smallCaps w:val="false"/>
        </w:rPr>
        <w:t> </w:t>
      </w:r>
    </w:p>
    <w:tbl>
      <w:tblPr>
        <w:tblW w:w="4250" w:type="dxa"/>
        <w:jc w:val="left"/>
        <w:tblInd w:w="0" w:type="dxa"/>
        <w:tblLayout w:type="fixed"/>
        <w:tblCellMar>
          <w:top w:w="0" w:type="dxa"/>
          <w:left w:w="0" w:type="dxa"/>
          <w:bottom w:w="28" w:type="dxa"/>
          <w:right w:w="0" w:type="dxa"/>
        </w:tblCellMar>
      </w:tblPr>
      <w:tblGrid>
        <w:gridCol w:w="4175"/>
        <w:gridCol w:w="75"/>
      </w:tblGrid>
      <w:tr>
        <w:trPr/>
        <w:tc>
          <w:tcPr>
            <w:tcW w:w="417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175" w:type="dxa"/>
            <w:tcBorders/>
            <w:tcMar>
              <w:bottom w:w="0" w:type="dxa"/>
            </w:tcMar>
            <w:vAlign w:val="center"/>
          </w:tcPr>
          <w:p>
            <w:pPr>
              <w:pStyle w:val="TableContents"/>
              <w:bidi w:val="0"/>
              <w:spacing w:before="0" w:after="283"/>
              <w:jc w:val="left"/>
              <w:rPr>
                <w:sz w:val="20"/>
              </w:rPr>
            </w:pPr>
            <w:r>
              <w:rPr>
                <w:sz w:val="20"/>
              </w:rPr>
              <w:t>(Insert Social Security or Other Identifying Number</w:t>
            </w:r>
          </w:p>
        </w:tc>
        <w:tc>
          <w:tcPr>
            <w:tcW w:w="75" w:type="dxa"/>
            <w:tcBorders/>
            <w:tcMar>
              <w:bottom w:w="0" w:type="dxa"/>
            </w:tcMar>
            <w:vAlign w:val="center"/>
          </w:tcPr>
          <w:p>
            <w:pPr>
              <w:pStyle w:val="TableContents"/>
              <w:bidi w:val="0"/>
              <w:spacing w:before="0" w:after="283"/>
              <w:jc w:val="left"/>
              <w:rPr/>
            </w:pPr>
            <w:r>
              <w:rPr/>
              <w:t> </w:t>
            </w:r>
          </w:p>
        </w:tc>
      </w:tr>
      <w:tr>
        <w:trPr/>
        <w:tc>
          <w:tcPr>
            <w:tcW w:w="4175" w:type="dxa"/>
            <w:tcBorders/>
            <w:tcMar>
              <w:bottom w:w="0" w:type="dxa"/>
            </w:tcMar>
            <w:vAlign w:val="center"/>
          </w:tcPr>
          <w:p>
            <w:pPr>
              <w:pStyle w:val="TableContents"/>
              <w:bidi w:val="0"/>
              <w:spacing w:before="0" w:after="283"/>
              <w:jc w:val="left"/>
              <w:rPr>
                <w:sz w:val="20"/>
              </w:rPr>
            </w:pPr>
            <w:r>
              <w:rPr>
                <w:sz w:val="20"/>
              </w:rPr>
              <w:t>of Holder)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895"/>
        <w:gridCol w:w="920"/>
        <w:gridCol w:w="75"/>
      </w:tblGrid>
      <w:tr>
        <w:trPr/>
        <w:tc>
          <w:tcPr>
            <w:tcW w:w="1895" w:type="dxa"/>
            <w:tcBorders/>
            <w:vAlign w:val="center"/>
          </w:tcPr>
          <w:p>
            <w:pPr>
              <w:pStyle w:val="TableContents"/>
              <w:bidi w:val="0"/>
              <w:spacing w:before="0" w:after="283"/>
              <w:jc w:val="both"/>
              <w:rPr>
                <w:sz w:val="20"/>
              </w:rPr>
            </w:pPr>
            <w:r>
              <w:rPr>
                <w:sz w:val="20"/>
              </w:rPr>
              <w:t>Signature Guaranteed: </w:t>
            </w:r>
          </w:p>
        </w:tc>
        <w:tc>
          <w:tcPr>
            <w:tcW w:w="92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center"/>
              <w:rPr/>
            </w:pPr>
            <w:r>
              <w:rPr/>
              <w:t>Signature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this Warrant Certificate and must bear a signature guarantee by a FINRA member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may be exercised at the following addresses: By hand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mail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as to form and delivery of Warrant Securities and, if applicable, Warrant Certificates evidencing Warrants for the number of Warrant Securities remaining unexercised—complete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to be executed if Warrant Holder desires to transfer Warrant]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For Value Received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______________ hereby sells, assigns and transfers unto:</w:t>
      </w:r>
    </w:p>
    <w:p>
      <w:pPr>
        <w:pStyle w:val="TextBody"/>
        <w:bidi w:val="0"/>
        <w:spacing w:before="0" w:after="0"/>
        <w:ind w:left="0" w:right="0" w:hanging="0"/>
        <w:jc w:val="both"/>
        <w:rPr>
          <w:caps w:val="false"/>
          <w:smallCaps w:val="false"/>
        </w:rPr>
      </w:pPr>
      <w:r>
        <w:rPr>
          <w:caps w:val="false"/>
          <w:smallCaps w:val="false"/>
        </w:rPr>
        <w:t> </w:t>
      </w:r>
    </w:p>
    <w:tbl>
      <w:tblPr>
        <w:tblW w:w="8755" w:type="dxa"/>
        <w:jc w:val="left"/>
        <w:tblInd w:w="0" w:type="dxa"/>
        <w:tblLayout w:type="fixed"/>
        <w:tblCellMar>
          <w:top w:w="0" w:type="dxa"/>
          <w:left w:w="0" w:type="dxa"/>
          <w:bottom w:w="28" w:type="dxa"/>
          <w:right w:w="0" w:type="dxa"/>
        </w:tblCellMar>
      </w:tblPr>
      <w:tblGrid>
        <w:gridCol w:w="4145"/>
        <w:gridCol w:w="60"/>
        <w:gridCol w:w="4550"/>
      </w:tblGrid>
      <w:tr>
        <w:trPr/>
        <w:tc>
          <w:tcPr>
            <w:tcW w:w="414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50" w:type="dxa"/>
            <w:tcBorders>
              <w:bottom w:val="single" w:sz="12" w:space="0" w:color="000000"/>
            </w:tcBorders>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sz w:val="20"/>
              </w:rPr>
            </w:pPr>
            <w:r>
              <w:rPr>
                <w:sz w:val="20"/>
              </w:rPr>
              <w:t>(Please print name and address including zip code)</w:t>
            </w:r>
          </w:p>
        </w:tc>
        <w:tc>
          <w:tcPr>
            <w:tcW w:w="60" w:type="dxa"/>
            <w:tcBorders/>
            <w:tcMar>
              <w:bottom w:w="0" w:type="dxa"/>
            </w:tcMar>
            <w:vAlign w:val="center"/>
          </w:tcPr>
          <w:p>
            <w:pPr>
              <w:pStyle w:val="TableContents"/>
              <w:bidi w:val="0"/>
              <w:spacing w:before="0" w:after="283"/>
              <w:jc w:val="left"/>
              <w:rPr/>
            </w:pPr>
            <w:r>
              <w:rPr/>
              <w:t> </w:t>
            </w:r>
          </w:p>
        </w:tc>
        <w:tc>
          <w:tcPr>
            <w:tcW w:w="4550" w:type="dxa"/>
            <w:tcBorders/>
            <w:tcMar>
              <w:bottom w:w="0" w:type="dxa"/>
            </w:tcMar>
            <w:vAlign w:val="center"/>
          </w:tcPr>
          <w:p>
            <w:pPr>
              <w:pStyle w:val="TableContents"/>
              <w:bidi w:val="0"/>
              <w:spacing w:before="0" w:after="283"/>
              <w:jc w:val="left"/>
              <w:rPr>
                <w:sz w:val="20"/>
              </w:rPr>
            </w:pPr>
            <w:r>
              <w:rPr>
                <w:sz w:val="20"/>
              </w:rPr>
              <w:t>Please print Social Security or other identifying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represented by the within Warrant to purchase __________ shares of [Title of Warrant Securities] of Bitdeer Technologies Group to which the within Warrant relates and appoints ____________________ attorney to transfer such right on the books of the Warrant Agent with full power of substitution in the premises.</w:t>
      </w:r>
    </w:p>
    <w:p>
      <w:pPr>
        <w:pStyle w:val="TextBody"/>
        <w:bidi w:val="0"/>
        <w:spacing w:before="0" w:after="0"/>
        <w:ind w:left="0" w:right="0" w:hanging="0"/>
        <w:jc w:val="both"/>
        <w:rPr>
          <w:caps w:val="false"/>
          <w:smallCaps w:val="false"/>
        </w:rPr>
      </w:pPr>
      <w:r>
        <w:rPr>
          <w:caps w:val="false"/>
          <w:smallCaps w:val="false"/>
        </w:rPr>
        <w:t> </w:t>
      </w:r>
    </w:p>
    <w:tbl>
      <w:tblPr>
        <w:tblW w:w="2370" w:type="dxa"/>
        <w:jc w:val="left"/>
        <w:tblInd w:w="0" w:type="dxa"/>
        <w:tblLayout w:type="fixed"/>
        <w:tblCellMar>
          <w:top w:w="0" w:type="dxa"/>
          <w:left w:w="0" w:type="dxa"/>
          <w:bottom w:w="0" w:type="dxa"/>
          <w:right w:w="0" w:type="dxa"/>
        </w:tblCellMar>
      </w:tblPr>
      <w:tblGrid>
        <w:gridCol w:w="665"/>
        <w:gridCol w:w="60"/>
        <w:gridCol w:w="60"/>
        <w:gridCol w:w="650"/>
        <w:gridCol w:w="935"/>
      </w:tblGrid>
      <w:tr>
        <w:trPr/>
        <w:tc>
          <w:tcPr>
            <w:tcW w:w="665" w:type="dxa"/>
            <w:tcBorders/>
            <w:vAlign w:val="center"/>
          </w:tcPr>
          <w:p>
            <w:pPr>
              <w:pStyle w:val="TableContents"/>
              <w:bidi w:val="0"/>
              <w:spacing w:before="0" w:after="283"/>
              <w:jc w:val="both"/>
              <w:rPr/>
            </w:pPr>
            <w:r>
              <w:rPr/>
              <w:t>Dated: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93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 </w:t>
            </w:r>
          </w:p>
        </w:tc>
        <w:tc>
          <w:tcPr>
            <w:tcW w:w="935" w:type="dxa"/>
            <w:tcBorders/>
            <w:vAlign w:val="center"/>
          </w:tcPr>
          <w:p>
            <w:pPr>
              <w:pStyle w:val="TableContents"/>
              <w:bidi w:val="0"/>
              <w:spacing w:before="0" w:after="283"/>
              <w:jc w:val="center"/>
              <w:rPr/>
            </w:pPr>
            <w:r>
              <w:rPr/>
              <w:t>Signature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the Warrant)</w:t>
      </w:r>
    </w:p>
    <w:p>
      <w:pPr>
        <w:pStyle w:val="TextBody"/>
        <w:bidi w:val="0"/>
        <w:spacing w:before="0" w:after="0"/>
        <w:ind w:left="0" w:right="0" w:hanging="0"/>
        <w:jc w:val="both"/>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1790"/>
        <w:gridCol w:w="75"/>
      </w:tblGrid>
      <w:tr>
        <w:trPr/>
        <w:tc>
          <w:tcPr>
            <w:tcW w:w="1790" w:type="dxa"/>
            <w:tcBorders/>
            <w:vAlign w:val="center"/>
          </w:tcPr>
          <w:p>
            <w:pPr>
              <w:pStyle w:val="TableContents"/>
              <w:bidi w:val="0"/>
              <w:spacing w:before="0" w:after="283"/>
              <w:jc w:val="both"/>
              <w:rPr>
                <w:sz w:val="20"/>
              </w:rPr>
            </w:pPr>
            <w:r>
              <w:rPr>
                <w:sz w:val="20"/>
              </w:rPr>
              <w:t>Signature Guaranteed</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790"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30073701ex4-7.htm"/>
      <w:bookmarkStart w:id="28" w:name="ksea030073701ex47"/>
      <w:bookmarkEnd w:id="27"/>
      <w:bookmarkEnd w:id="28"/>
      <w:r>
        <w:rPr>
          <w:rFonts w:ascii="Times New Roman;Times;Serif" w:hAnsi="Times New Roman;Times;Serif"/>
          <w:b/>
          <w:i w:val="false"/>
          <w:caps w:val="false"/>
          <w:smallCaps w:val="false"/>
          <w:sz w:val="20"/>
        </w:rPr>
        <w:t>Exhibit 4.7</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BITDEER TECHNOLOGIES GROUP</w:t>
      </w:r>
    </w:p>
    <w:p>
      <w:pPr>
        <w:pStyle w:val="TextBody"/>
        <w:bidi w:val="0"/>
        <w:spacing w:before="0" w:after="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_____________, As Warrant Agent</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Debt Securities</w:t>
        <w:br/>
        <w:t>Warrant Agreement</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Dated As Of __________</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Bitdeer Technologies Group Form of Debt Securities Warrant Agreement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Debt Securities Warrant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dated as of [●], between </w:t>
      </w:r>
      <w:r>
        <w:rPr>
          <w:rFonts w:ascii="Times New Roman;Times;Serif" w:hAnsi="Times New Roman;Times;Serif"/>
          <w:b/>
          <w:i w:val="false"/>
          <w:smallCaps/>
          <w:sz w:val="20"/>
        </w:rPr>
        <w:t>Bitdeer Technologies Group</w:t>
      </w:r>
      <w:r>
        <w:rPr>
          <w:rFonts w:ascii="Times New Roman;Times;Serif" w:hAnsi="Times New Roman;Times;Serif"/>
          <w:b w:val="false"/>
          <w:i w:val="false"/>
          <w:caps w:val="false"/>
          <w:smallCaps w:val="false"/>
          <w:sz w:val="20"/>
        </w:rPr>
        <w:t>, an exempted company with limited liability incorporated under the laws of the Cayman Islands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 a [corporation] [national banking association] organized and existing under the laws of [●] and having a corporate trust office in [●],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entered into an indenture dated as of [●]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with [●], as trustee (such trustee, and any successors to such trustee, herein called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providing for the issuance from time to time of its debt securities, to be issued in one or more series as provided in the Indenture (the “</w:t>
      </w:r>
      <w:r>
        <w:rPr>
          <w:rFonts w:ascii="Times New Roman;Times;Serif" w:hAnsi="Times New Roman;Times;Serif"/>
          <w:b/>
          <w:i/>
          <w:caps w:val="false"/>
          <w:smallCaps w:val="false"/>
          <w:sz w:val="20"/>
        </w:rPr>
        <w:t>Debt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xml:space="preserve"> the Company proposes to sell [</w:t>
      </w:r>
      <w:r>
        <w:rPr>
          <w:rFonts w:ascii="Times New Roman;Times;Serif" w:hAnsi="Times New Roman;Times;Serif"/>
          <w:b/>
          <w:i/>
          <w:caps w:val="false"/>
          <w:smallCaps w:val="false"/>
          <w:sz w:val="20"/>
        </w:rPr>
        <w:t xml:space="preserve">If Warrants are sold with other securities </w:t>
      </w:r>
      <w:r>
        <w:rPr>
          <w:rFonts w:ascii="Times New Roman;Times;Serif" w:hAnsi="Times New Roman;Times;Serif"/>
          <w:b w:val="false"/>
          <w:i w:val="false"/>
          <w:caps w:val="false"/>
          <w:smallCaps w:val="false"/>
          <w:sz w:val="20"/>
        </w:rPr>
        <w:t>—[title of such other securities being offered] (the “</w:t>
      </w:r>
      <w:r>
        <w:rPr>
          <w:rFonts w:ascii="Times New Roman;Times;Serif" w:hAnsi="Times New Roman;Times;Serif"/>
          <w:b/>
          <w:i/>
          <w:caps w:val="false"/>
          <w:smallCaps w:val="false"/>
          <w:sz w:val="20"/>
        </w:rPr>
        <w:t>Other Securities</w:t>
      </w:r>
      <w:r>
        <w:rPr>
          <w:rFonts w:ascii="Times New Roman;Times;Serif" w:hAnsi="Times New Roman;Times;Serif"/>
          <w:b w:val="false"/>
          <w:i w:val="false"/>
          <w:caps w:val="false"/>
          <w:smallCaps w:val="false"/>
          <w:sz w:val="20"/>
        </w:rPr>
        <w:t>”) with] warrant certificates evidencing one or more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or, individually, a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representing the right to purchase [title of Debt Securities purchasable through exercise of Warrants] (the “</w:t>
      </w:r>
      <w:r>
        <w:rPr>
          <w:rFonts w:ascii="Times New Roman;Times;Serif" w:hAnsi="Times New Roman;Times;Serif"/>
          <w:b/>
          <w:i/>
          <w:caps w:val="false"/>
          <w:smallCaps w:val="false"/>
          <w:sz w:val="20"/>
        </w:rPr>
        <w:t>Warrant Debt Securities</w:t>
      </w:r>
      <w:r>
        <w:rPr>
          <w:rFonts w:ascii="Times New Roman;Times;Serif" w:hAnsi="Times New Roman;Times;Serif"/>
          <w:b w:val="false"/>
          <w:i w:val="false"/>
          <w:caps w:val="false"/>
          <w:smallCaps w:val="false"/>
          <w:sz w:val="20"/>
        </w:rPr>
        <w:t>”), such warrant certificates and other warrant certificates issued pursuant to this Agreement being herein called the “</w:t>
      </w:r>
      <w:r>
        <w:rPr>
          <w:rFonts w:ascii="Times New Roman;Times;Serif" w:hAnsi="Times New Roman;Times;Serif"/>
          <w:b/>
          <w:i/>
          <w:caps w:val="false"/>
          <w:smallCaps w:val="false"/>
          <w:sz w:val="20"/>
        </w:rPr>
        <w:t>Warrant Certificates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Whereas, </w:t>
      </w:r>
      <w:r>
        <w:rPr>
          <w:rFonts w:ascii="Times New Roman;Times;Serif" w:hAnsi="Times New Roman;Times;Serif"/>
          <w:b w:val="false"/>
          <w:i w:val="false"/>
          <w:caps w:val="false"/>
          <w:smallCaps w:val="false"/>
          <w:sz w:val="20"/>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xml:space="preserve"> in consideration of the premises and of the mutual agreements herein contained, the parties hereto agree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br/>
        <w:t>ISSUANCE OF WARRANTS AND EXECUTION AND</w:t>
        <w:br/>
        <w:t>DELIVERY OF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Issuance of Warrants.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If Warrants alone</w:t>
      </w:r>
      <w:r>
        <w:rPr>
          <w:rFonts w:ascii="Times New Roman;Times;Serif" w:hAnsi="Times New Roman;Times;Serif"/>
          <w:b w:val="false"/>
          <w:i w:val="false"/>
          <w:caps w:val="false"/>
          <w:smallCaps w:val="false"/>
          <w:sz w:val="20"/>
        </w:rPr>
        <w:t xml:space="preserve"> — Upon issuance, each Warrant Certificate shall evidence one or more Warrants.]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Debt Security.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 Warrant Certificates will be issued with the Other Securities and each Warrant Certificate will evidence [●] Warrants for each [$[●] principal amount] [[●] shares] of Other Securities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Execution and Delivery of Warrant Certificates. </w:t>
      </w:r>
      <w:r>
        <w:rPr>
          <w:rFonts w:ascii="Times New Roman;Times;Serif" w:hAnsi="Times New Roman;Times;Serif"/>
          <w:b w:val="false"/>
          <w:i w:val="false"/>
          <w:caps w:val="false"/>
          <w:smallCaps w:val="false"/>
          <w:sz w:val="20"/>
        </w:rPr>
        <w:t xml:space="preserve">Each Warrant Certificate, whenever issued, shall be in registered form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holder of a Warrant Certificate</w:t>
      </w:r>
      <w:r>
        <w:rPr>
          <w:rFonts w:ascii="Times New Roman;Times;Serif" w:hAnsi="Times New Roman;Times;Serif"/>
          <w:b w:val="false"/>
          <w:i w:val="false"/>
          <w:caps w:val="false"/>
          <w:smallCaps w:val="false"/>
          <w:sz w:val="20"/>
        </w:rPr>
        <w:t>” as used herein shall mean any person in whose name at the time any Warrant Certificate shall be registered upon the books to be maintained by the Warrant Agent for that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Issuance of Warrant Certificates. </w:t>
      </w:r>
      <w:r>
        <w:rPr>
          <w:rFonts w:ascii="Times New Roman;Times;Serif" w:hAnsi="Times New Roman;Times;Serif"/>
          <w:b w:val="false"/>
          <w:i w:val="false"/>
          <w:caps w:val="false"/>
          <w:smallCaps w:val="false"/>
          <w:sz w:val="20"/>
        </w:rPr>
        <w:t>Warrant Certificates evidencing the right to purchase Warrant Debt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br/>
        <w:t>WARRANT PRICE, DURATION AND 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Warrant Price. </w:t>
      </w:r>
      <w:r>
        <w:rPr>
          <w:rFonts w:ascii="Times New Roman;Times;Serif" w:hAnsi="Times New Roman;Times;Serif"/>
          <w:b w:val="false"/>
          <w:i w:val="false"/>
          <w:caps w:val="false"/>
          <w:smallCaps w:val="false"/>
          <w:sz w:val="20"/>
        </w:rPr>
        <w:t>During the period specified in Section 2.2, each Warrant shall, subject to the terms of this Agreement and the applicable Warrant 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Times;Serif" w:hAnsi="Times New Roman;Times;Serif"/>
          <w:b/>
          <w:i/>
          <w:caps w:val="false"/>
          <w:smallCaps w:val="false"/>
          <w:sz w:val="20"/>
        </w:rPr>
        <w:t>Warrant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Duration of Warrants. </w:t>
      </w:r>
      <w:r>
        <w:rPr>
          <w:rFonts w:ascii="Times New Roman;Times;Serif" w:hAnsi="Times New Roman;Times;Serif"/>
          <w:b w:val="false"/>
          <w:i w:val="false"/>
          <w:caps w:val="false"/>
          <w:smallCaps w:val="false"/>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Each Warrant not exercised at or before [●] p.m., [City] time, on the Expiration Date shall become void, and all rights of the holder of the Warrant Certificate evidencing such Warrant under this Agreement shall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Exercise of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br/>
        <w:t>OTHER PROVISIONS RELATING TO RIGHTS OF HOLDERS OF</w:t>
        <w:br/>
        <w:t>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No Rights as Holder of Warrant Debt Securities Conferred by Warrants or Warrant Certificates. </w:t>
      </w:r>
      <w:r>
        <w:rPr>
          <w:rFonts w:ascii="Times New Roman;Times;Serif" w:hAnsi="Times New Roman;Times;Serif"/>
          <w:b w:val="false"/>
          <w:i w:val="false"/>
          <w:caps w:val="false"/>
          <w:smallCaps w:val="false"/>
          <w:sz w:val="20"/>
        </w:rPr>
        <w:t>No Warrant Certificate or Warrant 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Lost, Stolen, Mutilated or Destroyed Warrant Certificates. </w:t>
      </w:r>
      <w:r>
        <w:rPr>
          <w:rFonts w:ascii="Times New Roman;Times;Serif" w:hAnsi="Times New Roman;Times;Serif"/>
          <w:b w:val="false"/>
          <w:i w:val="false"/>
          <w:caps w:val="false"/>
          <w:smallCaps w:val="false"/>
          <w:sz w:val="20"/>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Holder of Warrant Certificate May Enforce Rights.</w:t>
      </w:r>
      <w:r>
        <w:rPr>
          <w:rFonts w:ascii="Times New Roman;Times;Serif" w:hAnsi="Times New Roman;Times;Serif"/>
          <w:b w:val="false"/>
          <w:i w:val="false"/>
          <w:caps w:val="false"/>
          <w:smallCaps w:val="false"/>
          <w:sz w:val="20"/>
        </w:rPr>
        <w:t xml:space="preserve"> Notwithstanding any of the provisions of this Agreement, any holder of a Warrant Certificate, 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Merger, Sale, Conveyance or Lease.</w:t>
      </w:r>
      <w:r>
        <w:rPr>
          <w:rFonts w:ascii="Times New Roman;Times;Serif" w:hAnsi="Times New Roman;Times;Serif"/>
          <w:b w:val="false"/>
          <w:i w:val="false"/>
          <w:caps w:val="false"/>
          <w:smallCaps w:val="false"/>
          <w:sz w:val="20"/>
        </w:rPr>
        <w:t xml:space="preserve"> In case of (a) any share exchange, merger or similar transaction of the Company with or into another 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Times;Serif" w:hAnsi="Times New Roman;Times;Serif"/>
          <w:b/>
          <w:i/>
          <w:caps w:val="false"/>
          <w:smallCaps w:val="false"/>
          <w:sz w:val="20"/>
        </w:rPr>
        <w:t>Reorganization Event</w:t>
      </w:r>
      <w:r>
        <w:rPr>
          <w:rFonts w:ascii="Times New Roman;Times;Serif" w:hAnsi="Times New Roman;Times;Serif"/>
          <w:b w:val="false"/>
          <w:i w:val="false"/>
          <w:caps w:val="false"/>
          <w:smallCaps w:val="false"/>
          <w:sz w:val="20"/>
        </w:rPr>
        <w:t>”),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3.5 Notice to Warrantholders. </w:t>
      </w:r>
      <w:r>
        <w:rPr>
          <w:rFonts w:ascii="Times New Roman;Times;Serif" w:hAnsi="Times New Roman;Times;Serif"/>
          <w:b w:val="false"/>
          <w:i w:val="false"/>
          <w:caps w:val="false"/>
          <w:smallCaps w:val="false"/>
          <w:sz w:val="20"/>
        </w:rPr>
        <w:t>In case the Company shall (a) effect any Reorganization Event or (b) make any distribution on or in respect of the [title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br/>
        <w:t>EXCHANGE AND TRANSFER OF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w:t>
      </w:r>
      <w:r>
        <w:rPr>
          <w:rFonts w:ascii="Times New Roman;Times;Serif" w:hAnsi="Times New Roman;Times;Serif"/>
          <w:b w:val="false"/>
          <w:i w:val="false"/>
          <w:caps w:val="false"/>
          <w:smallCaps w:val="false"/>
          <w:sz w:val="20"/>
        </w:rPr>
        <w:t>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Treatment of Holders of Warrant Certificates. </w:t>
      </w:r>
      <w:r>
        <w:rPr>
          <w:rFonts w:ascii="Times New Roman;Times;Serif" w:hAnsi="Times New Roman;Times;Serif"/>
          <w:b w:val="false"/>
          <w:i w:val="false"/>
          <w:caps w:val="false"/>
          <w:smallCaps w:val="false"/>
          <w:sz w:val="20"/>
        </w:rPr>
        <w:t>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Cancellation of Warrant Certificates. </w:t>
      </w:r>
      <w:r>
        <w:rPr>
          <w:rFonts w:ascii="Times New Roman;Times;Serif" w:hAnsi="Times New Roman;Times;Serif"/>
          <w:b w:val="false"/>
          <w:i w:val="false"/>
          <w:caps w:val="false"/>
          <w:smallCaps w:val="false"/>
          <w:sz w:val="20"/>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br/>
        <w:t>CONCERNING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Warrant Agent. </w:t>
      </w:r>
      <w:r>
        <w:rPr>
          <w:rFonts w:ascii="Times New Roman;Times;Serif" w:hAnsi="Times New Roman;Times;Serif"/>
          <w:b w:val="false"/>
          <w:i w:val="false"/>
          <w:caps w:val="false"/>
          <w:smallCaps w:val="false"/>
          <w:sz w:val="20"/>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Conditions of Warrant Agent’s Obligations. </w:t>
      </w:r>
      <w:r>
        <w:rPr>
          <w:rFonts w:ascii="Times New Roman;Times;Serif" w:hAnsi="Times New Roman;Times;Serif"/>
          <w:b w:val="false"/>
          <w:i w:val="false"/>
          <w:caps w:val="false"/>
          <w:smallCaps w:val="false"/>
          <w:sz w:val="20"/>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Compensation and Indemnification. </w:t>
      </w:r>
      <w:r>
        <w:rPr>
          <w:rFonts w:ascii="Times New Roman;Times;Serif" w:hAnsi="Times New Roman;Times;Serif"/>
          <w:b w:val="false"/>
          <w:i w:val="false"/>
          <w:caps w:val="false"/>
          <w:smallCaps w:val="false"/>
          <w:sz w:val="20"/>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Agent for the Company. </w:t>
      </w:r>
      <w:r>
        <w:rPr>
          <w:rFonts w:ascii="Times New Roman;Times;Serif" w:hAnsi="Times New Roman;Times;Serif"/>
          <w:b w:val="false"/>
          <w:i w:val="false"/>
          <w:caps w:val="false"/>
          <w:smallCaps w:val="false"/>
          <w:sz w:val="20"/>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Counsel. </w:t>
      </w:r>
      <w:r>
        <w:rPr>
          <w:rFonts w:ascii="Times New Roman;Times;Serif" w:hAnsi="Times New Roman;Times;Serif"/>
          <w:b w:val="false"/>
          <w:i w:val="false"/>
          <w:caps w:val="false"/>
          <w:smallCaps w:val="false"/>
          <w:sz w:val="20"/>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Documents. </w:t>
      </w:r>
      <w:r>
        <w:rPr>
          <w:rFonts w:ascii="Times New Roman;Times;Serif" w:hAnsi="Times New Roman;Times;Serif"/>
          <w:b w:val="false"/>
          <w:i w:val="false"/>
          <w:caps w:val="false"/>
          <w:smallCaps w:val="false"/>
          <w:sz w:val="20"/>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Certain Transactions. </w:t>
      </w:r>
      <w:r>
        <w:rPr>
          <w:rFonts w:ascii="Times New Roman;Times;Serif" w:hAnsi="Times New Roman;Times;Serif"/>
          <w:b w:val="false"/>
          <w:i w:val="false"/>
          <w:caps w:val="false"/>
          <w:smallCaps w:val="false"/>
          <w:sz w:val="20"/>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No Liability for Interest. </w:t>
      </w:r>
      <w:r>
        <w:rPr>
          <w:rFonts w:ascii="Times New Roman;Times;Serif" w:hAnsi="Times New Roman;Times;Serif"/>
          <w:b w:val="false"/>
          <w:i w:val="false"/>
          <w:caps w:val="false"/>
          <w:smallCaps w:val="false"/>
          <w:sz w:val="20"/>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No Liability for Invalidity. </w:t>
      </w:r>
      <w:r>
        <w:rPr>
          <w:rFonts w:ascii="Times New Roman;Times;Serif" w:hAnsi="Times New Roman;Times;Serif"/>
          <w:b w:val="false"/>
          <w:i w:val="false"/>
          <w:caps w:val="false"/>
          <w:smallCaps w:val="false"/>
          <w:sz w:val="20"/>
        </w:rPr>
        <w:t>The Warrant Agent shall have no liability with respect to any invalidity of this Agreement or any of the Warrant Certificates (except as to the Warrant Agent’s countersignature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No Responsibility for Representations. </w:t>
      </w:r>
      <w:r>
        <w:rPr>
          <w:rFonts w:ascii="Times New Roman;Times;Serif" w:hAnsi="Times New Roman;Times;Serif"/>
          <w:b w:val="false"/>
          <w:i w:val="false"/>
          <w:caps w:val="false"/>
          <w:smallCaps w:val="false"/>
          <w:sz w:val="20"/>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No Implied Obligations. </w:t>
      </w:r>
      <w:r>
        <w:rPr>
          <w:rFonts w:ascii="Times New Roman;Times;Serif" w:hAnsi="Times New Roman;Times;Serif"/>
          <w:b w:val="false"/>
          <w:i w:val="false"/>
          <w:caps w:val="false"/>
          <w:smallCaps w:val="false"/>
          <w:sz w:val="20"/>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Resignation, Removal and Appointment of Successors.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b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Amendment. </w:t>
      </w:r>
      <w:r>
        <w:rPr>
          <w:rFonts w:ascii="Times New Roman;Times;Serif" w:hAnsi="Times New Roman;Times;Serif"/>
          <w:b w:val="false"/>
          <w:i w:val="false"/>
          <w:caps w:val="false"/>
          <w:smallCaps w:val="false"/>
          <w:sz w:val="20"/>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Notices and Demands to the Company and Warrant Agent. </w:t>
      </w:r>
      <w:r>
        <w:rPr>
          <w:rFonts w:ascii="Times New Roman;Times;Serif" w:hAnsi="Times New Roman;Times;Serif"/>
          <w:b w:val="false"/>
          <w:i w:val="false"/>
          <w:caps w:val="false"/>
          <w:smallCaps w:val="false"/>
          <w:sz w:val="20"/>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Addresses. </w:t>
      </w:r>
      <w:r>
        <w:rPr>
          <w:rFonts w:ascii="Times New Roman;Times;Serif" w:hAnsi="Times New Roman;Times;Serif"/>
          <w:b w:val="false"/>
          <w:i w:val="false"/>
          <w:caps w:val="false"/>
          <w:smallCaps w:val="false"/>
          <w:sz w:val="20"/>
        </w:rPr>
        <w:t>Any communication from the Company to the Warrant Agent with respect to this Agreement shall be addressed to [●], Attention: [●] and any communication from the Warrant Agent to the Company with respect to this Agreement shall be addressed to Bitdeer Technologies Group, 08 Kallang Avenue, Aperia tower 1, #09-03/04, Singapore 339509, Attention: [●] (or such other address as shall be specified in writing by the Warrant Agent or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6.4 Governing Law. </w:t>
      </w:r>
      <w:r>
        <w:rPr>
          <w:rFonts w:ascii="Times New Roman;Times;Serif" w:hAnsi="Times New Roman;Times;Serif"/>
          <w:b w:val="false"/>
          <w:i w:val="false"/>
          <w:caps w:val="false"/>
          <w:smallCaps w:val="false"/>
          <w:sz w:val="20"/>
        </w:rPr>
        <w:t>This Agreement and each Warrant Certificate issued hereunder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6.5 Delivery of Prospectus. </w:t>
      </w:r>
      <w:r>
        <w:rPr>
          <w:rFonts w:ascii="Times New Roman;Times;Serif" w:hAnsi="Times New Roman;Times;Serif"/>
          <w:b w:val="false"/>
          <w:i w:val="false"/>
          <w:caps w:val="false"/>
          <w:smallCaps w:val="false"/>
          <w:sz w:val="20"/>
        </w:rPr>
        <w:t>The Company shall furnish to the Warrant Agent sufficient copies of a prospectus meeting the requirements of the Securities Act of 1933, as amended, relating to the Warrant Debt Securities deliverable upon exercise of the Warrants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Obtaining of Governmental Approvals. </w:t>
      </w:r>
      <w:r>
        <w:rPr>
          <w:rFonts w:ascii="Times New Roman;Times;Serif" w:hAnsi="Times New Roman;Times;Serif"/>
          <w:b w:val="false"/>
          <w:i w:val="false"/>
          <w:caps w:val="false"/>
          <w:smallCaps w:val="false"/>
          <w:sz w:val="20"/>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6.7 Persons Having Rights Under the Agreement. </w:t>
      </w:r>
      <w:r>
        <w:rPr>
          <w:rFonts w:ascii="Times New Roman;Times;Serif" w:hAnsi="Times New Roman;Times;Serif"/>
          <w:b w:val="false"/>
          <w:i w:val="false"/>
          <w:caps w:val="false"/>
          <w:smallCaps w:val="false"/>
          <w:sz w:val="20"/>
        </w:rPr>
        <w:t>Nothing in this Agreement shall give to any person other than the Company, the Warrant Agent and the holders of the Warrant Certificates any right, remedy or claim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6.8 Headings. </w:t>
      </w:r>
      <w:r>
        <w:rPr>
          <w:rFonts w:ascii="Times New Roman;Times;Serif" w:hAnsi="Times New Roman;Times;Serif"/>
          <w:b w:val="false"/>
          <w:i w:val="false"/>
          <w:caps w:val="false"/>
          <w:smallCaps w:val="false"/>
          <w:sz w:val="20"/>
        </w:rPr>
        <w:t>The descriptive headings of the several Articles and Sections of this Agreement are inserted for convenience only and shall not control or affect the meaning or construction of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6.9 Counterparts. </w:t>
      </w:r>
      <w:r>
        <w:rPr>
          <w:rFonts w:ascii="Times New Roman;Times;Serif" w:hAnsi="Times New Roman;Times;Serif"/>
          <w:b w:val="false"/>
          <w:i w:val="false"/>
          <w:caps w:val="false"/>
          <w:smallCaps w:val="false"/>
          <w:sz w:val="20"/>
        </w:rPr>
        <w:t>This Agreement may be executed in any number of counterparts, each of which as so executed shall be deemed to be an original, but such counterparts shall together constitute but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6.10 Inspection of Agreement. </w:t>
      </w:r>
      <w:r>
        <w:rPr>
          <w:rFonts w:ascii="Times New Roman;Times;Serif" w:hAnsi="Times New Roman;Times;Serif"/>
          <w:b w:val="false"/>
          <w:i w:val="false"/>
          <w:caps w:val="false"/>
          <w:smallCaps w:val="false"/>
          <w:sz w:val="20"/>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xml:space="preserve"> the parties hereto have caused this Agreement to be duly executed as of the day and year first above written.</w:t>
      </w:r>
    </w:p>
    <w:p>
      <w:pPr>
        <w:pStyle w:val="TextBody"/>
        <w:bidi w:val="0"/>
        <w:spacing w:before="0" w:after="0"/>
        <w:ind w:left="4320" w:right="0" w:hanging="0"/>
        <w:jc w:val="both"/>
        <w:rPr>
          <w:caps w:val="false"/>
          <w:smallCaps w:val="false"/>
        </w:rPr>
      </w:pPr>
      <w:r>
        <w:rPr>
          <w:caps w:val="false"/>
          <w:smallCaps w:val="false"/>
        </w:rPr>
        <w:t> </w:t>
      </w:r>
    </w:p>
    <w:tbl>
      <w:tblPr>
        <w:tblW w:w="3514" w:type="dxa"/>
        <w:jc w:val="left"/>
        <w:tblInd w:w="0" w:type="dxa"/>
        <w:tblLayout w:type="fixed"/>
        <w:tblCellMar>
          <w:top w:w="0" w:type="dxa"/>
          <w:left w:w="0" w:type="dxa"/>
          <w:bottom w:w="0" w:type="dxa"/>
          <w:right w:w="0" w:type="dxa"/>
        </w:tblCellMar>
      </w:tblPr>
      <w:tblGrid>
        <w:gridCol w:w="75"/>
        <w:gridCol w:w="1630"/>
        <w:gridCol w:w="1809"/>
      </w:tblGrid>
      <w:tr>
        <w:trPr/>
        <w:tc>
          <w:tcPr>
            <w:tcW w:w="75" w:type="dxa"/>
            <w:tcBorders/>
            <w:vAlign w:val="center"/>
          </w:tcPr>
          <w:p>
            <w:pPr>
              <w:pStyle w:val="TableContents"/>
              <w:bidi w:val="0"/>
              <w:spacing w:before="0" w:after="283"/>
              <w:jc w:val="both"/>
              <w:rPr/>
            </w:pPr>
            <w:r>
              <w:rPr/>
              <w:t> </w:t>
            </w:r>
          </w:p>
        </w:tc>
        <w:tc>
          <w:tcPr>
            <w:tcW w:w="3439" w:type="dxa"/>
            <w:gridSpan w:val="2"/>
            <w:tcBorders/>
            <w:vAlign w:val="center"/>
          </w:tcPr>
          <w:p>
            <w:pPr>
              <w:pStyle w:val="TableContents"/>
              <w:bidi w:val="0"/>
              <w:spacing w:before="0" w:after="283"/>
              <w:jc w:val="both"/>
              <w:rPr>
                <w:sz w:val="20"/>
              </w:rPr>
            </w:pPr>
            <w:r>
              <w:rPr>
                <w:sz w:val="20"/>
              </w:rPr>
              <w:t>Bitdeer Technologies Group, as Company</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By:</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Name:</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Title:</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mallCaps/>
              </w:rPr>
            </w:pPr>
            <w:r>
              <w:rPr>
                <w:smallCaps/>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b/>
                <w:smallCaps/>
                <w:sz w:val="20"/>
              </w:rPr>
              <w:t>Attest</w:t>
            </w:r>
            <w:r>
              <w:rPr>
                <w:b/>
                <w:sz w:val="20"/>
              </w:rPr>
              <w:t>: </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t> </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mallCaps/>
              </w:rPr>
            </w:pPr>
            <w:r>
              <w:rPr>
                <w:smallCaps/>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439" w:type="dxa"/>
            <w:gridSpan w:val="2"/>
            <w:tcBorders/>
            <w:vAlign w:val="center"/>
          </w:tcPr>
          <w:p>
            <w:pPr>
              <w:pStyle w:val="TableContents"/>
              <w:bidi w:val="0"/>
              <w:spacing w:before="0" w:after="283"/>
              <w:jc w:val="both"/>
              <w:rPr>
                <w:b/>
                <w:smallCaps/>
                <w:sz w:val="20"/>
              </w:rPr>
            </w:pPr>
            <w:r>
              <w:rPr>
                <w:b/>
                <w:smallCaps/>
                <w:sz w:val="20"/>
              </w:rPr>
              <w:t>Countersigned</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mallCaps/>
              </w:rPr>
            </w:pPr>
            <w:r>
              <w:rPr>
                <w:smallCaps/>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439" w:type="dxa"/>
            <w:gridSpan w:val="2"/>
            <w:tcBorders/>
            <w:vAlign w:val="center"/>
          </w:tcPr>
          <w:p>
            <w:pPr>
              <w:pStyle w:val="TableContents"/>
              <w:bidi w:val="0"/>
              <w:spacing w:before="0" w:after="283"/>
              <w:jc w:val="both"/>
              <w:rPr/>
            </w:pPr>
            <w:r>
              <w:rPr>
                <w:b/>
                <w:smallCaps/>
                <w:sz w:val="20"/>
              </w:rPr>
              <w:t>[●]</w:t>
            </w:r>
            <w:r>
              <w:rPr>
                <w:sz w:val="20"/>
              </w:rPr>
              <w:t>, as Warrant Agent</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By:</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Name:</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z w:val="20"/>
              </w:rPr>
            </w:pPr>
            <w:r>
              <w:rPr>
                <w:sz w:val="20"/>
              </w:rPr>
              <w:t>Title:</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smallCaps/>
              </w:rPr>
            </w:pPr>
            <w:r>
              <w:rPr>
                <w:smallCaps/>
              </w:rPr>
              <w:t> </w:t>
            </w:r>
          </w:p>
        </w:tc>
        <w:tc>
          <w:tcPr>
            <w:tcW w:w="18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b/>
                <w:smallCaps/>
                <w:sz w:val="20"/>
              </w:rPr>
              <w:t>Attest</w:t>
            </w:r>
            <w:r>
              <w:rPr>
                <w:b/>
                <w:sz w:val="20"/>
              </w:rPr>
              <w:t>:</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30" w:type="dxa"/>
            <w:tcBorders/>
            <w:vAlign w:val="center"/>
          </w:tcPr>
          <w:p>
            <w:pPr>
              <w:pStyle w:val="TableContents"/>
              <w:bidi w:val="0"/>
              <w:spacing w:before="0" w:after="283"/>
              <w:jc w:val="both"/>
              <w:rPr/>
            </w:pPr>
            <w:r>
              <w:rPr/>
              <w:t> </w:t>
            </w:r>
          </w:p>
        </w:tc>
        <w:tc>
          <w:tcPr>
            <w:tcW w:w="1809" w:type="dxa"/>
            <w:tcBorders>
              <w:bottom w:val="single" w:sz="12"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Bitdeer Technologies Group Debt Securities Warrant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CERTIFICATE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[FACE OF WARRANT CERTIFICATE]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13"/>
        <w:gridCol w:w="5692"/>
      </w:tblGrid>
      <w:tr>
        <w:trPr/>
        <w:tc>
          <w:tcPr>
            <w:tcW w:w="4513" w:type="dxa"/>
            <w:tcBorders/>
            <w:vAlign w:val="center"/>
          </w:tcPr>
          <w:p>
            <w:pPr>
              <w:pStyle w:val="TableContents"/>
              <w:bidi w:val="0"/>
              <w:spacing w:before="0" w:after="283"/>
              <w:jc w:val="left"/>
              <w:rPr>
                <w:sz w:val="20"/>
              </w:rPr>
            </w:pPr>
            <w:r>
              <w:rPr>
                <w:sz w:val="20"/>
              </w:rPr>
              <w:t>[</w:t>
            </w:r>
            <w:r>
              <w:rPr>
                <w:b/>
                <w:i/>
                <w:sz w:val="20"/>
              </w:rPr>
              <w:t>Form of Legend if Warrants are not immediately exercisable.</w:t>
            </w:r>
            <w:r>
              <w:rPr>
                <w:sz w:val="20"/>
              </w:rPr>
              <w:t>]</w:t>
            </w:r>
          </w:p>
        </w:tc>
        <w:tc>
          <w:tcPr>
            <w:tcW w:w="5692" w:type="dxa"/>
            <w:tcBorders/>
            <w:vAlign w:val="center"/>
          </w:tcPr>
          <w:p>
            <w:pPr>
              <w:pStyle w:val="TableContents"/>
              <w:bidi w:val="0"/>
              <w:spacing w:before="0" w:after="283"/>
              <w:jc w:val="left"/>
              <w:rPr>
                <w:sz w:val="20"/>
              </w:rPr>
            </w:pPr>
            <w:r>
              <w:rPr>
                <w:sz w:val="20"/>
              </w:rPr>
              <w:t>[Prior to [●], Warrants evidenced by this Warrant Certificate cannot be exercised.]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ONLY IF COUNTERSIGNED BY THE WARRANT AGENT AS PROVIDED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VOID AFTER [●] P.M., [City] time, 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br/>
      </w:r>
      <w:r>
        <w:rPr>
          <w:rFonts w:ascii="Times New Roman;Times;Serif" w:hAnsi="Times New Roman;Times;Serif"/>
          <w:b/>
          <w:i w:val="false"/>
          <w:caps w:val="false"/>
          <w:smallCaps w:val="false"/>
          <w:sz w:val="20"/>
        </w:rPr>
        <w:t>WARRANT CERTIFICATE REPRESENTING</w:t>
        <w:br/>
        <w:t>WARRANTS TO PURCHASE</w:t>
        <w:br/>
        <w:t>[TITLE OF WARRANT DEBT SECURITIES]</w:t>
      </w:r>
    </w:p>
    <w:p>
      <w:pPr>
        <w:pStyle w:val="TextBody"/>
        <w:bidi w:val="0"/>
        <w:spacing w:before="0" w:after="0"/>
        <w:ind w:left="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5"/>
        <w:gridCol w:w="1085"/>
      </w:tblGrid>
      <w:tr>
        <w:trPr/>
        <w:tc>
          <w:tcPr>
            <w:tcW w:w="605" w:type="dxa"/>
            <w:tcBorders/>
            <w:vAlign w:val="center"/>
          </w:tcPr>
          <w:p>
            <w:pPr>
              <w:pStyle w:val="TableContents"/>
              <w:bidi w:val="0"/>
              <w:spacing w:before="0" w:after="283"/>
              <w:jc w:val="both"/>
              <w:rPr>
                <w:sz w:val="20"/>
              </w:rPr>
            </w:pPr>
            <w:r>
              <w:rPr>
                <w:sz w:val="20"/>
              </w:rPr>
              <w:t>No. [●]</w:t>
            </w:r>
          </w:p>
        </w:tc>
        <w:tc>
          <w:tcPr>
            <w:tcW w:w="1085" w:type="dxa"/>
            <w:tcBorders/>
            <w:vAlign w:val="center"/>
          </w:tcPr>
          <w:p>
            <w:pPr>
              <w:pStyle w:val="TableContents"/>
              <w:bidi w:val="0"/>
              <w:spacing w:before="0" w:after="283"/>
              <w:jc w:val="right"/>
              <w:rPr>
                <w:sz w:val="20"/>
              </w:rPr>
            </w:pPr>
            <w:r>
              <w:rPr>
                <w:sz w:val="20"/>
              </w:rPr>
              <w:t xml:space="preserve">[●] Warrants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Times;Serif" w:hAnsi="Times New Roman;Times;Serif"/>
          <w:b/>
          <w:i/>
          <w:caps w:val="false"/>
          <w:smallCaps w:val="false"/>
          <w:sz w:val="20"/>
        </w:rPr>
        <w:t>Warrant Debt Securities</w:t>
      </w:r>
      <w:r>
        <w:rPr>
          <w:rFonts w:ascii="Times New Roman;Times;Serif" w:hAnsi="Times New Roman;Times;Serif"/>
          <w:b w:val="false"/>
          <w:i w:val="false"/>
          <w:caps w:val="false"/>
          <w:smallCaps w:val="false"/>
          <w:sz w:val="20"/>
        </w:rPr>
        <w:t>”), of Bitdeer Technologies Group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 which is, on the date hereof, at the address specified on the reverse hereof, and upon compliance with and subject to the conditions set forth herein and in the Warrant Agreement (as hereinafter defined).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is issued under and in accordance with the Warrant Agreement dated as of [●] (the “</w:t>
      </w:r>
      <w:r>
        <w:rPr>
          <w:rFonts w:ascii="Times New Roman;Times;Serif" w:hAnsi="Times New Roman;Times;Serif"/>
          <w:b/>
          <w:i/>
          <w:caps w:val="false"/>
          <w:smallCaps w:val="false"/>
          <w:sz w:val="20"/>
        </w:rPr>
        <w:t>Warrant Agreement</w:t>
      </w:r>
      <w:r>
        <w:rPr>
          <w:rFonts w:ascii="Times New Roman;Times;Serif" w:hAnsi="Times New Roman;Times;Serif"/>
          <w:b w:val="false"/>
          <w:i w:val="false"/>
          <w:caps w:val="false"/>
          <w:smallCaps w:val="false"/>
          <w:sz w:val="20"/>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Debt Securities to be issued and delivered upon the exercise of Warrants evidenced by this Warrant Certificate will be issued under and in accordance with an Indenture, dated as of [●]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between the Company and [●], as trustee (such trustee, and any successors to such trustee,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and will be subject to the terms and provisions contained in the Warrant Debt Securities and in the Indenture. Copies of the Indenture, including the form of the Warrant Debt Securities, are on file at the corporate trust office of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Warrant Certificate set forth on the reverse hereof, which further provisions shall for all purposes have the same effect as if set forth at this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be valid or obligatory for any purpose until countersigned by the Warrant Agent.</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Company has caused this Warrant to be executed in its name and on its behalf by the facsimile signatures of its duly authorized officers.</w:t>
      </w:r>
    </w:p>
    <w:p>
      <w:pPr>
        <w:pStyle w:val="TextBody"/>
        <w:bidi w:val="0"/>
        <w:spacing w:before="0" w:after="0"/>
        <w:ind w:left="0" w:right="0" w:hanging="0"/>
        <w:jc w:val="both"/>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575"/>
        <w:gridCol w:w="60"/>
        <w:gridCol w:w="75"/>
      </w:tblGrid>
      <w:tr>
        <w:trPr/>
        <w:tc>
          <w:tcPr>
            <w:tcW w:w="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xml:space="preserve">  </w:t>
      </w:r>
    </w:p>
    <w:tbl>
      <w:tblPr>
        <w:tblW w:w="3604" w:type="dxa"/>
        <w:jc w:val="left"/>
        <w:tblInd w:w="0" w:type="dxa"/>
        <w:tblLayout w:type="fixed"/>
        <w:tblCellMar>
          <w:top w:w="0" w:type="dxa"/>
          <w:left w:w="0" w:type="dxa"/>
          <w:bottom w:w="0" w:type="dxa"/>
          <w:right w:w="0" w:type="dxa"/>
        </w:tblCellMar>
      </w:tblPr>
      <w:tblGrid>
        <w:gridCol w:w="1845"/>
        <w:gridCol w:w="1684"/>
        <w:gridCol w:w="75"/>
      </w:tblGrid>
      <w:tr>
        <w:trPr/>
        <w:tc>
          <w:tcPr>
            <w:tcW w:w="352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Bitdeer Technologies Group</w:t>
            </w:r>
            <w:r>
              <w:rPr>
                <w:rFonts w:ascii="Times New Roman;Times;Serif" w:hAnsi="Times New Roman;Times;Serif"/>
                <w:sz w:val="20"/>
              </w:rPr>
              <w:t>, as Company</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pPr>
            <w:r>
              <w:rPr/>
              <w:t> </w:t>
            </w:r>
          </w:p>
        </w:tc>
        <w:tc>
          <w:tcPr>
            <w:tcW w:w="168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smallCaps/>
              </w:rPr>
            </w:pPr>
            <w:r>
              <w:rPr>
                <w:smallCaps/>
              </w:rPr>
              <w:t> </w:t>
            </w:r>
          </w:p>
        </w:tc>
        <w:tc>
          <w:tcPr>
            <w:tcW w:w="168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ATTEST:</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pPr>
            <w:r>
              <w:rPr/>
              <w:t> </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smallCaps/>
              </w:rPr>
            </w:pPr>
            <w:r>
              <w:rPr>
                <w:smallCaps/>
              </w:rPr>
              <w:t> </w:t>
            </w:r>
          </w:p>
        </w:tc>
        <w:tc>
          <w:tcPr>
            <w:tcW w:w="168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529"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COUNTERSIGNED</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smallCaps/>
              </w:rPr>
            </w:pPr>
            <w:r>
              <w:rPr>
                <w:smallCaps/>
              </w:rPr>
              <w:t> </w:t>
            </w:r>
          </w:p>
        </w:tc>
        <w:tc>
          <w:tcPr>
            <w:tcW w:w="168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529" w:type="dxa"/>
            <w:gridSpan w:val="2"/>
            <w:tcBorders/>
            <w:vAlign w:val="center"/>
          </w:tcPr>
          <w:p>
            <w:pPr>
              <w:pStyle w:val="TableContents"/>
              <w:bidi w:val="0"/>
              <w:spacing w:before="0" w:after="283"/>
              <w:jc w:val="both"/>
              <w:rPr/>
            </w:pPr>
            <w:r>
              <w:rPr>
                <w:rFonts w:ascii="Times New Roman;Times;Serif" w:hAnsi="Times New Roman;Times;Serif"/>
                <w:b/>
                <w:smallCaps/>
                <w:sz w:val="20"/>
              </w:rPr>
              <w:t>[●]</w:t>
            </w:r>
            <w:r>
              <w:rPr>
                <w:rFonts w:ascii="Times New Roman;Times;Serif" w:hAnsi="Times New Roman;Times;Serif"/>
                <w:sz w:val="20"/>
              </w:rPr>
              <w:t>, as Warrant Agent</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pPr>
            <w:r>
              <w:rPr/>
              <w:t> </w:t>
            </w:r>
          </w:p>
        </w:tc>
        <w:tc>
          <w:tcPr>
            <w:tcW w:w="168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smallCaps/>
              </w:rPr>
            </w:pPr>
            <w:r>
              <w:rPr>
                <w:smallCaps/>
              </w:rPr>
              <w:t> </w:t>
            </w:r>
          </w:p>
        </w:tc>
        <w:tc>
          <w:tcPr>
            <w:tcW w:w="168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ATTEST: </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both"/>
              <w:rPr/>
            </w:pPr>
            <w:r>
              <w:rPr/>
              <w:t> </w:t>
            </w:r>
          </w:p>
        </w:tc>
        <w:tc>
          <w:tcPr>
            <w:tcW w:w="1684"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WARRANT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for Exercise of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upon 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exercise ______ Warrants, evidenced by this Warrant Certificate, to purchase _______ $[●] principal amount of the [TITLE OF WARRANT DEBT SECURITIES] (the “</w:t>
      </w:r>
      <w:r>
        <w:rPr>
          <w:rFonts w:ascii="Times New Roman;Times;Serif" w:hAnsi="Times New Roman;Times;Serif"/>
          <w:b/>
          <w:i/>
          <w:caps w:val="false"/>
          <w:smallCaps w:val="false"/>
          <w:sz w:val="20"/>
        </w:rPr>
        <w:t>Warrant Debt Securities</w:t>
      </w:r>
      <w:r>
        <w:rPr>
          <w:rFonts w:ascii="Times New Roman;Times;Serif" w:hAnsi="Times New Roman;Times;Serif"/>
          <w:b w:val="false"/>
          <w:i w:val="false"/>
          <w:caps w:val="false"/>
          <w:smallCaps w:val="false"/>
          <w:sz w:val="20"/>
        </w:rPr>
        <w:t>”), of Bitdeer Technologies Group.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Bitdeer Technologies Group, c/o [insert name and address of Warrant Agent], in the amount of $_________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pStyle w:val="TextBody"/>
        <w:bidi w:val="0"/>
        <w:spacing w:before="0" w:after="0"/>
        <w:ind w:left="0" w:right="0" w:hanging="0"/>
        <w:jc w:val="both"/>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665"/>
        <w:gridCol w:w="60"/>
        <w:gridCol w:w="60"/>
        <w:gridCol w:w="650"/>
        <w:gridCol w:w="1145"/>
      </w:tblGrid>
      <w:tr>
        <w:trPr/>
        <w:tc>
          <w:tcPr>
            <w:tcW w:w="665" w:type="dxa"/>
            <w:tcBorders/>
            <w:vAlign w:val="center"/>
          </w:tcPr>
          <w:p>
            <w:pPr>
              <w:pStyle w:val="TableContents"/>
              <w:bidi w:val="0"/>
              <w:spacing w:before="0" w:after="283"/>
              <w:jc w:val="both"/>
              <w:rPr/>
            </w:pPr>
            <w:r>
              <w:rPr/>
              <w:t>Dated: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114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 </w:t>
            </w:r>
          </w:p>
        </w:tc>
        <w:tc>
          <w:tcPr>
            <w:tcW w:w="1145" w:type="dxa"/>
            <w:tcBorders/>
            <w:vAlign w:val="center"/>
          </w:tcPr>
          <w:p>
            <w:pPr>
              <w:pStyle w:val="TableContents"/>
              <w:bidi w:val="0"/>
              <w:spacing w:before="0" w:after="283"/>
              <w:jc w:val="center"/>
              <w:rPr/>
            </w:pPr>
            <w:r>
              <w:rPr/>
              <w:t>Please Print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both"/>
        <w:rPr>
          <w:caps w:val="false"/>
          <w:smallCaps w:val="false"/>
        </w:rPr>
      </w:pPr>
      <w:r>
        <w:rPr>
          <w:caps w:val="false"/>
          <w:smallCaps w:val="false"/>
        </w:rPr>
        <w:t> </w:t>
      </w:r>
    </w:p>
    <w:tbl>
      <w:tblPr>
        <w:tblW w:w="4250" w:type="dxa"/>
        <w:jc w:val="left"/>
        <w:tblInd w:w="0" w:type="dxa"/>
        <w:tblLayout w:type="fixed"/>
        <w:tblCellMar>
          <w:top w:w="0" w:type="dxa"/>
          <w:left w:w="0" w:type="dxa"/>
          <w:bottom w:w="28" w:type="dxa"/>
          <w:right w:w="0" w:type="dxa"/>
        </w:tblCellMar>
      </w:tblPr>
      <w:tblGrid>
        <w:gridCol w:w="4175"/>
        <w:gridCol w:w="75"/>
      </w:tblGrid>
      <w:tr>
        <w:trPr/>
        <w:tc>
          <w:tcPr>
            <w:tcW w:w="417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175" w:type="dxa"/>
            <w:tcBorders/>
            <w:tcMar>
              <w:bottom w:w="0" w:type="dxa"/>
            </w:tcMar>
            <w:vAlign w:val="center"/>
          </w:tcPr>
          <w:p>
            <w:pPr>
              <w:pStyle w:val="TableContents"/>
              <w:bidi w:val="0"/>
              <w:spacing w:before="0" w:after="283"/>
              <w:jc w:val="left"/>
              <w:rPr>
                <w:sz w:val="20"/>
              </w:rPr>
            </w:pPr>
            <w:r>
              <w:rPr>
                <w:sz w:val="20"/>
              </w:rPr>
              <w:t>(Insert Social Security or Other Identifying Number</w:t>
            </w:r>
          </w:p>
        </w:tc>
        <w:tc>
          <w:tcPr>
            <w:tcW w:w="75" w:type="dxa"/>
            <w:tcBorders/>
            <w:tcMar>
              <w:bottom w:w="0" w:type="dxa"/>
            </w:tcMar>
            <w:vAlign w:val="center"/>
          </w:tcPr>
          <w:p>
            <w:pPr>
              <w:pStyle w:val="TableContents"/>
              <w:bidi w:val="0"/>
              <w:spacing w:before="0" w:after="283"/>
              <w:jc w:val="left"/>
              <w:rPr/>
            </w:pPr>
            <w:r>
              <w:rPr/>
              <w:t> </w:t>
            </w:r>
          </w:p>
        </w:tc>
      </w:tr>
      <w:tr>
        <w:trPr/>
        <w:tc>
          <w:tcPr>
            <w:tcW w:w="4175" w:type="dxa"/>
            <w:tcBorders/>
            <w:tcMar>
              <w:bottom w:w="0" w:type="dxa"/>
            </w:tcMar>
            <w:vAlign w:val="center"/>
          </w:tcPr>
          <w:p>
            <w:pPr>
              <w:pStyle w:val="TableContents"/>
              <w:bidi w:val="0"/>
              <w:spacing w:before="0" w:after="283"/>
              <w:jc w:val="left"/>
              <w:rPr>
                <w:sz w:val="20"/>
              </w:rPr>
            </w:pPr>
            <w:r>
              <w:rPr>
                <w:sz w:val="20"/>
              </w:rPr>
              <w:t>of Holder)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895"/>
        <w:gridCol w:w="920"/>
        <w:gridCol w:w="75"/>
      </w:tblGrid>
      <w:tr>
        <w:trPr/>
        <w:tc>
          <w:tcPr>
            <w:tcW w:w="1895" w:type="dxa"/>
            <w:tcBorders/>
            <w:vAlign w:val="center"/>
          </w:tcPr>
          <w:p>
            <w:pPr>
              <w:pStyle w:val="TableContents"/>
              <w:bidi w:val="0"/>
              <w:spacing w:before="0" w:after="283"/>
              <w:jc w:val="both"/>
              <w:rPr>
                <w:sz w:val="20"/>
              </w:rPr>
            </w:pPr>
            <w:r>
              <w:rPr>
                <w:sz w:val="20"/>
              </w:rPr>
              <w:t>Signature Guaranteed: </w:t>
            </w:r>
          </w:p>
        </w:tc>
        <w:tc>
          <w:tcPr>
            <w:tcW w:w="92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center"/>
              <w:rPr/>
            </w:pPr>
            <w:r>
              <w:rPr/>
              <w:t>Signature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this Warrant Certificate and must bear a signature guarantee by a FINRA member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may be exercised at the following addresses: By hand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mail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as to form and delivery of Warrant Debt Securities and, if applicable, Warrant Certificates evidencing Warrants for the number of Warrant Debt Securities remaining unexercised—complete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to be executed if Warrant Holder desires to transfer Warrant]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For Value Received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______________ hereby sells, assigns and transfers unto:</w:t>
      </w:r>
    </w:p>
    <w:p>
      <w:pPr>
        <w:pStyle w:val="TextBody"/>
        <w:bidi w:val="0"/>
        <w:spacing w:before="0" w:after="0"/>
        <w:ind w:left="0" w:right="0" w:hanging="0"/>
        <w:jc w:val="both"/>
        <w:rPr>
          <w:caps w:val="false"/>
          <w:smallCaps w:val="false"/>
        </w:rPr>
      </w:pPr>
      <w:r>
        <w:rPr>
          <w:caps w:val="false"/>
          <w:smallCaps w:val="false"/>
        </w:rPr>
        <w:t> </w:t>
      </w:r>
    </w:p>
    <w:tbl>
      <w:tblPr>
        <w:tblW w:w="8755" w:type="dxa"/>
        <w:jc w:val="left"/>
        <w:tblInd w:w="0" w:type="dxa"/>
        <w:tblLayout w:type="fixed"/>
        <w:tblCellMar>
          <w:top w:w="0" w:type="dxa"/>
          <w:left w:w="0" w:type="dxa"/>
          <w:bottom w:w="28" w:type="dxa"/>
          <w:right w:w="0" w:type="dxa"/>
        </w:tblCellMar>
      </w:tblPr>
      <w:tblGrid>
        <w:gridCol w:w="4145"/>
        <w:gridCol w:w="60"/>
        <w:gridCol w:w="4550"/>
      </w:tblGrid>
      <w:tr>
        <w:trPr/>
        <w:tc>
          <w:tcPr>
            <w:tcW w:w="414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50" w:type="dxa"/>
            <w:tcBorders>
              <w:bottom w:val="single" w:sz="12" w:space="0" w:color="000000"/>
            </w:tcBorders>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sz w:val="20"/>
              </w:rPr>
            </w:pPr>
            <w:r>
              <w:rPr>
                <w:sz w:val="20"/>
              </w:rPr>
              <w:t>(Please print name and address including zip code)</w:t>
            </w:r>
          </w:p>
        </w:tc>
        <w:tc>
          <w:tcPr>
            <w:tcW w:w="60" w:type="dxa"/>
            <w:tcBorders/>
            <w:tcMar>
              <w:bottom w:w="0" w:type="dxa"/>
            </w:tcMar>
            <w:vAlign w:val="center"/>
          </w:tcPr>
          <w:p>
            <w:pPr>
              <w:pStyle w:val="TableContents"/>
              <w:bidi w:val="0"/>
              <w:spacing w:before="0" w:after="283"/>
              <w:jc w:val="left"/>
              <w:rPr/>
            </w:pPr>
            <w:r>
              <w:rPr/>
              <w:t> </w:t>
            </w:r>
          </w:p>
        </w:tc>
        <w:tc>
          <w:tcPr>
            <w:tcW w:w="4550" w:type="dxa"/>
            <w:tcBorders/>
            <w:tcMar>
              <w:bottom w:w="0" w:type="dxa"/>
            </w:tcMar>
            <w:vAlign w:val="center"/>
          </w:tcPr>
          <w:p>
            <w:pPr>
              <w:pStyle w:val="TableContents"/>
              <w:bidi w:val="0"/>
              <w:spacing w:before="0" w:after="283"/>
              <w:jc w:val="left"/>
              <w:rPr>
                <w:sz w:val="20"/>
              </w:rPr>
            </w:pPr>
            <w:r>
              <w:rPr>
                <w:sz w:val="20"/>
              </w:rPr>
              <w:t>Please print Social Security or other identifying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represented by the within Warrant to purchase ________ aggregate principal amount of [Title of Warrant Debt Securities] of Bitdeer Technologies Group to which the within Warrant relates and appoints ____________________ attorney to transfer such right on the books of the Warrant Agent with full power of substitution in the premises.</w:t>
      </w:r>
    </w:p>
    <w:p>
      <w:pPr>
        <w:pStyle w:val="TextBody"/>
        <w:bidi w:val="0"/>
        <w:spacing w:before="0" w:after="0"/>
        <w:ind w:left="0" w:right="0" w:hanging="0"/>
        <w:jc w:val="both"/>
        <w:rPr>
          <w:caps w:val="false"/>
          <w:smallCaps w:val="false"/>
        </w:rPr>
      </w:pPr>
      <w:r>
        <w:rPr>
          <w:caps w:val="false"/>
          <w:smallCaps w:val="false"/>
        </w:rPr>
        <w:t> </w:t>
      </w:r>
    </w:p>
    <w:tbl>
      <w:tblPr>
        <w:tblW w:w="2370" w:type="dxa"/>
        <w:jc w:val="left"/>
        <w:tblInd w:w="0" w:type="dxa"/>
        <w:tblLayout w:type="fixed"/>
        <w:tblCellMar>
          <w:top w:w="0" w:type="dxa"/>
          <w:left w:w="0" w:type="dxa"/>
          <w:bottom w:w="0" w:type="dxa"/>
          <w:right w:w="0" w:type="dxa"/>
        </w:tblCellMar>
      </w:tblPr>
      <w:tblGrid>
        <w:gridCol w:w="665"/>
        <w:gridCol w:w="60"/>
        <w:gridCol w:w="60"/>
        <w:gridCol w:w="650"/>
        <w:gridCol w:w="935"/>
      </w:tblGrid>
      <w:tr>
        <w:trPr/>
        <w:tc>
          <w:tcPr>
            <w:tcW w:w="665" w:type="dxa"/>
            <w:tcBorders/>
            <w:vAlign w:val="center"/>
          </w:tcPr>
          <w:p>
            <w:pPr>
              <w:pStyle w:val="TableContents"/>
              <w:bidi w:val="0"/>
              <w:spacing w:before="0" w:after="283"/>
              <w:jc w:val="both"/>
              <w:rPr/>
            </w:pPr>
            <w:r>
              <w:rPr/>
              <w:t>Dated: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93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 </w:t>
            </w:r>
          </w:p>
        </w:tc>
        <w:tc>
          <w:tcPr>
            <w:tcW w:w="935" w:type="dxa"/>
            <w:tcBorders/>
            <w:vAlign w:val="center"/>
          </w:tcPr>
          <w:p>
            <w:pPr>
              <w:pStyle w:val="TableContents"/>
              <w:bidi w:val="0"/>
              <w:spacing w:before="0" w:after="283"/>
              <w:jc w:val="center"/>
              <w:rPr/>
            </w:pPr>
            <w:r>
              <w:rPr/>
              <w:t>Signature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the Warrant)</w:t>
      </w:r>
    </w:p>
    <w:p>
      <w:pPr>
        <w:pStyle w:val="TextBody"/>
        <w:bidi w:val="0"/>
        <w:spacing w:before="0" w:after="0"/>
        <w:ind w:left="0" w:right="0" w:hanging="0"/>
        <w:jc w:val="both"/>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1790"/>
        <w:gridCol w:w="75"/>
      </w:tblGrid>
      <w:tr>
        <w:trPr/>
        <w:tc>
          <w:tcPr>
            <w:tcW w:w="1790" w:type="dxa"/>
            <w:tcBorders/>
            <w:vAlign w:val="center"/>
          </w:tcPr>
          <w:p>
            <w:pPr>
              <w:pStyle w:val="TableContents"/>
              <w:bidi w:val="0"/>
              <w:spacing w:before="0" w:after="283"/>
              <w:jc w:val="both"/>
              <w:rPr>
                <w:sz w:val="20"/>
              </w:rPr>
            </w:pPr>
            <w:r>
              <w:rPr>
                <w:sz w:val="20"/>
              </w:rPr>
              <w:t>Signature Guaranteed</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790"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30073701ex5-1.htm"/>
      <w:bookmarkStart w:id="30" w:name="ksea030073701ex51"/>
      <w:bookmarkEnd w:id="29"/>
      <w:bookmarkEnd w:id="30"/>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120775" cy="4660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1120775" cy="46609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2345"/>
        <w:gridCol w:w="3110"/>
      </w:tblGrid>
      <w:tr>
        <w:trPr/>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Bitdeer Technologies Group</w:t>
            </w:r>
          </w:p>
        </w:tc>
        <w:tc>
          <w:tcPr>
            <w:tcW w:w="31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  +852 3656 6054 / +852 3656 6073</w:t>
            </w:r>
          </w:p>
        </w:tc>
      </w:tr>
      <w:tr>
        <w:trPr/>
        <w:tc>
          <w:tcPr>
            <w:tcW w:w="234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nathan.powell@ogier.com</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rachel.huang@ogier.com</w:t>
            </w:r>
          </w:p>
        </w:tc>
      </w:tr>
      <w:tr>
        <w:trPr/>
        <w:tc>
          <w:tcPr>
            <w:tcW w:w="234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 NMP/RYH/181962.00002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been requested to provide you with an opinion on matters of Cayman Islands law in connection with the Company’s automatic registration statement on Form F-3, including all amendments or supplements thereto,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as amended, (including its exhibits,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relating to the registration of the following securities to be offered, issued or sold by the Company or any selling securityholders named therein from time to time (together,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98"/>
        <w:gridCol w:w="9858"/>
      </w:tblGrid>
      <w:tr>
        <w:trPr/>
        <w:tc>
          <w:tcPr>
            <w:tcW w:w="4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ordinary shares of a par value of US$0.0000001 each of the Company (the </w:t>
            </w:r>
            <w:r>
              <w:rPr>
                <w:rFonts w:ascii="Times New Roman;Times;Serif" w:hAnsi="Times New Roman;Times;Serif"/>
                <w:b/>
                <w:sz w:val="20"/>
              </w:rPr>
              <w:t>Ordinary Shares</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preferred shares of a par value of US$0.0000001 each in the capital of the Company (the </w:t>
            </w:r>
            <w:r>
              <w:rPr>
                <w:rFonts w:ascii="Times New Roman;Times;Serif" w:hAnsi="Times New Roman;Times;Serif"/>
                <w:b/>
                <w:sz w:val="20"/>
              </w:rPr>
              <w:t>Preferred Shares</w:t>
            </w:r>
            <w:r>
              <w:rPr>
                <w:rFonts w:ascii="Times New Roman;Times;Serif" w:hAnsi="Times New Roman;Times;Serif"/>
                <w:sz w:val="20"/>
              </w:rPr>
              <w:t xml:space="preserve">, and together with the Ordinary Shares, the </w:t>
            </w:r>
            <w:r>
              <w:rPr>
                <w:rFonts w:ascii="Times New Roman;Times;Serif" w:hAnsi="Times New Roman;Times;Serif"/>
                <w:b/>
                <w:sz w:val="20"/>
              </w:rPr>
              <w:t>Equity Securities</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debt securities (the </w:t>
            </w:r>
            <w:r>
              <w:rPr>
                <w:rFonts w:ascii="Times New Roman;Times;Serif" w:hAnsi="Times New Roman;Times;Serif"/>
                <w:b/>
                <w:sz w:val="20"/>
              </w:rPr>
              <w:t>Debt Securities</w:t>
            </w:r>
            <w:r>
              <w:rPr>
                <w:rFonts w:ascii="Times New Roman;Times;Serif" w:hAnsi="Times New Roman;Times;Serif"/>
                <w:sz w:val="20"/>
              </w:rPr>
              <w:t xml:space="preserve">) to be issued pursuant to the applicable indenture or similar agreement to be entered into by the Company (the </w:t>
            </w:r>
            <w:r>
              <w:rPr>
                <w:rFonts w:ascii="Times New Roman;Times;Serif" w:hAnsi="Times New Roman;Times;Serif"/>
                <w:b/>
                <w:sz w:val="20"/>
              </w:rPr>
              <w:t>Debt Document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warrants to purchase Equity Securities or Debt Securities (the </w:t>
            </w:r>
            <w:r>
              <w:rPr>
                <w:rFonts w:ascii="Times New Roman;Times;Serif" w:hAnsi="Times New Roman;Times;Serif"/>
                <w:b/>
                <w:sz w:val="20"/>
              </w:rPr>
              <w:t>Warrants</w:t>
            </w:r>
            <w:r>
              <w:rPr>
                <w:rFonts w:ascii="Times New Roman;Times;Serif" w:hAnsi="Times New Roman;Times;Serif"/>
                <w:sz w:val="20"/>
              </w:rPr>
              <w:t xml:space="preserve">) issuable pursuant to the terms of a warrant agreement to be entered into between the Company and a warrant agent for such Warrants thereunder, if any (the </w:t>
            </w:r>
            <w:r>
              <w:rPr>
                <w:rFonts w:ascii="Times New Roman;Times;Serif" w:hAnsi="Times New Roman;Times;Serif"/>
                <w:b/>
                <w:sz w:val="20"/>
              </w:rPr>
              <w:t>Warrant Document</w:t>
            </w:r>
            <w:r>
              <w:rPr>
                <w:rFonts w:ascii="Times New Roman;Times;Serif" w:hAnsi="Times New Roman;Times;Serif"/>
                <w:sz w:val="20"/>
              </w:rPr>
              <w: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units comprising any combination of Ordinary Shares, Preferred Shares, Warrants and Debt Securities (the </w:t>
            </w:r>
            <w:r>
              <w:rPr>
                <w:rFonts w:ascii="Times New Roman;Times;Serif" w:hAnsi="Times New Roman;Times;Serif"/>
                <w:b/>
                <w:sz w:val="20"/>
              </w:rPr>
              <w:t>Units</w:t>
            </w:r>
            <w:r>
              <w:rPr>
                <w:rFonts w:ascii="Times New Roman;Times;Serif" w:hAnsi="Times New Roman;Times;Serif"/>
                <w:sz w:val="20"/>
              </w:rPr>
              <w:t xml:space="preserve">) to be issued under a unit agreement, purchase agreement or similar agreement between the Company and a unit agent to be specified therein, if any (the </w:t>
            </w:r>
            <w:r>
              <w:rPr>
                <w:rFonts w:ascii="Times New Roman;Times;Serif" w:hAnsi="Times New Roman;Times;Serif"/>
                <w:b/>
                <w:sz w:val="20"/>
              </w:rPr>
              <w:t>Unit Document</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01"/>
        <w:gridCol w:w="1312"/>
        <w:gridCol w:w="1423"/>
        <w:gridCol w:w="2669"/>
      </w:tblGrid>
      <w:tr>
        <w:trPr/>
        <w:tc>
          <w:tcPr>
            <w:tcW w:w="4801"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advice on British Virgin Islands, Cayman Islands and Guernsey laws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Floor 11 Central Tower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Queen’s Road Central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+852 3656 6000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+852 3656 6001</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ogier.com</w:t>
            </w:r>
          </w:p>
        </w:tc>
        <w:tc>
          <w:tcPr>
            <w:tcW w:w="1312"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Nicholas Plowman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Nathan Powell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Oakes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Payne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Kate Hodson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Nelson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Davis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Joanne Collett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Li</w:t>
            </w:r>
          </w:p>
        </w:tc>
        <w:tc>
          <w:tcPr>
            <w:tcW w:w="142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Cecilia Li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Yuki Yan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Lin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Wong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Huang**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Florence Chan*</w:t>
            </w:r>
            <w:r>
              <w:rPr>
                <w:rFonts w:ascii="Times New Roman;Times;Serif" w:hAnsi="Times New Roman;Times;Serif"/>
                <w:b w:val="false"/>
                <w:i w:val="false"/>
                <w:caps w:val="false"/>
                <w:smallCaps w:val="false"/>
                <w:position w:val="7"/>
                <w:sz w:val="16"/>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Bennett**</w:t>
            </w:r>
            <w:r>
              <w:rPr>
                <w:rFonts w:ascii="Times New Roman;Times;Serif" w:hAnsi="Times New Roman;Times;Serif"/>
                <w:b w:val="false"/>
                <w:i w:val="false"/>
                <w:caps w:val="false"/>
                <w:smallCaps w:val="false"/>
                <w:position w:val="7"/>
                <w:sz w:val="16"/>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Bergstrom</w:t>
            </w:r>
            <w:r>
              <w:rPr>
                <w:rFonts w:ascii="Times New Roman;Times;Serif" w:hAnsi="Times New Roman;Times;Serif"/>
                <w:b w:val="false"/>
                <w:i w:val="false"/>
                <w:caps w:val="false"/>
                <w:smallCaps w:val="false"/>
                <w:position w:val="7"/>
                <w:sz w:val="16"/>
                <w:sz w:val="20"/>
              </w:rPr>
              <w:t>‡</w:t>
            </w:r>
          </w:p>
          <w:p>
            <w:pPr>
              <w:pStyle w:val="TableContents"/>
              <w:bidi w:val="0"/>
              <w:spacing w:before="0" w:after="0"/>
              <w:ind w:left="0" w:right="0" w:hanging="0"/>
              <w:jc w:val="left"/>
              <w:rPr>
                <w:caps w:val="false"/>
                <w:smallCaps w:val="false"/>
              </w:rPr>
            </w:pPr>
            <w:r>
              <w:rPr>
                <w:caps w:val="false"/>
                <w:smallCaps w:val="false"/>
              </w:rPr>
              <w:t> </w:t>
            </w:r>
          </w:p>
        </w:tc>
        <w:tc>
          <w:tcPr>
            <w:tcW w:w="266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admitted in New Zealand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admitted in England and Wales</w:t>
            </w:r>
          </w:p>
          <w:p>
            <w:pPr>
              <w:pStyle w:val="TableContents"/>
              <w:bidi w:val="0"/>
              <w:spacing w:before="0" w:after="0"/>
              <w:ind w:left="0" w:right="0" w:hanging="0"/>
              <w:jc w:val="both"/>
              <w:rPr>
                <w:caps w:val="false"/>
                <w:smallCaps w:val="false"/>
              </w:rPr>
            </w:pPr>
            <w:r>
              <w:rPr>
                <w:caps w:val="false"/>
                <w:smallCaps w:val="false"/>
                <w:position w:val="8"/>
                <w:sz w:val="19"/>
              </w:rPr>
              <w:t>‡   </w:t>
            </w:r>
            <w:r>
              <w:rPr>
                <w:caps w:val="false"/>
                <w:smallCaps w:val="false"/>
              </w:rPr>
              <w:t xml:space="preserve"> </w:t>
            </w:r>
            <w:r>
              <w:rPr>
                <w:rFonts w:ascii="Times New Roman;Times;Serif" w:hAnsi="Times New Roman;Times;Serif"/>
                <w:b w:val="false"/>
                <w:i w:val="false"/>
                <w:caps w:val="false"/>
                <w:smallCaps w:val="false"/>
                <w:sz w:val="20"/>
              </w:rPr>
              <w:t>not ordinarily resident in Hong Kong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Debt Document, the Warrant Document and the Unit Document are referred to herein collectively as </w:t>
      </w:r>
      <w:r>
        <w:rPr>
          <w:rFonts w:ascii="Times New Roman;Times;Serif" w:hAnsi="Times New Roman;Times;Serif"/>
          <w:b/>
          <w:i w:val="false"/>
          <w:caps w:val="false"/>
          <w:smallCaps w:val="false"/>
          <w:sz w:val="20"/>
        </w:rPr>
        <w:t>Governing Documents</w:t>
      </w:r>
      <w:r>
        <w:rPr>
          <w:rFonts w:ascii="Times New Roman;Times;Serif" w:hAnsi="Times New Roman;Times;Serif"/>
          <w:b w:val="false"/>
          <w:i w:val="false"/>
          <w:caps w:val="false"/>
          <w:smallCaps w:val="false"/>
          <w:sz w:val="20"/>
        </w:rPr>
        <w:t xml:space="preserve">. The Warrants, the Debt Securities and the Units are collectively referred to herein as </w:t>
      </w:r>
      <w:r>
        <w:rPr>
          <w:rFonts w:ascii="Times New Roman;Times;Serif" w:hAnsi="Times New Roman;Times;Serif"/>
          <w:b/>
          <w:i w:val="false"/>
          <w:caps w:val="false"/>
          <w:smallCaps w:val="false"/>
          <w:sz w:val="20"/>
        </w:rPr>
        <w:t>Non-Equity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that the Securities are to be offered from time to time in one or more offerings on a delayed or continuous basis pursuant to Rule 415 under the Act, as set forth in the Registration Statement, and that this opinion is being filed with the Commission as an exhibit to the Registration Statement in accordance with the requirements of Item 601(b)(5) of Regulation S-K under the Act. No opinion is expressed herein as to any matter pertaining to the contents of the Registration Statement other than as expressly stated herein with respect to the issue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the Documents (as defined below). A reference to a Schedule is a reference to a schedule to this opinion and the headings herein are for convenience only and do not affect the construction of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8.1 and 23.2 to the Registration Statement.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0"/>
        <w:gridCol w:w="9465"/>
      </w:tblGrid>
      <w:tr>
        <w:trPr/>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Documents examined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originals, copies, or drafts of the documents set forth in Schedule 1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In addition, we have examined the corporate and other documents and conducted the searches listed in Schedule 1. We have not made any searches or enquiries concerning, and have not examined any documents entered into by or affecting the Company or any other person, save for the searches, enquiries and examinations expressly referred to in Schedule 1.</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6"/>
        <w:gridCol w:w="9039"/>
      </w:tblGrid>
      <w:tr>
        <w:trPr/>
        <w:tc>
          <w:tcPr>
            <w:tcW w:w="1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Schedule 2 without having carried out any independent investigation or verification in respect of those assumptions.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4"/>
        <w:gridCol w:w="8661"/>
      </w:tblGrid>
      <w:tr>
        <w:trPr/>
        <w:tc>
          <w:tcPr>
            <w:tcW w:w="15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6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Opinions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qualifications set forth in Schedule 3 and the limitations set forth below, we are of the opinion that: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has been duly incorporated as an exempted company with limited liability and is validly existing and in good standing with the Registrar of Companies of the Cayman Islands (the </w:t>
            </w:r>
            <w:r>
              <w:rPr>
                <w:rFonts w:ascii="Times New Roman;Times;Serif" w:hAnsi="Times New Roman;Times;Serif"/>
                <w:b/>
                <w:sz w:val="20"/>
              </w:rPr>
              <w:t>Registrar</w:t>
            </w:r>
            <w:r>
              <w:rPr>
                <w:rFonts w:ascii="Times New Roman;Times;Serif" w:hAnsi="Times New Roman;Times;Serif"/>
                <w:sz w:val="20"/>
              </w:rPr>
              <w:t>).</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18"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shares</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664"/>
        <w:gridCol w:w="9439"/>
      </w:tblGrid>
      <w:tr>
        <w:trPr/>
        <w:tc>
          <w:tcPr>
            <w:tcW w:w="10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4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the Ordinary Shares, when:</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board of directors of the Company (the </w:t>
            </w:r>
            <w:r>
              <w:rPr>
                <w:rFonts w:ascii="Times New Roman;Times;Serif" w:hAnsi="Times New Roman;Times;Serif"/>
                <w:b/>
                <w:sz w:val="20"/>
              </w:rPr>
              <w:t>Board</w:t>
            </w:r>
            <w:r>
              <w:rPr>
                <w:rFonts w:ascii="Times New Roman;Times;Serif" w:hAnsi="Times New Roman;Times;Serif"/>
                <w:sz w:val="20"/>
              </w:rPr>
              <w:t>) has taken all necessary corporate actions to approve the issuance and allotment of the Ordinary Shares, the terms of the offering of the Ordinary Shares and all related matters;</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(A) the provisions of the applicable definitive purchase, underwriting or similar agreement approved by the Board have been satisfied and payment of the consideration specified therein (being not less than the par value of the Ordinary Shares) has been made, or (B) if such Ordinary Shares are issuable upon conversion, exchange, redemption, repurchase or exercise of any other security, the terms of such security, the Memorandum and Articles or the instrument governing such security providing for such conversion, exchange, redemption, repurchase or exercise for Ordinary Shares, as approved by the Board, have been satisfied and the consideration approved by the Board (being not less than the par value of the Ordinary Shares) received;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valid entry has been made in the register of members of the Company reflecting such issuance of Ordinary Shares, in each case in accordance with the Memorandum and Articles,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will be recognised as having been duly authorised and validly issued, fully paid and non-assessable.</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625"/>
        <w:gridCol w:w="9477"/>
      </w:tblGrid>
      <w:tr>
        <w:trPr/>
        <w:tc>
          <w:tcPr>
            <w:tcW w:w="10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4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the Preferred Shares, when:</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has taken all necessary corporate actions to approve the creation, issuance and the terms of the Preferred Shares, the terms of the offering of the Preferred Shares and all related matters;</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(A) the provisions of the applicable definitive purchase, underwriting or similar agreement approved by the Board have been satisfied and payment of the consideration specified therein (being not less than the par value of the Preferred Shares) has been made, or (B) if such Preferred Shares are issuable upon conversion, exchange, redemption, repurchase or exercise of any other security, the terms of such security, the Memorandum and Articles or the instrument governing such security providing for such conversion, exchange, redemption, repurchase or exercise for Preferred Shares, as approved by the Board, have been satisfied and the consideration approved by the Board (being not less than the par value of the Preferred Shares) received;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valid entry has been made in the register of members of the Company reflecting such issuance of Preferred Shares, in each case in accordance with the Memorandum and Articles,</w:t>
            </w:r>
          </w:p>
        </w:tc>
      </w:tr>
    </w:tbl>
    <w:p>
      <w:pPr>
        <w:pStyle w:val="TextBody"/>
        <w:bidi w:val="0"/>
        <w:spacing w:before="0" w:after="0"/>
        <w:ind w:left="1414"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will be recognised as having been duly authorised and validly issued, fully paid and non-assessable.</w:t>
      </w:r>
    </w:p>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1418"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1418"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Debt Securities</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530"/>
        <w:gridCol w:w="9593"/>
      </w:tblGrid>
      <w:tr>
        <w:trPr/>
        <w:tc>
          <w:tcPr>
            <w:tcW w:w="8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5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the Debt Securities to be issued, when:</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has taken all necessary corporate actions to authorise and approve the creation and terms of the Debt Securities and to approve the issue thereof, the terms of the offering thereof and all related matters;</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Debt Document relating to the Debt Securities shall have been duly authorized and validly executed and unconditionally delivered by and on behalf of the Company and all the relevant parties thereunder;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Debt Securities issued thereunder have been duly executed and delivered on behalf of the Company and authenticated in the manner set forth in the applicable Debt Document relating to such issue of Debt Securities and delivered against due payment therefor pursuant to, and in accordance with, the terms of the Registration Statement and any relevant prospectus supplement,</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have been duly executed, issued and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Warrants</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560"/>
        <w:gridCol w:w="9553"/>
      </w:tblGrid>
      <w:tr>
        <w:trPr/>
        <w:tc>
          <w:tcPr>
            <w:tcW w:w="9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5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the Warrants to be issued, when:</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has taken all necessary corporate actions to authorise and approve the creation and terms of the Warrants and to approve the issue thereof, the terms of the offering thereof and all related matters;</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Warrant Document relating to the Warrants shall have been duly authorized and validly executed and unconditionally delivered by the Company and the warrant agent thereunder;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certificates representing the Warrants have been duly executed, countersigned, registered and delivered in accordance with the Warrant Document relating to the Warrants and the applicable definitive purchase, underwriting or similar agreement approved by the Board upon payment of the consideration therefor provided therein,</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be duly authorized and validly issued and will constitute legal, valid and binding obligations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Units</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519"/>
        <w:gridCol w:w="9588"/>
      </w:tblGrid>
      <w:tr>
        <w:trPr/>
        <w:tc>
          <w:tcPr>
            <w:tcW w:w="9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5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each issuance of Units, when:</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has taken all necessary corporate actions to authorise and approve the creation and terms of the Units and to approve the issue of the Securities which are components thereof, the terms of the offering thereof and all related matters;</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Unit Document relating to the Units shall have been duly authorised and validly executed and unconditionally delivered by the Company and the financial institution designated as unit agent thereunder;</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respect of any Warrants which are components of the Units, a Warrant Document shall have been duly authorized and validly executed and unconditionally delivered by the Company and the warrant agent thereunder, if any, in respect of any Warrants which are components of the Units;</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respect of any Debt Securities which are components of the Units, the Debt Document shall have been duly authorized and validly executed and unconditionally delivered by the Company and all relevant parties thereunder;</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respect of any Equity Securities which are components of the Units, valid entry has been made in the register of members of the Company reflecting such issuance of Equity Securities, in each case in accordance with the Memorandum and Articles;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Units and any Securities which are components of the Units shall have been duly executed, countersigned, authenticated, issued, registered and delivered (in each case, as and when applicable), in accordance with the provisions of (A) the applicable Unit Document relating to the Units, (B) the applicable Warrant Document relating to any Warrants which are components of the Units, (C) the applicable Debt Document relating to any Debt Securities which are components of the Units, (D) the Memorandum and Articles and (E) the applicable definitive purchase, underwriting or similar agreement approved by the Board, and upon payment of the consideration therefor provided therein (being, in respect of Equity Securities which are components of the Units, not less than the par value of such Equity Securities),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will be duly authorised and validly issued and will constitute legal, valid and binding obligations of the Company.</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statements contained in the Registration Statement in the sections headed “</w:t>
            </w:r>
            <w:r>
              <w:rPr>
                <w:rFonts w:ascii="Times New Roman;Times;Serif" w:hAnsi="Times New Roman;Times;Serif"/>
                <w:i/>
                <w:sz w:val="20"/>
              </w:rPr>
              <w:t>Cayman Islands Tax Considerations</w:t>
            </w:r>
            <w:r>
              <w:rPr>
                <w:rFonts w:ascii="Times New Roman;Times;Serif" w:hAnsi="Times New Roman;Times;Serif"/>
                <w:sz w:val="20"/>
              </w:rPr>
              <w:t>” and “</w:t>
            </w:r>
            <w:r>
              <w:rPr>
                <w:rFonts w:ascii="Times New Roman;Times;Serif" w:hAnsi="Times New Roman;Times;Serif"/>
                <w:i/>
                <w:sz w:val="20"/>
              </w:rPr>
              <w:t>Enforceability of Civil Liability</w:t>
            </w:r>
            <w:r>
              <w:rPr>
                <w:rFonts w:ascii="Times New Roman;Times;Serif" w:hAnsi="Times New Roman;Times;Serif"/>
                <w:sz w:val="20"/>
              </w:rPr>
              <w:t>”, insofar as they purport to summarise the laws or regulations of the Cayman Islands, are accurate in all material respects and that such statements constitute our opinion.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5"/>
        <w:gridCol w:w="9410"/>
      </w:tblGrid>
      <w:tr>
        <w:trPr/>
        <w:tc>
          <w:tcPr>
            <w:tcW w:w="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Matters not covered</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1418"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to any laws other than the laws of the Cayman Islands, and we have not, for the purposes of this opinion, made any investigation of the laws of any other jurisdiction, and we express no opinion as to the meaning, validity, or effect of references in the documents reviewed to statutes, rules, regulations, codes or judicial authority of any jurisdiction other than the Cayman Islands;</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to the extent that this opinion expressly provides otherwise, as to the commercial terms of, or the validity, enforceability or effect of the Documents or any of the Governing Documents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the Governing Documents and any other agreements into which the Company may have entered or any other documents; or</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to whether the acceptance, execution or performance of the Company’s obligations under the Registration Statement and/or the Governing Documents will result in the breach of or infringe any other agreement, deed or document entered into by or binding on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5"/>
        <w:gridCol w:w="9660"/>
      </w:tblGrid>
      <w:tr>
        <w:trPr/>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Governing law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32"/>
        <w:gridCol w:w="8373"/>
      </w:tblGrid>
      <w:tr>
        <w:trPr/>
        <w:tc>
          <w:tcPr>
            <w:tcW w:w="18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83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opinion is:</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5"/>
        <w:gridCol w:w="9839"/>
      </w:tblGrid>
      <w:tr>
        <w:trPr/>
        <w:tc>
          <w:tcPr>
            <w:tcW w:w="5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governed by, and shall be construed in accordance with, the laws of the Cayman Islands;</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601"/>
        <w:gridCol w:w="9511"/>
      </w:tblGrid>
      <w:tr>
        <w:trPr/>
        <w:tc>
          <w:tcPr>
            <w:tcW w:w="9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5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limited to the matters expressly stated in it; and</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56"/>
        <w:gridCol w:w="9907"/>
      </w:tblGrid>
      <w:tr>
        <w:trPr/>
        <w:tc>
          <w:tcPr>
            <w:tcW w:w="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confined to, and given on the basis of, the laws and practice in the Cayman Islands at the date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a reference to any specific Cayman Islands legislation is a reference to that legislation as amended to, and as in force at, the date of this opinion.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1"/>
        <w:gridCol w:w="9644"/>
      </w:tblGrid>
      <w:tr>
        <w:trPr/>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6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Who can rely on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hereby consent to the filing of this opinion as an exhibit to the Registration Statement and to the reference to our firm under the headings “</w:t>
            </w:r>
            <w:r>
              <w:rPr>
                <w:rFonts w:ascii="Times New Roman;Times;Serif" w:hAnsi="Times New Roman;Times;Serif"/>
                <w:i/>
                <w:sz w:val="20"/>
              </w:rPr>
              <w:t>Enforceability of Civil Liability</w:t>
            </w:r>
            <w:r>
              <w:rPr>
                <w:rFonts w:ascii="Times New Roman;Times;Serif" w:hAnsi="Times New Roman;Times;Serif"/>
                <w:sz w:val="20"/>
              </w:rPr>
              <w:t>” and “</w:t>
            </w:r>
            <w:r>
              <w:rPr>
                <w:rFonts w:ascii="Times New Roman;Times;Serif" w:hAnsi="Times New Roman;Times;Serif"/>
                <w:i/>
                <w:sz w:val="20"/>
              </w:rPr>
              <w:t>Legal Matters</w:t>
            </w:r>
            <w:r>
              <w:rPr>
                <w:rFonts w:ascii="Times New Roman;Times;Serif" w:hAnsi="Times New Roman;Times;Serif"/>
                <w:sz w:val="20"/>
              </w:rPr>
              <w:t>” of the Registration Statement. In giving such consent, we do not thereby admit that we come within the category of persons whose consent is required under Section 7 of the Act, or the Rules and Regulations of the Commission thereunder.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opinion may be used only in connection with the offer and sale of the Securities by the Company while the Registration Statement is effective. With the exception of your professional advisers (acting only in that capacity), it may not be relied upon by any person, other than persons entitled to rely upon it pursuant to the provisions of the Act, without our prior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1610" w:type="dxa"/>
        <w:jc w:val="left"/>
        <w:tblInd w:w="0" w:type="dxa"/>
        <w:tblLayout w:type="fixed"/>
        <w:tblCellMar>
          <w:top w:w="0" w:type="dxa"/>
          <w:left w:w="0" w:type="dxa"/>
          <w:bottom w:w="0" w:type="dxa"/>
          <w:right w:w="0" w:type="dxa"/>
        </w:tblCellMar>
      </w:tblPr>
      <w:tblGrid>
        <w:gridCol w:w="1535"/>
        <w:gridCol w:w="75"/>
      </w:tblGrid>
      <w:tr>
        <w:trPr/>
        <w:tc>
          <w:tcPr>
            <w:tcW w:w="1535" w:type="dxa"/>
            <w:tcBorders/>
            <w:vAlign w:val="center"/>
          </w:tcPr>
          <w:p>
            <w:pPr>
              <w:pStyle w:val="TableContents"/>
              <w:bidi w:val="0"/>
              <w:spacing w:before="0" w:after="283"/>
              <w:jc w:val="left"/>
              <w:rPr/>
            </w:pPr>
            <w:r>
              <w:rPr/>
              <w:t>Yours faithfully</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tcMar>
              <w:bottom w:w="28" w:type="dxa"/>
            </w:tcMar>
            <w:vAlign w:val="center"/>
          </w:tcPr>
          <w:p>
            <w:pPr>
              <w:pStyle w:val="TableContents"/>
              <w:bidi w:val="0"/>
              <w:spacing w:before="0" w:after="283"/>
              <w:jc w:val="left"/>
              <w:rPr/>
            </w:pPr>
            <w:r>
              <w:rPr/>
              <w:t>/s/ Ogier </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b/>
              </w:rPr>
            </w:pPr>
            <w:r>
              <w:rPr>
                <w:b/>
              </w:rPr>
              <w:t>Ogier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examined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and other documents</w:t>
      </w:r>
    </w:p>
    <w:p>
      <w:pPr>
        <w:pStyle w:val="TextBody"/>
        <w:bidi w:val="0"/>
        <w:spacing w:before="0" w:after="0"/>
        <w:ind w:left="709" w:right="0" w:hanging="709"/>
        <w:jc w:val="both"/>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125"/>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1</w:t>
            </w:r>
          </w:p>
        </w:tc>
        <w:tc>
          <w:tcPr>
            <w:tcW w:w="9140" w:type="dxa"/>
            <w:tcBorders/>
            <w:vAlign w:val="center"/>
          </w:tcPr>
          <w:p>
            <w:pPr>
              <w:pStyle w:val="TableContents"/>
              <w:bidi w:val="0"/>
              <w:spacing w:before="0" w:after="283"/>
              <w:jc w:val="both"/>
              <w:rPr/>
            </w:pPr>
            <w:r>
              <w:rPr/>
              <w:t>The certificate of incorporation of the Company dated 8 December 2021 issued by the Registrar.</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2</w:t>
            </w:r>
          </w:p>
        </w:tc>
        <w:tc>
          <w:tcPr>
            <w:tcW w:w="10042" w:type="dxa"/>
            <w:tcBorders/>
            <w:vAlign w:val="center"/>
          </w:tcPr>
          <w:p>
            <w:pPr>
              <w:pStyle w:val="TableContents"/>
              <w:bidi w:val="0"/>
              <w:spacing w:before="0" w:after="283"/>
              <w:jc w:val="both"/>
              <w:rPr/>
            </w:pPr>
            <w:r>
              <w:rPr/>
              <w:t xml:space="preserve">The amended and restated memorandum and articles of association of the Company adopted by a special resolution passed on 8 March 2023 and effective at the Acquisition Merger Effective Time (as defined therein) and filed with the Registrar on 13 April 2023 and the written resolutions by all the directors of the Company passed on 9 June 2023 and filed with the Registrar on 9 June 2023 (together, the </w:t>
            </w:r>
            <w:r>
              <w:rPr>
                <w:b/>
              </w:rPr>
              <w:t>Memorandum and Articles</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3</w:t>
            </w:r>
          </w:p>
        </w:tc>
        <w:tc>
          <w:tcPr>
            <w:tcW w:w="10042" w:type="dxa"/>
            <w:tcBorders/>
            <w:vAlign w:val="center"/>
          </w:tcPr>
          <w:p>
            <w:pPr>
              <w:pStyle w:val="TableContents"/>
              <w:bidi w:val="0"/>
              <w:spacing w:before="0" w:after="283"/>
              <w:jc w:val="both"/>
              <w:rPr/>
            </w:pPr>
            <w:r>
              <w:rPr/>
              <w:t xml:space="preserve">A certificate of good standing dated 7 May 2026 (the </w:t>
            </w:r>
            <w:r>
              <w:rPr>
                <w:b/>
              </w:rPr>
              <w:t>Good Standing Certificate</w:t>
            </w:r>
            <w:r>
              <w:rPr/>
              <w:t>) issued by the Registrar in respect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38"/>
        <w:gridCol w:w="125"/>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4</w:t>
            </w:r>
          </w:p>
        </w:tc>
        <w:tc>
          <w:tcPr>
            <w:tcW w:w="8540" w:type="dxa"/>
            <w:tcBorders/>
            <w:vAlign w:val="center"/>
          </w:tcPr>
          <w:p>
            <w:pPr>
              <w:pStyle w:val="TableContents"/>
              <w:bidi w:val="0"/>
              <w:spacing w:before="0" w:after="283"/>
              <w:jc w:val="both"/>
              <w:rPr/>
            </w:pPr>
            <w:r>
              <w:rPr/>
              <w:t xml:space="preserve">The register of directors and officers of the Company dated 5 August 2026 (the </w:t>
            </w:r>
            <w:r>
              <w:rPr>
                <w:b/>
              </w:rPr>
              <w:t>Register</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5</w:t>
            </w:r>
          </w:p>
        </w:tc>
        <w:tc>
          <w:tcPr>
            <w:tcW w:w="10042" w:type="dxa"/>
            <w:tcBorders/>
            <w:vAlign w:val="center"/>
          </w:tcPr>
          <w:p>
            <w:pPr>
              <w:pStyle w:val="TableContents"/>
              <w:bidi w:val="0"/>
              <w:spacing w:before="0" w:after="283"/>
              <w:jc w:val="both"/>
              <w:rPr/>
            </w:pPr>
            <w:r>
              <w:rPr/>
              <w:t xml:space="preserve">A certificate from a director of the Company dated 10 August 2026 as to certain matters of facts (the </w:t>
            </w:r>
            <w:r>
              <w:rPr>
                <w:b/>
              </w:rPr>
              <w:t>Director’s Certificate</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6</w:t>
            </w:r>
          </w:p>
        </w:tc>
        <w:tc>
          <w:tcPr>
            <w:tcW w:w="10042" w:type="dxa"/>
            <w:tcBorders/>
            <w:vAlign w:val="center"/>
          </w:tcPr>
          <w:p>
            <w:pPr>
              <w:pStyle w:val="TableContents"/>
              <w:bidi w:val="0"/>
              <w:spacing w:before="0" w:after="283"/>
              <w:jc w:val="both"/>
              <w:rPr/>
            </w:pPr>
            <w:r>
              <w:rPr/>
              <w:t xml:space="preserve">The Register of Writs at the office of the Clerk of Courts in the Cayman Islands as inspected by us on 10 August 2026 (the </w:t>
            </w:r>
            <w:r>
              <w:rPr>
                <w:b/>
              </w:rPr>
              <w:t>Register of Writs</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7</w:t>
            </w:r>
          </w:p>
        </w:tc>
        <w:tc>
          <w:tcPr>
            <w:tcW w:w="10042" w:type="dxa"/>
            <w:tcBorders/>
            <w:vAlign w:val="center"/>
          </w:tcPr>
          <w:p>
            <w:pPr>
              <w:pStyle w:val="TableContents"/>
              <w:bidi w:val="0"/>
              <w:spacing w:before="0" w:after="283"/>
              <w:jc w:val="both"/>
              <w:rPr/>
            </w:pPr>
            <w:r>
              <w:rPr/>
              <w:t xml:space="preserve">A search on the Cayman Online Registry Information Service conducted against the Company at the Registrar on 10 August 2026 (the </w:t>
            </w:r>
            <w:r>
              <w:rPr>
                <w:b/>
              </w:rPr>
              <w:t>CORIS Search</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8</w:t>
            </w:r>
          </w:p>
        </w:tc>
        <w:tc>
          <w:tcPr>
            <w:tcW w:w="10042" w:type="dxa"/>
            <w:tcBorders/>
            <w:vAlign w:val="center"/>
          </w:tcPr>
          <w:p>
            <w:pPr>
              <w:pStyle w:val="TableContents"/>
              <w:bidi w:val="0"/>
              <w:spacing w:before="0" w:after="283"/>
              <w:jc w:val="both"/>
              <w:rPr/>
            </w:pPr>
            <w:r>
              <w:rPr/>
              <w:t xml:space="preserve">The unanimous written resolutions of all the directors of the Company passed on 10 August 2026 approving, among other things, the Registration Statement (the </w:t>
            </w:r>
            <w:r>
              <w:rPr>
                <w:b/>
              </w:rPr>
              <w:t>Board Resolutions</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125"/>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9</w:t>
            </w:r>
          </w:p>
        </w:tc>
        <w:tc>
          <w:tcPr>
            <w:tcW w:w="2660"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 of general application</w:t>
      </w:r>
    </w:p>
    <w:p>
      <w:pPr>
        <w:pStyle w:val="TextBody"/>
        <w:bidi w:val="0"/>
        <w:spacing w:before="0" w:after="0"/>
        <w:ind w:left="720" w:right="0" w:hanging="72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25"/>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original documents examined by us are authentic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copy documents examined by us (whether in facsimile, electronic or other form) conform to the originals and those originals are authentic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125"/>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signatures, seals, dates, stamps and markings (whether on original or copy documents) are genuine.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the Good Standing Certificate, the Memorandum and Articles, the Register and the Director’s Certificate examined by us is accurate and complete as at the date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CORIS Search (as defined in Schedule 1) which we have examined is accurate and that the information disclosed by the CORIS Search is true and complete and that such information has not since been altered.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authorisation and execution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the parties to the Governing Documents other than the Company is duly incorporated, formed or organised (as applicable), validly existing and in good standing under all relevant laws. Any individuals who are parties to the Governing Documents, or who sign or have signed documents or give information on which we rely, have the legal capacity under all relevant laws (including the laws of the Cayman Islands) to enter into and perform their obligations under such Governing Documents, sign such documents and give such 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Governing Document and the Non-Equity Securities have been, or will be, duly authorised, executed and unconditionally delivered by or on behalf of all relevant parties in accordance with all relevant laws and, in respect of the Company, in the manner authorised by the Board.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authorising the execution and delivery of the Documents and the Governing Documents by the Company, the exercise of its rights and performance of its obligations under such documents, each of the directors of the Company has acted in good faith with a view to the best interests of the Company and has exercised the standard of care, diligence and skill that is required of him or her.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Resolutions (as defined in Schedule 1) remain in full force and effect and each of the directors of the Company has acted in good faith with a view to the best interests of the Company and has exercised the standard of care, diligence and skill that is required of him or her in approving the Registration Statement and no director has a financial interest in or other relationship to a party of the transactions contemplated by the Registration Statement which has not been properly disclosed in the Board Resolutions.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Neither the directors nor the shareholders of the Company have taken any steps to appoint a liquidator of the Company and no receiver or restructuring officer has been appointed over any of the Company’s property or assets.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obtained, or will obtain prior to execution, all consents, licences, approvals and authorizations of any governmental or regulatory authority or agency or of any other person that it is required to obtain pursuant to the laws of all relevant jurisdictions (other than those of the Cayman Islands) to ensure the legality, validity, enforceability, proper performance and admissibility in evidence of the Governing Documents. Any conditions to which such consents, licences, approvals and authorizations are subject have been, and will continue to be, satisfied or waived by the parties entitled to the benefit of them.</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necessary corporate action will be taken to authorise and approve any issuance of Securities and the terms of the offering of such Securities thereof and other related matters and that the applicable definitive purchase, underwriting or similar agreement will be duly approved, executed and delivered by or on behalf of the Company and all other parties thereto.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 of the opinions expressed herein will be adversely affected by the laws or public policies of any jurisdiction other than the Cayman Islands. In particular, but without limitation to the previous sentence:</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laws or public policies of any jurisdiction other than the Cayman Islands will not adversely affect the capacity or authority of the Company; and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neither the execution or delivery of the Registration Statement and the Governing Documents nor the exercise by any party to the Registration Statement or the Governing Documents of its rights or the performance of its obligations under them contravene those laws or public policies.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no agreements, documents or arrangements (other than the documents expressly referred to in this opinion as having been examined by us) that materially affect or modify the Registration Statement, the Governing Documents or the transactions contemplated by them or restrict the powers and authority of the Company in any way from entering into and performing its obligations under a duly authorised, executed and delivered Governing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None of the transactions contemplated by the Registration Statement or the Governing Documents relate to any partnership interests, shares, voting rights in a Cayman Islands company, limited liability company, limited liability partnership, limited partnership, foundation company, exempted limited partnership, or any other person that may be prescribed in regulations from time to time (a </w:t>
            </w:r>
            <w:r>
              <w:rPr>
                <w:rFonts w:ascii="Times New Roman;Times;Serif" w:hAnsi="Times New Roman;Times;Serif"/>
                <w:b/>
                <w:sz w:val="20"/>
              </w:rPr>
              <w:t>Legal Person</w:t>
            </w:r>
            <w:r>
              <w:rPr>
                <w:rFonts w:ascii="Times New Roman;Times;Serif" w:hAnsi="Times New Roman;Times;Serif"/>
                <w:sz w:val="20"/>
              </w:rPr>
              <w:t>) or to the ultimate effective control over the management of a Legal Person that are subject to a restrictions notice issued pursuant to the Beneficial Ownership Transparency Act (Revised) of the Cayman Islands.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applicable Governing Documents will be governed by and construed in accordance with the laws of New York and will be legal, valid, binding and enforceable against all relevant parties in accordance with its terms under the laws of New York and all other relevant laws. If an obligation is to be performed in a jurisdiction outside the Cayman Islands, its performance will not be contrary to an official directive, impossible or illegal under the laws of that jurisdiction.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choice of the laws of the State of New York as the governing law of the Governing Documents has, or will have, been made in good faith and would be regarded as a valid and binding selection which will be upheld by the courts of the State of New York and any other relevant jurisdiction (other than the Cayman Islands) as a matter of the laws of the State of New York and all other relevant laws (other than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no provision of the law of any jurisdiction, other than the Cayman Islands, which would have any implication in relation to the opinions expressed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issuance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monies paid to or for the account of any party in respect of the Securities under the Governing Documents represent, or will represent, criminal property or terrorist property (as defined in the Proceeds of Crime Act (Revised), and the Terrorism Act (Revised) respectively) and none of the parties to the Documents or the Governing Documents is acting or will act in relation to the transactions contemplated by such documents, in a manner inconsistent with sanctions imposed by Cayman Islands authorities, or United Nations or United Kingdom sanctions or measures extended by statutory instrument to the Cayman Islands by orders of His Majesty in Council.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Non-Equity Securities will respectively be issued and authenticated as required in accordance with the provisions of a duly authorised, executed and delivered applicable Governing Documents and the Non-Equity Securities will be legal, valid, binding and enforceable against all relevant parties in accordance with their terms under the laws of the State of New York and all other relevant laws (other than, with respect to the Company,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form and terms of any and all Securities, the issuance and sale thereof by the Company, and the Company’s incurrence and performance of its obligations thereunder or in respect thereof (including, without limitation, its obligations under any related agreement, indenture or supplement thereto) in accordance with the terms thereof will not violate the memorandum and articles of association of the Company then in effect nor any applicable law, regulation, order or decree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invitation has been or will be made by or on behalf of the Company to the public in the Cayman Islands to subscribe for any of the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Register of Writs constitutes a complete and accurate record of the proceedings affecting the Company before the Grand Court of the Cayman Islands as at the time we conducted our investigation of such register.</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Companies Act,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In good standing</w:t>
            </w:r>
            <w:r>
              <w:rPr>
                <w:rFonts w:ascii="Times New Roman;Times;Serif" w:hAnsi="Times New Roman;Times;Serif"/>
                <w:sz w:val="20"/>
              </w:rPr>
              <w:t xml:space="preserve"> means only that as of the date of the Good Standing Certificate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liability</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Under the Companies Act, the register of members of a Cayman Islands company is by statute regarded as </w:t>
            </w:r>
            <w:r>
              <w:rPr>
                <w:rFonts w:ascii="Times New Roman;Times;Serif" w:hAnsi="Times New Roman;Times;Serif"/>
                <w:i/>
                <w:sz w:val="20"/>
              </w:rPr>
              <w:t>prima facie</w:t>
            </w:r>
            <w:r>
              <w:rPr>
                <w:rFonts w:ascii="Times New Roman;Times;Serif" w:hAnsi="Times New Roman;Times;Serif"/>
                <w:sz w:val="20"/>
              </w:rPr>
              <w:t xml:space="preserv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Non-assessable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this opinion, the phrase “non-assessable” means, with respect to the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spacing w:before="0" w:after="0"/>
        <w:ind w:left="720" w:right="0" w:hanging="720"/>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125"/>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examination of the Register of Writs cannot conclusively reveal whether or not there is:</w:t>
            </w:r>
          </w:p>
        </w:tc>
      </w:tr>
    </w:tbl>
    <w:p>
      <w:pPr>
        <w:pStyle w:val="TextBody"/>
        <w:bidi w:val="0"/>
        <w:spacing w:before="0" w:after="0"/>
        <w:ind w:left="1418" w:right="0" w:hanging="72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38"/>
        <w:gridCol w:w="23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current or pending litigation in the Cayman Islands against the Company;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application for the winding up or dissolution of the Company or the appointment of any liquidator, trustee in bankruptcy or restructuring officer in respect of the Company or any of its assets,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Documents</w:t>
      </w:r>
    </w:p>
    <w:p>
      <w:pPr>
        <w:pStyle w:val="TextBody"/>
        <w:bidi w:val="0"/>
        <w:spacing w:before="0" w:after="0"/>
        <w:ind w:left="720" w:right="0" w:hanging="72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25"/>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not reviewed the Governing Documents and our opinions are qualified accordingly.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reserve our opinion as to the extent to which the courts of the Cayman Islands would, in the event of any relevant illegality or invalidity, sever the relevant provisions of the Governing Documents and the Non-Equity Securities and enforce the remainder of the Governing Documents and the Non-Equity Securities or the transaction of which such provisions form a part, notwithstanding any express provisions in any Governing Documents in this regard.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 prohibited by section 175 of the Companies Act from making any invitation to the public in the Cayman Islands to subscribe for any of its securities.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30073701ex5-2.htm"/>
      <w:bookmarkStart w:id="32" w:name="ksea030073701ex52"/>
      <w:bookmarkEnd w:id="31"/>
      <w:bookmarkEnd w:id="32"/>
      <w:r>
        <w:rPr>
          <w:rFonts w:ascii="Times New Roman;Times;Serif" w:hAnsi="Times New Roman;Times;Serif"/>
          <w:b/>
          <w:i w:val="false"/>
          <w:caps w:val="false"/>
          <w:smallCaps w:val="false"/>
          <w:sz w:val="20"/>
        </w:rPr>
        <w:t>Exhibit 5.2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97940" cy="4178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
                    <a:stretch>
                      <a:fillRect/>
                    </a:stretch>
                  </pic:blipFill>
                  <pic:spPr bwMode="auto">
                    <a:xfrm>
                      <a:off x="0" y="0"/>
                      <a:ext cx="1297940" cy="41783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H. Cai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+852 3758 1210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wcai@cooley.com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08 Kallang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Aperia tower 1, #09-03/04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339509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U.S. counsel to Bitdeer Technologies Group, an exempted company incorporated in the Cayman Islands with limited liability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filing by the Company of a Registration Statement on Form F-3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Registration Statement includes a prospectus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that provides it will be supplemented in the future by one or more prospectus supplements (each, a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The Registration Statement including the Base Prospectus (as supplemented from time to time by one or more Prospectus Supplements), will provide for the registration by the Company of the sale of the following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A ordinary shares, par value US$0.0000001, of the Company (the “</w:t>
            </w:r>
            <w:r>
              <w:rPr>
                <w:rFonts w:ascii="Times New Roman;Times;Serif" w:hAnsi="Times New Roman;Times;Serif"/>
                <w:b/>
                <w:i/>
                <w:sz w:val="20"/>
              </w:rPr>
              <w:t>Ordinary Shares</w:t>
            </w:r>
            <w:r>
              <w:rPr>
                <w:rFonts w:ascii="Times New Roman;Times;Serif" w:hAnsi="Times New Roman;Times;Serif"/>
                <w:sz w:val="20"/>
              </w:rPr>
              <w:t>”);</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4"/>
        <w:gridCol w:w="9907"/>
      </w:tblGrid>
      <w:tr>
        <w:trPr/>
        <w:tc>
          <w:tcPr>
            <w:tcW w:w="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Preferred shares, par value US$0.0000001, of the Company (the “</w:t>
            </w:r>
            <w:r>
              <w:rPr>
                <w:rFonts w:ascii="Times New Roman;Times;Serif" w:hAnsi="Times New Roman;Times;Serif"/>
                <w:b/>
                <w:i/>
                <w:sz w:val="20"/>
              </w:rPr>
              <w:t>Preferred Shares</w:t>
            </w:r>
            <w:r>
              <w:rPr>
                <w:rFonts w:ascii="Times New Roman;Times;Serif" w:hAnsi="Times New Roman;Times;Serif"/>
                <w:sz w:val="20"/>
              </w:rPr>
              <w:t>”);</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debt securities, in one or more series (the “</w:t>
            </w:r>
            <w:r>
              <w:rPr>
                <w:rFonts w:ascii="Times New Roman;Times;Serif" w:hAnsi="Times New Roman;Times;Serif"/>
                <w:b/>
                <w:i/>
                <w:sz w:val="20"/>
              </w:rPr>
              <w:t>Debt Securities</w:t>
            </w:r>
            <w:r>
              <w:rPr>
                <w:rFonts w:ascii="Times New Roman;Times;Serif" w:hAnsi="Times New Roman;Times;Serif"/>
                <w:sz w:val="20"/>
              </w:rPr>
              <w:t>”), which may be issued pursuant to an indenture to be dated on or about the date of the first issuance of Debt Securities thereunder, by and between a trustee to be selected by the Company (the “</w:t>
            </w:r>
            <w:r>
              <w:rPr>
                <w:rFonts w:ascii="Times New Roman;Times;Serif" w:hAnsi="Times New Roman;Times;Serif"/>
                <w:b/>
                <w:i/>
                <w:sz w:val="20"/>
              </w:rPr>
              <w:t>Trustee</w:t>
            </w:r>
            <w:r>
              <w:rPr>
                <w:rFonts w:ascii="Times New Roman;Times;Serif" w:hAnsi="Times New Roman;Times;Serif"/>
                <w:sz w:val="20"/>
              </w:rPr>
              <w:t>”) and the Company, in the form filed as Exhibit 4.3 to the Registration Statement and one or more indentures supplemental thereto with respect to any particular series of Debt Securities (the “</w:t>
            </w:r>
            <w:r>
              <w:rPr>
                <w:rFonts w:ascii="Times New Roman;Times;Serif" w:hAnsi="Times New Roman;Times;Serif"/>
                <w:b/>
                <w:i/>
                <w:sz w:val="20"/>
              </w:rPr>
              <w:t>Indenture</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to purchase Ordinary Shares, Preferred Shares or Debt Securities (the “</w:t>
            </w:r>
            <w:r>
              <w:rPr>
                <w:rFonts w:ascii="Times New Roman;Times;Serif" w:hAnsi="Times New Roman;Times;Serif"/>
                <w:b/>
                <w:i/>
                <w:sz w:val="20"/>
              </w:rPr>
              <w:t>Warrants</w:t>
            </w:r>
            <w:r>
              <w:rPr>
                <w:rFonts w:ascii="Times New Roman;Times;Serif" w:hAnsi="Times New Roman;Times;Serif"/>
                <w:sz w:val="20"/>
              </w:rPr>
              <w:t>”), which may be issued under one or more warrant agreements, to be dated on or about the date of the issuance of the applicable Warrants thereunder, by and between a warrant agent to be selected by the Company (the “</w:t>
            </w:r>
            <w:r>
              <w:rPr>
                <w:rFonts w:ascii="Times New Roman;Times;Serif" w:hAnsi="Times New Roman;Times;Serif"/>
                <w:b/>
                <w:i/>
                <w:sz w:val="20"/>
              </w:rPr>
              <w:t>Warrant Agent</w:t>
            </w:r>
            <w:r>
              <w:rPr>
                <w:rFonts w:ascii="Times New Roman;Times;Serif" w:hAnsi="Times New Roman;Times;Serif"/>
                <w:sz w:val="20"/>
              </w:rPr>
              <w:t>”) and the Company, in the forms filed as Exhibits 4.5, 4.6 and 4.7 to the Registration Statement, respectively (each, a “</w:t>
            </w:r>
            <w:r>
              <w:rPr>
                <w:rFonts w:ascii="Times New Roman;Times;Serif" w:hAnsi="Times New Roman;Times;Serif"/>
                <w:b/>
                <w:i/>
                <w:sz w:val="20"/>
              </w:rPr>
              <w:t>Warrant Agreement</w:t>
            </w:r>
            <w:r>
              <w:rPr>
                <w:rFonts w:ascii="Times New Roman;Times;Serif" w:hAnsi="Times New Roman;Times;Serif"/>
                <w:sz w:val="20"/>
              </w:rPr>
              <w:t>”); and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units consisting of any combination of one or more of the Ordinary Shares, Preferred Shares, Debt Securities and Warrants in one or more series (the “</w:t>
            </w:r>
            <w:r>
              <w:rPr>
                <w:rFonts w:ascii="Times New Roman;Times;Serif" w:hAnsi="Times New Roman;Times;Serif"/>
                <w:b/>
                <w:i/>
                <w:sz w:val="20"/>
              </w:rPr>
              <w:t>Units</w:t>
            </w:r>
            <w:r>
              <w:rPr>
                <w:rFonts w:ascii="Times New Roman;Times;Serif" w:hAnsi="Times New Roman;Times;Serif"/>
                <w:sz w:val="20"/>
              </w:rPr>
              <w:t>”), which may be issued under one or more unit agreements, to be dated on or about the date of the issuance of the applicable Units thereunder, by and between a unit agent to be selected by the Company (the “</w:t>
            </w:r>
            <w:r>
              <w:rPr>
                <w:rFonts w:ascii="Times New Roman;Times;Serif" w:hAnsi="Times New Roman;Times;Serif"/>
                <w:b/>
                <w:i/>
                <w:sz w:val="20"/>
              </w:rPr>
              <w:t>Unit Agent</w:t>
            </w:r>
            <w:r>
              <w:rPr>
                <w:rFonts w:ascii="Times New Roman;Times;Serif" w:hAnsi="Times New Roman;Times;Serif"/>
                <w:sz w:val="20"/>
              </w:rPr>
              <w:t>”) and the Company, in the forms to be incorporated by reference as exhibits to the Registration Statement (the “</w:t>
            </w:r>
            <w:r>
              <w:rPr>
                <w:rFonts w:ascii="Times New Roman;Times;Serif" w:hAnsi="Times New Roman;Times;Serif"/>
                <w:b/>
                <w:i/>
                <w:sz w:val="20"/>
              </w:rPr>
              <w:t>Unit Agreement</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Partners: Will H. Cai Michael X. Yu Pang Lee Ethan Z. Jin Xun Zeng Yilin Xu</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Registered Foreign Lawyer (New York): Yiming Liu</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Cooley HK 35th Floor Two Exchange Square 8 Connaught Place Central Hong Kong</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T: +852 3758 1200 F: +852 3014 7818 cooley.com</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7940" cy="4178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6"/>
                    <a:stretch>
                      <a:fillRect/>
                    </a:stretch>
                  </pic:blipFill>
                  <pic:spPr bwMode="auto">
                    <a:xfrm>
                      <a:off x="0" y="0"/>
                      <a:ext cx="1297940" cy="41783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Two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Preferred Shares, the Debt Securities, the Warrants and the Units, are collectively referred to herein as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The Securities are being registered for offer and sale from time to time pursuant to Rule 415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(a) the Registration Statement and the Base Prospectus, and (b) such other records, documents, certificates, opinions, memoranda and instruments as in our judgment are necessary or appropriate to enable us to render the opinion expressed below. As to certain factual matters, we have relied upon a certificate of an officer of the Company and have not independently verified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assumed the legal capacity of all natural persons,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rendering any opinion with respect to any Ordinary Shares or Preferred Shares issuable upon the conversion, exercise or settlement, as applicable, of any Debt Securities, any Warrants or any Units. We have assumed that any Debt Securities, any Warrants or any Units offered under the Registration Statement and the related Indenture, Warrant Agreement or Unit Agreement, as applicable, will be executed in the forms filed, or to be incorporated by reference, as exhibits to the Registration Statement. We have also assumed that with respect to (i) any Debt Securities issuable upon the exercise of any Warrants or settlement of any Units, (ii) any Warrants issuable upon conversion of any Debt Securities or settlement of any Units or (iii) any Units issuable upon conversion of any Debt Securities or exercise of any Warrants, the applicable Debt Securities, Warrants or Units will be binding obligations of the Company, except as may be limited by applicable bankruptcy, insolvency, reorganization, arrangement, moratorium or other similar laws affecting creditors’ rights, and subject to general equity principles and to limitations on availability of equitable relief including, without limitation, specific performance. We have also assumed that (i) the Company is validly existing under the laws of the Cayman Islands, has the corporate power to enter into and perform its obligations under any Debt Securities, any Indenture, any Warrants and any Units in accordance with their terms, (ii) upon issuance, the Company will have duly authorized, executed and delivered any Debt Securities, any Indenture, any Warrants and any Units in accordance with its organizational documents and the laws of the Cayman Islands, (iii) any Ordinary Shares or Preferred Shares issued upon conversion of the Debt Securities or upon exercise of Warrants or as a component of the Units will be duly authorized, validly issued, fully paid and non-assessable and (iv) the execution, delivery and performance by the Company of its obligations under any Debt Securities, any Indenture, any Warrants and any Units will not violate the laws of the Cayman Islands or any other applicable laws (excepting from such assumption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herein is expressed solely with respect to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Partners: Will H. Cai Michael X. Yu Pang Lee Ethan Z. Jin Xun Zeng Yilin Xu</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Registered Foreign Lawyer (New York): Yiming Liu</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Cooley HK 35th Floor Two Exchange Square 8 Connaught Place Central Hong Kong</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T: +852 3758 1200 F: +852 3014 7818 cooley.com</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7940" cy="4178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7"/>
                    <a:stretch>
                      <a:fillRect/>
                    </a:stretch>
                  </pic:blipFill>
                  <pic:spPr bwMode="auto">
                    <a:xfrm>
                      <a:off x="0" y="0"/>
                      <a:ext cx="1297940" cy="41783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Three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in reliance thereon and subject to the assumptions, qualifications, limitations and exceptions set forth herein, we are of the opinion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With respect to any series of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in substantially the form filed as an exhibit to the Registration Statement, has been duly executed and delivered by the Company and the Trustee; (iv) the terms of the Debt Securities and their issuance and sale, including as to any Ordinary Shares or Preferred Shares to be issued on the conversion thereof, have been duly authorized by the Company by all necessary corporate action and the Indenture has been qualified under the Trust Indenture Act of 1939, as amended;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Company’s then operative articles of association (the “</w:t>
      </w:r>
      <w:r>
        <w:rPr>
          <w:rFonts w:ascii="Times New Roman;Times;Serif" w:hAnsi="Times New Roman;Times;Serif"/>
          <w:b/>
          <w:i/>
          <w:caps w:val="false"/>
          <w:smallCaps w:val="false"/>
          <w:sz w:val="20"/>
        </w:rPr>
        <w:t>Articles of Association</w:t>
      </w:r>
      <w:r>
        <w:rPr>
          <w:rFonts w:ascii="Times New Roman;Times;Serif" w:hAnsi="Times New Roman;Times;Serif"/>
          <w:b w:val="false"/>
          <w:i w:val="false"/>
          <w:caps w:val="false"/>
          <w:smallCaps w:val="false"/>
          <w:sz w:val="20"/>
        </w:rPr>
        <w:t>”),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as contemplated by the Registration Statement, the Base Prospectus and the related Prospectus Supplement(s) and in accordance with the Indenture and a duly authorized, executed and delivered purchase, underwriting or similar agreement, or upon exercise of any Warrants or settlement of any Units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 With respect to the Warrants issued under a Warrant Agreement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Warrant Agreement has been duly authorized by the Company and the Warrant Agent by all necessary corporate action; (iii) the applicable Warrant Agreement has been duly executed and delivered by the Company and the Warrant Agent; (iv) the issuance and terms of the Warrants have been duly authorized by the Company by all necessary corporate action; (v)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Articles of Association,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or the settlement of any Units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Partners: Will H. Cai Michael X. Yu Pang Lee Ethan Z. Jin Xun Zeng Yilin Xu</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Registered Foreign Lawyer (New York): Yiming Liu</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Cooley HK 35th Floor Two Exchange Square 8 Connaught Place Central Hong Kong</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T: +852 3758 1200 F: +852 3014 7818 cooley.com</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7940" cy="4178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8"/>
                    <a:stretch>
                      <a:fillRect/>
                    </a:stretch>
                  </pic:blipFill>
                  <pic:spPr bwMode="auto">
                    <a:xfrm>
                      <a:off x="0" y="0"/>
                      <a:ext cx="1297940" cy="41783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Four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With respect to the Units issued under a Unit Agreement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Unit Agreement has been duly authorized by the Company and the Unit Agent by all necessary corporate action; (iii) the applicable Unit Agreement has been duly executed and delivered by the Company and the Unit Agent; (iv) the issuance and terms of the Units have been duly authorized by the Company by all necessary corporate action; (v) the terms of the Units and of their issuance and sale have been duly established in conformity with the applicable Unit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Articles of Association, and so as to comply with any requirement or restriction imposed by any court or governmental body having jurisdiction over the Company; and (vi) the Units, including as to any Ordinary Shares, Preferred Shares, Debt Securities or Warrants that are components of such Units, have been duly executed and delivered by the Company and authenticated by the Unit Agent pursuant to the applicable Unit Agreement and delivered against payment therefor, then the Units, when issued and sold in accordance with the applicable Unit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set forth above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caption “Legal Matters” in the Base Prospectus. In giving such consent, we do not thereby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Partners: Will H. Cai Michael X. Yu Pang Lee Ethan Z. Jin Xun Zeng Yilin Xu</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Registered Foreign Lawyer (New York): Yiming Liu</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Cooley HK 35th Floor Two Exchange Square 8 Connaught Place Central Hong Kong</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T: +852 3758 1200 F: +852 3014 7818 cooley.com</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7940" cy="4178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9"/>
                    <a:stretch>
                      <a:fillRect/>
                    </a:stretch>
                  </pic:blipFill>
                  <pic:spPr bwMode="auto">
                    <a:xfrm>
                      <a:off x="0" y="0"/>
                      <a:ext cx="1297940" cy="41783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Five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smallCaps/>
          <w:sz w:val="20"/>
        </w:rPr>
      </w:pPr>
      <w:r>
        <w:rPr>
          <w:rFonts w:ascii="Times New Roman;Times;Serif" w:hAnsi="Times New Roman;Times;Serif"/>
          <w:b w:val="false"/>
          <w:i w:val="false"/>
          <w:smallCaps/>
          <w:sz w:val="20"/>
        </w:rPr>
        <w:t>Cooley LLP</w:t>
      </w:r>
    </w:p>
    <w:p>
      <w:pPr>
        <w:pStyle w:val="TextBody"/>
        <w:bidi w:val="0"/>
        <w:spacing w:before="0" w:after="0"/>
        <w:ind w:left="0" w:right="0" w:hanging="0"/>
        <w:jc w:val="both"/>
        <w:rPr>
          <w:smallCaps/>
        </w:rPr>
      </w:pPr>
      <w:r>
        <w:rPr>
          <w:smallCaps/>
        </w:rPr>
        <w:t> </w:t>
      </w:r>
    </w:p>
    <w:tbl>
      <w:tblPr>
        <w:tblW w:w="1840" w:type="dxa"/>
        <w:jc w:val="left"/>
        <w:tblInd w:w="0" w:type="dxa"/>
        <w:tblLayout w:type="fixed"/>
        <w:tblCellMar>
          <w:top w:w="0" w:type="dxa"/>
          <w:left w:w="0" w:type="dxa"/>
          <w:bottom w:w="0" w:type="dxa"/>
          <w:right w:w="0" w:type="dxa"/>
        </w:tblCellMar>
      </w:tblPr>
      <w:tblGrid>
        <w:gridCol w:w="380"/>
        <w:gridCol w:w="1385"/>
        <w:gridCol w:w="75"/>
      </w:tblGrid>
      <w:tr>
        <w:trPr/>
        <w:tc>
          <w:tcPr>
            <w:tcW w:w="380" w:type="dxa"/>
            <w:tcBorders/>
            <w:vAlign w:val="center"/>
          </w:tcPr>
          <w:p>
            <w:pPr>
              <w:pStyle w:val="TableContents"/>
              <w:bidi w:val="0"/>
              <w:spacing w:before="0" w:after="283"/>
              <w:jc w:val="both"/>
              <w:rPr/>
            </w:pPr>
            <w:r>
              <w:rPr/>
              <w:t>By:</w:t>
            </w:r>
          </w:p>
        </w:tc>
        <w:tc>
          <w:tcPr>
            <w:tcW w:w="1385" w:type="dxa"/>
            <w:tcBorders>
              <w:bottom w:val="single" w:sz="12" w:space="0" w:color="000000"/>
            </w:tcBorders>
            <w:tcMar>
              <w:bottom w:w="28" w:type="dxa"/>
            </w:tcMar>
            <w:vAlign w:val="center"/>
          </w:tcPr>
          <w:p>
            <w:pPr>
              <w:pStyle w:val="TableContents"/>
              <w:bidi w:val="0"/>
              <w:spacing w:before="0" w:after="283"/>
              <w:jc w:val="both"/>
              <w:rPr/>
            </w:pPr>
            <w:r>
              <w:rPr/>
              <w:t>/s/ Will H. Cai</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both"/>
              <w:rPr/>
            </w:pPr>
            <w:r>
              <w:rPr/>
              <w:t> </w:t>
            </w:r>
          </w:p>
        </w:tc>
        <w:tc>
          <w:tcPr>
            <w:tcW w:w="1385" w:type="dxa"/>
            <w:tcBorders/>
            <w:vAlign w:val="center"/>
          </w:tcPr>
          <w:p>
            <w:pPr>
              <w:pStyle w:val="TableContents"/>
              <w:bidi w:val="0"/>
              <w:spacing w:before="0" w:after="283"/>
              <w:jc w:val="both"/>
              <w:rPr/>
            </w:pPr>
            <w:r>
              <w:rPr/>
              <w:t>Will H. Cai</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Partners: Will H. Cai Michael X. Yu Pang Lee Ethan Z. Jin Xun Zeng Yilin Xu</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Registered Foreign Lawyer (New York): Yiming Liu</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Cooley HK 35th Floor Two Exchange Square 8 Connaught Place Central Hong Kong</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T: +852 3758 1200 F: +852 3014 7818 cooley.com</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3" w:name="ea030073701ex23-1.htm"/>
      <w:bookmarkStart w:id="34" w:name="ksea030073701ex231"/>
      <w:bookmarkEnd w:id="33"/>
      <w:bookmarkEnd w:id="34"/>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F-3 of our report dated April 30, 2026 with respect to the audited consolidated financial statements of Bitdeer Technologies Group (the “Company”) and the effectiveness of the Company’s internal control over financial reporting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MaloneBailey,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www.malonebailey.com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35" w:name="ea030073701ex-fee.htm"/>
      <w:bookmarkStart w:id="36" w:name="ksea030073701exfee"/>
      <w:bookmarkEnd w:id="35"/>
      <w:bookmarkEnd w:id="36"/>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BITDEER TECHNOLOGIES GROUP</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205" w:type="dxa"/>
        <w:jc w:val="left"/>
        <w:tblInd w:w="0" w:type="dxa"/>
        <w:tblLayout w:type="fixed"/>
        <w:tblCellMar>
          <w:top w:w="0" w:type="dxa"/>
          <w:left w:w="0" w:type="dxa"/>
          <w:bottom w:w="0" w:type="dxa"/>
          <w:right w:w="0" w:type="dxa"/>
        </w:tblCellMar>
      </w:tblPr>
      <w:tblGrid>
        <w:gridCol w:w="559"/>
        <w:gridCol w:w="60"/>
        <w:gridCol w:w="816"/>
        <w:gridCol w:w="60"/>
        <w:gridCol w:w="1160"/>
        <w:gridCol w:w="60"/>
        <w:gridCol w:w="575"/>
        <w:gridCol w:w="60"/>
        <w:gridCol w:w="1112"/>
        <w:gridCol w:w="60"/>
        <w:gridCol w:w="1050"/>
        <w:gridCol w:w="60"/>
        <w:gridCol w:w="733"/>
        <w:gridCol w:w="315"/>
        <w:gridCol w:w="60"/>
        <w:gridCol w:w="260"/>
        <w:gridCol w:w="822"/>
        <w:gridCol w:w="60"/>
        <w:gridCol w:w="1040"/>
        <w:gridCol w:w="60"/>
        <w:gridCol w:w="286"/>
        <w:gridCol w:w="937"/>
      </w:tblGrid>
      <w:tr>
        <w:trPr/>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r>
        <w:trPr/>
        <w:tc>
          <w:tcPr>
            <w:tcW w:w="559"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16"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12"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5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r>
        <w:trPr/>
        <w:tc>
          <w:tcPr>
            <w:tcW w:w="10205" w:type="dxa"/>
            <w:gridSpan w:val="22"/>
            <w:tcBorders/>
            <w:vAlign w:val="center"/>
          </w:tcPr>
          <w:p>
            <w:pPr>
              <w:pStyle w:val="TableContents"/>
              <w:bidi w:val="0"/>
              <w:spacing w:before="0" w:after="283"/>
              <w:jc w:val="center"/>
              <w:rPr>
                <w:i/>
              </w:rPr>
            </w:pPr>
            <w:r>
              <w:rPr>
                <w:i/>
              </w:rPr>
              <w:t>Newly Registered Securities</w:t>
            </w:r>
          </w:p>
        </w:tc>
      </w:tr>
      <w:tr>
        <w:trPr/>
        <w:tc>
          <w:tcPr>
            <w:tcW w:w="559"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Ordinary shares, par value US$0.0000001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w:t>
            </w:r>
          </w:p>
        </w:tc>
        <w:tc>
          <w:tcPr>
            <w:tcW w:w="3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8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 </w:t>
            </w:r>
          </w:p>
        </w:tc>
      </w:tr>
      <w:tr>
        <w:trPr/>
        <w:tc>
          <w:tcPr>
            <w:tcW w:w="559"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Preference shares, par value US$0.0000001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r>
      <w:tr>
        <w:trPr/>
        <w:tc>
          <w:tcPr>
            <w:tcW w:w="559"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r>
      <w:tr>
        <w:trPr/>
        <w:tc>
          <w:tcPr>
            <w:tcW w:w="559"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r>
      <w:tr>
        <w:trPr/>
        <w:tc>
          <w:tcPr>
            <w:tcW w:w="559"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w:t>
            </w:r>
          </w:p>
        </w:tc>
        <w:tc>
          <w:tcPr>
            <w:tcW w:w="3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8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 </w:t>
            </w:r>
          </w:p>
        </w:tc>
      </w:tr>
      <w:tr>
        <w:trPr/>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 w:type="dxa"/>
            <w:tcBorders>
              <w:bottom w:val="single" w:sz="8" w:space="0" w:color="000000"/>
            </w:tcBorders>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8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822"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0.00</w:t>
            </w:r>
          </w:p>
        </w:tc>
      </w:tr>
      <w:tr>
        <w:trPr/>
        <w:tc>
          <w:tcPr>
            <w:tcW w:w="668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r>
      <w:tr>
        <w:trPr/>
        <w:tc>
          <w:tcPr>
            <w:tcW w:w="668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 w:type="dxa"/>
            <w:tcBorders>
              <w:bottom w:val="single" w:sz="8" w:space="0" w:color="000000"/>
            </w:tcBorders>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68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 w:type="dxa"/>
            <w:tcBorders>
              <w:bottom w:val="double" w:sz="8" w:space="0" w:color="000000"/>
            </w:tcBorders>
            <w:tcMar>
              <w:bottom w:w="28" w:type="dxa"/>
            </w:tcMar>
            <w:vAlign w:val="center"/>
          </w:tcPr>
          <w:p>
            <w:pPr>
              <w:pStyle w:val="TableContents"/>
              <w:bidi w:val="0"/>
              <w:spacing w:before="0" w:after="283"/>
              <w:jc w:val="left"/>
              <w:rPr/>
            </w:pPr>
            <w:r>
              <w:rPr/>
              <w:t>$</w:t>
            </w:r>
          </w:p>
        </w:tc>
        <w:tc>
          <w:tcPr>
            <w:tcW w:w="937" w:type="dxa"/>
            <w:tcBorders>
              <w:bottom w:val="double" w:sz="8" w:space="0" w:color="000000"/>
            </w:tcBorders>
            <w:tcMar>
              <w:bottom w:w="28" w:type="dxa"/>
            </w:tcMar>
            <w:vAlign w:val="center"/>
          </w:tcPr>
          <w:p>
            <w:pPr>
              <w:pStyle w:val="TableContents"/>
              <w:bidi w:val="0"/>
              <w:spacing w:before="0" w:after="283"/>
              <w:jc w:val="right"/>
              <w:rPr/>
            </w:pPr>
            <w:r>
              <w:rPr/>
              <w:t>0.00</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Omitted pursuant to Form F-3 Instructions to the Calculation of Filing Fee Tables and Related Disclosure 2(A)(iii)(c). An indeterminate number or amount, as the case may be, of the securities of each identified class is being registered as may from time to time be issued at indeterminate prices or upon conversion, exchange or exercise of securities registered hereunder to the extent any such securities are, by their terms, convertible into, or exchangeable or exercisable for other securities of any identified class, and may be sold separately or in combination with the other securities hereunder. Pursuant to Rule 416 under the Securities Act of 1933, as amended (the “Securities Act”), this registration statement also covers any additional securities that may be offered or issued in connection with any stock split, stock dividend, or pursuant to anti-dilution adjustments determined at the time of the offering. Separate consideration may or may not be received for securities that are issuable on exercise, conversion or exchange for other securities offered hereby.</w:t>
              <w:br/>
              <w:br/>
              <w:t>In accordance with Rules 456(b) and 457(r) of the Securities Act, the registrant is deferring payment of these registration fees and will pay any applicable registration fees on a “pay as you go” basis. The registrant will calculate the registration fee applicable to an offer of securities hereunder based on the fee rate in effect on the date of such fee payment.</w:t>
            </w:r>
          </w:p>
        </w:tc>
      </w:tr>
    </w:tbl>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Omitted pursuant to Form F-3 Instructions to the Calculation of Filing Fee Tables and Related Disclosure 2(A)(iii)(c). An indeterminate number or amount, as the case may be, of the securities of each identified class is being registered as may from time to time be issued at indeterminate prices or upon conversion, exchange or exercise of securities registered hereunder to the extent any such securities are, by their terms, convertible into, or exchangeable or exercisable for other securities of any identified class, and may be sold separately or in combination with the other securities hereunder. Pursuant to Rule 416 under the Securities Act of 1933, as amended (the “Securities Act”), this registration statement also covers any additional securities that may be offered or issued in connection with any stock split, stock dividend, or pursuant to anti-dilution adjustments determined at the time of the offering. Separate consideration may or may not be received for securities that are issuable on exercise, conversion or exchange for other securities offered hereby.</w:t>
              <w:br/>
              <w:br/>
              <w:t>In accordance with Rules 456(b) and 457(r) of the Securities Act, the registrant is deferring payment of these registration fees and will pay any applicable registration fees on a “pay as you go” basis. The registrant will calculate the registration fee applicable to an offer of securities hereunder based on the fee rate in effect on the date of such fee payment.</w:t>
            </w:r>
          </w:p>
        </w:tc>
      </w:tr>
    </w:tbl>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Omitted pursuant to Form F-3 Instructions to the Calculation of Filing Fee Tables and Related Disclosure 2(A)(iii)(c). An indeterminate number or amount, as the case may be, of the securities of each identified class is being registered as may from time to time be issued at indeterminate prices or upon conversion, exchange or exercise of securities registered hereunder to the extent any such securities are, by their terms, convertible into, or exchangeable or exercisable for other securities of any identified class, and may be sold separately or in combination with the other securities hereunder. Pursuant to Rule 416 under the Securities Act of 1933, as amended (the “Securities Act”), this registration statement also covers any additional securities that may be offered or issued in connection with any stock split, stock dividend, or pursuant to anti-dilution adjustments determined at the time of the offering. Separate consideration may or may not be received for securities that are issuable on exercise, conversion or exchange for other securities offered hereby.</w:t>
              <w:br/>
              <w:br/>
              <w:t>In accordance with Rules 456(b) and 457(r) of the Securities Act, the registrant is deferring payment of these registration fees and will pay any applicable registration fees on a “pay as you go” basis. The registrant will calculate the registration fee applicable to an offer of securities hereunder based on the fee rate in effect on the date of such fee payment.</w:t>
            </w:r>
          </w:p>
        </w:tc>
      </w:tr>
    </w:tbl>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Omitted pursuant to Form F-3 Instructions to the Calculation of Filing Fee Tables and Related Disclosure 2(A)(iii)(c). An indeterminate number or amount, as the case may be, of the securities of each identified class is being registered as may from time to time be issued at indeterminate prices or upon conversion, exchange or exercise of securities registered hereunder to the extent any such securities are, by their terms, convertible into, or exchangeable or exercisable for other securities of any identified class, and may be sold separately or in combination with the other securities hereunder. Pursuant to Rule 416 under the Securities Act of 1933, as amended (the “Securities Act”), this registration statement also covers any additional securities that may be offered or issued in connection with any stock split, stock dividend, or pursuant to anti-dilution adjustments determined at the time of the offering. Separate consideration may or may not be received for securities that are issuable on exercise, conversion or exchange for other securities offered hereby.</w:t>
              <w:br/>
              <w:br/>
              <w:t>In accordance with Rules 456(b) and 457(r) of the Securities Act, the registrant is deferring payment of these registration fees and will pay any applicable registration fees on a “pay as you go” basis. The registrant will calculate the registration fee applicable to an offer of securities hereunder based on the fee rate in effect on the date of such fee payment.</w:t>
            </w:r>
          </w:p>
        </w:tc>
      </w:tr>
    </w:tbl>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Omitted pursuant to Form F-3 Instructions to the Calculation of Filing Fee Tables and Related Disclosure 2(A)(iii)(c). An indeterminate number or amount, as the case may be, of the securities of each identified class is being registered as may from time to time be issued at indeterminate prices or upon conversion, exchange or exercise of securities registered hereunder to the extent any such securities are, by their terms, convertible into, or exchangeable or exercisable for other securities of any identified class, and may be sold separately or in combination with the other securities hereunder. Pursuant to Rule 416 under the Securities Act of 1933, as amended (the “Securities Act”), this registration statement also covers any additional securities that may be offered or issued in connection with any stock split, stock dividend, or pursuant to anti-dilution adjustments determined at the time of the offering. Separate consideration may or may not be received for securities that are issuable on exercise, conversion or exchange for other securities offered hereby.</w:t>
              <w:br/>
              <w:br/>
              <w:t>In accordance with Rules 456(b) and 457(r) of the Securities Act, the registrant is deferring payment of these registration fees and will pay any applicable registration fees on a “pay as you go” basis. The registrant will calculate the registration fee applicable to an offer of securities hereunder based on the fee rate in effect on the date of such fee payment.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99123/000121390026049770/ea0282628-20f_bitdeer.htm" TargetMode="External"/><Relationship Id="rId4" Type="http://schemas.openxmlformats.org/officeDocument/2006/relationships/hyperlink" Target="https://www.sec.gov/Archives/edgar/data/1899123/000121390026061170/ea0291988-6k_bitdeer.htm" TargetMode="External"/><Relationship Id="rId5" Type="http://schemas.openxmlformats.org/officeDocument/2006/relationships/hyperlink" Target="https://www.sec.gov/Archives/edgar/data/1899123/000121390026066075/ea0293912-6k_bitdeer.htm" TargetMode="External"/><Relationship Id="rId6" Type="http://schemas.openxmlformats.org/officeDocument/2006/relationships/hyperlink" Target="https://www.sec.gov/Archives/edgar/data/1899123/000121390026075191/ea0297089-6k_bitdeer.htm" TargetMode="External"/><Relationship Id="rId7" Type="http://schemas.openxmlformats.org/officeDocument/2006/relationships/hyperlink" Target="https://www.sec.gov/Archives/edgar/data/1899123/000121390026084288/ea0299664-6k_bitdeer.htm" TargetMode="External"/><Relationship Id="rId8" Type="http://schemas.openxmlformats.org/officeDocument/2006/relationships/hyperlink" Target="https://www.sec.gov/Archives/edgar/data/1899123/000110465923044314/tm2312555d1_8a12b.htm" TargetMode="External"/><Relationship Id="rId9" Type="http://schemas.openxmlformats.org/officeDocument/2006/relationships/hyperlink" Target="https://www.sec.gov/Archives/edgar/data/1899123/000121390026056587/ea0290297-6k_bitdeer.htm" TargetMode="External"/><Relationship Id="rId10" Type="http://schemas.openxmlformats.org/officeDocument/2006/relationships/hyperlink" Target="https://www.sec.gov/Archives/edgar/data/1899123/000121390026086938/ea0301313-6k_bitdeer.htm" TargetMode="External"/><Relationship Id="rId11" Type="http://schemas.openxmlformats.org/officeDocument/2006/relationships/image" Target="media/image1.jpeg"/><Relationship Id="rId12" Type="http://schemas.openxmlformats.org/officeDocument/2006/relationships/hyperlink" Target="https://www.sec.gov/Archives/edgar/data/1899123/000110465923047181/tm237717d3_ex1-1.htm" TargetMode="External"/><Relationship Id="rId13" Type="http://schemas.openxmlformats.org/officeDocument/2006/relationships/hyperlink" Target="https://www.sec.gov/Archives/edgar/data/1899123/000110465923029896/tm2135137d43_ex4-1.htm" TargetMode="External"/><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89664</Words>
  <Characters>463919</Characters>
  <CharactersWithSpaces>554486</CharactersWithSpaces>
  <Paragraphs>6229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