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 Yuling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2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Bitdeer Technologies Group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BTDR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7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BITDEER TECHNOLOGIES GROUP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08 KALLANG AVE, APERIA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1 #09-03/04</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339509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03/31/2026</w:t>
      </w:r>
    </w:p>
    <w:p>
      <w:pPr>
        <w:spacing w:after="0" w:line="200" w:lineRule="exact"/>
        <w:rPr>
          <w:sz w:val="24"/>
          <w:szCs w:val="24"/>
          <w:color w:val="auto"/>
        </w:rPr>
      </w:pPr>
    </w:p>
    <w:p>
      <w:pPr>
        <w:spacing w:after="0" w:line="239"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spacing w:after="0" w:line="11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04/01/2035</w:t>
            </w:r>
          </w:p>
        </w:tc>
        <w:tc>
          <w:tcPr>
            <w:tcW w:w="17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150,000</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8.96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07/01/2035</w:t>
            </w:r>
          </w:p>
        </w:tc>
        <w:tc>
          <w:tcPr>
            <w:tcW w:w="17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150,000</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11.3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subject to a 5-year vesting schedule, with 20% of the shares vesting on each anniversary of the April 1, 2025 grant date, subject to the Reporting Person's continued service with the Issuer.</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subject to a 5-year vesting schedule, with 20% of the shares vesting on each anniversary of the July 1, 2025 grant date, subject to the Reporting Person's continued service with the Issuer, and based on the working performance, service quality, contributions, or other factors prior to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This amendment is being filed to report derivative securities that were inadvertently omitted from the reporting person's original Form 3 filed on March 31, 2026.</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3"/>
              </w:rPr>
              <w:t>/s/ Yuling Ma</w:t>
            </w:r>
          </w:p>
        </w:tc>
        <w:tc>
          <w:tcPr>
            <w:tcW w:w="11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04/30/2026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3839" TargetMode="External"/><Relationship Id="rId11" Type="http://schemas.openxmlformats.org/officeDocument/2006/relationships/hyperlink" Target="http://www.sec.gov/cgi-bin/browse-edgar?action=getcompany&amp;CIK=000189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2026-04-30T09:26:55Z</dcterms:created>
  <dcterms:modified xsi:type="dcterms:W3CDTF">2026-04-30T09:26:55Z</dcterms:modified>
</cp:coreProperties>
</file>