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G11448100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Tether Holdings, S.A. de C.V.</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Final Av. La Revolucion, Edif. Centro, Corporativo Presidente Plaza, Nivel 12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Salvador, H3,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443333355842</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Woodard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Emery LLP, One Vanderbilt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547-5400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Holdings, S.A. de C.V.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Note in relation to Items 8, 10 and 11: Includes 32,244,062 Class A ordinary shares, par value $0.0000001 per share</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478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("Class A Shares") of Bitdeer Technologies Group</w:t>
            </w:r>
          </w:p>
        </w:tc>
        <w:tc>
          <w:tcPr>
            <w:tcW w:w="5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held by Tether Investments, S.A. de C.V., a wholly owned</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subsidiary of Tether Holdings, S.A. de C.V. Note in</w:t>
            </w:r>
          </w:p>
        </w:tc>
        <w:tc>
          <w:tcPr>
            <w:tcW w:w="5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relation to Item 13: This percentage is calculated based upon</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177,344,567 Class A Shares outstanding on September 30, 2025, as reported in the Issuer's prospectus supplement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filed with the Securities and Exchange Commission pursuant to Rule 424(b)(5) on November 14, 2025.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639" w:right="339" w:bottom="262"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Note in relation to Item 13: This percentage is calculated based upon 177,344,567 Class A Shares outstanding on</w:t>
      </w:r>
    </w:p>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2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rPr>
              <w:t>September 30, 2025, as reported in the Issuer's prospectus supplement filed with the Securities and Exchange</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Commission pursuant to Rule 424(b)(5) on November 14, 2025.</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3" w:name="page4"/>
    <w:bookmarkEnd w:id="3"/>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32,244,062.00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in relation to Items 8, 10 and 11: Includes 32,244,062 Class A ordinary shares, par value $0.0000001 per share ("Class A Shares") of Bitdeer Technologies Group held by Tether Investments, S.A. de C.V., a wholly owned subsidiary of Tether Holdings, S.A. de C.V. Mr. Devasini has a greater than 50% voting interest in Tether Holdings,</w:t>
      </w:r>
    </w:p>
    <w:p>
      <w:pPr>
        <w:spacing w:after="0" w:line="1" w:lineRule="exact"/>
        <w:rPr>
          <w:sz w:val="20"/>
          <w:szCs w:val="20"/>
          <w:color w:val="auto"/>
        </w:rPr>
      </w:pPr>
    </w:p>
    <w:p>
      <w:pPr>
        <w:sectPr>
          <w:pgSz w:w="11900" w:h="16838" w:orient="portrait"/>
          <w:cols w:equalWidth="0" w:num="2">
            <w:col w:w="820" w:space="100"/>
            <w:col w:w="10320"/>
          </w:cols>
          <w:pgMar w:left="320" w:top="112"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S.A. de C.V. The reporting person disclaims beneficial ownership of these shares except to the extent of the reporting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person's pecuniary interest. Note in relation to Item 13: This percentage is calculated based upon 177,344,567 Class A</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Shares outstanding on September 30, 2025, as reported in the Issuer's prospectus supplement filed with the Securities and Exchange Commission pursuant to Rule 424(b)(5) on November 14,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08 Kallang Avenue, Aperia Tower 1, #09-03/04, Singapore, SINGAPORE , 339509.</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amends the Schedule 13D of Tether Holdings Limited, a British Virgin Islands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business company, Tether International Limited, a British Virgin Islands business company, Ludovicus Jan Van 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Velde and Giancarlo Devasini that was originally filed with the Securities and Exchange Commission on June 6, 2024, as amended by Amendment No. 1 filed on August 8, 2024, Amendment No. 2 filed on September 3, 2024, Amendment No. 3 filed on November 7, 2024, Amendment No. 4 filed on January 22, 2025, Amendment No. 5 filed on March 17, 2025, Amendment No. 6 filed on April 8, 2025, Amendment No. 7 filed on April 15, 2025, Amendment No. 8 filed on April 23, 2025 and Amendment No. 9 filed on November 10, 2025 (as amended, the "Schedule 13D") with respect to the Class A ordinary shares, par value $0.0000001 per share ("Class A Shares") of Bitdeer Technologies Group, an exempted company incorporated in the Cayman Islands (the "Issuer"). This amendment to the Schedule 13D is being filed by Tether Holdings, S.A. de C.V. (f/k/a Tether Holdings Limited), an El Salvador entity, an El Salvador entity, Tether Investments, S.A. de C.V. (f/k/a Tether Investments Limited), an El Salvador  entity  ("Tether  Investments"),  and  Giancarlo  Devasini  (collectively,  the  "Reporting  Persons")  and constitutes Amendment No.10 to the Schedule 13D. Capitalized terms used but not defined herein have the meanings</w:t>
      </w:r>
    </w:p>
    <w:p>
      <w:pPr>
        <w:spacing w:after="0" w:line="2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given to such terms in the Schedule 13D. Except as set forth herein, the Schedule 13D is unmodified.</w:t>
      </w:r>
    </w:p>
    <w:p>
      <w:pPr>
        <w:sectPr>
          <w:pgSz w:w="11900" w:h="16838" w:orient="portrait"/>
          <w:cols w:equalWidth="0" w:num="1">
            <w:col w:w="11240"/>
          </w:cols>
          <w:pgMar w:left="320" w:top="112" w:right="33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Reporting Persons beneficially own an aggregate of 32,244,062 of the Issuer's Class A Shares, representing</w:t>
      </w:r>
    </w:p>
    <w:p>
      <w:pPr>
        <w:spacing w:after="0" w:line="14" w:lineRule="exact"/>
        <w:rPr>
          <w:sz w:val="20"/>
          <w:szCs w:val="20"/>
          <w:color w:val="auto"/>
        </w:rPr>
      </w:pPr>
    </w:p>
    <w:p>
      <w:pPr>
        <w:ind w:left="920" w:right="34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18.2% of the outstanding Class A Shares. This percentage is calculated based upon 177,344,567 Class A Shares outstanding on September 30, 2025, as reported in the Issuer's prospectus supplement filed with the Securities and Exchange Commission pursuant to Rule 424(b)(5) on November 14, 2025.</w:t>
      </w:r>
    </w:p>
    <w:p>
      <w:pPr>
        <w:spacing w:after="0" w:line="18" w:lineRule="exact"/>
        <w:rPr>
          <w:rFonts w:ascii="Times New Roman" w:cs="Times New Roman" w:eastAsia="Times New Roman" w:hAnsi="Times New Roman"/>
          <w:sz w:val="42"/>
          <w:szCs w:val="42"/>
          <w:color w:val="auto"/>
          <w:vertAlign w:val="subscript"/>
        </w:rPr>
      </w:pPr>
    </w:p>
    <w:p>
      <w:pPr>
        <w:ind w:left="920" w:right="7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has shared voting and dispositive power with respect to the beneficially owned 32,244,062 of the Issuer's Class A Shares.</w:t>
      </w:r>
    </w:p>
    <w:p>
      <w:pPr>
        <w:spacing w:after="0" w:line="17" w:lineRule="exact"/>
        <w:rPr>
          <w:rFonts w:ascii="Times New Roman" w:cs="Times New Roman" w:eastAsia="Times New Roman" w:hAnsi="Times New Roman"/>
          <w:sz w:val="39"/>
          <w:szCs w:val="39"/>
          <w:color w:val="auto"/>
          <w:vertAlign w:val="subscript"/>
        </w:rPr>
      </w:pPr>
    </w:p>
    <w:p>
      <w:pPr>
        <w:ind w:left="920" w:right="360" w:hanging="912"/>
        <w:spacing w:after="0"/>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Schedule B sets forth the transactions in the Common Shares effected by the Reporting Persons during the past 60 days.</w:t>
      </w:r>
    </w:p>
    <w:p>
      <w:pPr>
        <w:spacing w:after="0" w:line="91"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Schedule A - Executive Officers and Directors Schedule B - Open Market Purchases Exhibit 1 - Agreement of filing persons relating to filing of joint statement per Rule 13d-1(k).</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Tether Holdings, S.A. de C.V.</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Giancarlo Devasini, President</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Giancarlo Devasini, individually</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11/25/2025</w:t>
      </w:r>
    </w:p>
    <w:p>
      <w:pPr>
        <w:sectPr>
          <w:pgSz w:w="11900" w:h="16838" w:orient="portrait"/>
          <w:cols w:equalWidth="0" w:num="1">
            <w:col w:w="11140"/>
          </w:cols>
          <w:pgMar w:left="360" w:top="112"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country of citizenship, position and principal occupation of each executive officer and member of the board of directors of Tether Holdings, S.A. de C.V.,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Holdings, S.A. de C.V.</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60" w:type="dxa"/>
            <w:vAlign w:val="bottom"/>
            <w:tcBorders>
              <w:top w:val="single" w:sz="8" w:color="auto"/>
              <w:left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Name and</w:t>
            </w:r>
          </w:p>
        </w:tc>
        <w:tc>
          <w:tcPr>
            <w:tcW w:w="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320" w:type="dxa"/>
            <w:vAlign w:val="bottom"/>
            <w:tcBorders>
              <w:top w:val="single" w:sz="8" w:color="auto"/>
              <w:bottom w:val="single" w:sz="8" w:color="auto"/>
            </w:tcBorders>
            <w:vMerge w:val="restart"/>
          </w:tcPr>
          <w:p>
            <w:pPr>
              <w:spacing w:after="0"/>
              <w:rPr>
                <w:sz w:val="24"/>
                <w:szCs w:val="24"/>
                <w:color w:val="auto"/>
              </w:rPr>
            </w:pPr>
          </w:p>
        </w:tc>
        <w:tc>
          <w:tcPr>
            <w:tcW w:w="96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w:t>
            </w:r>
          </w:p>
        </w:tc>
        <w:tc>
          <w:tcPr>
            <w:tcW w:w="34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420" w:type="dxa"/>
            <w:vAlign w:val="bottom"/>
            <w:tcBorders>
              <w:top w:val="single" w:sz="8" w:color="auto"/>
              <w:bottom w:val="single" w:sz="8" w:color="auto"/>
            </w:tcBorders>
            <w:vMerge w:val="restart"/>
          </w:tcPr>
          <w:p>
            <w:pPr>
              <w:spacing w:after="0"/>
              <w:rPr>
                <w:sz w:val="24"/>
                <w:szCs w:val="24"/>
                <w:color w:val="auto"/>
              </w:rPr>
            </w:pPr>
          </w:p>
        </w:tc>
        <w:tc>
          <w:tcPr>
            <w:tcW w:w="40" w:type="dxa"/>
            <w:vAlign w:val="bottom"/>
            <w:tcBorders>
              <w:top w:val="single" w:sz="8" w:color="auto"/>
              <w:bottom w:val="single" w:sz="8" w:color="auto"/>
            </w:tcBorders>
            <w:vMerge w:val="restart"/>
          </w:tcPr>
          <w:p>
            <w:pPr>
              <w:spacing w:after="0"/>
              <w:rPr>
                <w:sz w:val="24"/>
                <w:szCs w:val="24"/>
                <w:color w:val="auto"/>
              </w:rPr>
            </w:pPr>
          </w:p>
        </w:tc>
        <w:tc>
          <w:tcPr>
            <w:tcW w:w="7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500" w:type="dxa"/>
            <w:vAlign w:val="bottom"/>
            <w:tcBorders>
              <w:top w:val="single" w:sz="8" w:color="auto"/>
              <w:bottom w:val="single" w:sz="8" w:color="auto"/>
              <w:right w:val="single" w:sz="8" w:color="auto"/>
            </w:tcBorders>
            <w:gridSpan w:val="2"/>
            <w:vMerge w:val="restart"/>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vMerge w:val="restart"/>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6"/>
              </w:rPr>
              <w:t>Citizenship</w:t>
            </w:r>
          </w:p>
        </w:tc>
        <w:tc>
          <w:tcPr>
            <w:tcW w:w="1380" w:type="dxa"/>
            <w:vAlign w:val="bottom"/>
            <w:tcBorders>
              <w:right w:val="single" w:sz="8" w:color="auto"/>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60" w:type="dxa"/>
            <w:vAlign w:val="bottom"/>
            <w:tcBorders>
              <w:bottom w:val="single" w:sz="8" w:color="auto"/>
            </w:tcBorders>
            <w:vMerge w:val="continue"/>
          </w:tcPr>
          <w:p>
            <w:pPr>
              <w:spacing w:after="0" w:line="20" w:lineRule="exact"/>
              <w:rPr>
                <w:sz w:val="1"/>
                <w:szCs w:val="1"/>
                <w:color w:val="auto"/>
              </w:rPr>
            </w:pPr>
          </w:p>
        </w:tc>
        <w:tc>
          <w:tcPr>
            <w:tcW w:w="500" w:type="dxa"/>
            <w:vAlign w:val="bottom"/>
            <w:tcBorders>
              <w:right w:val="single" w:sz="8" w:color="auto"/>
            </w:tcBorders>
            <w:gridSpan w:val="2"/>
            <w:vMerge w:val="continu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0" w:type="dxa"/>
            <w:vAlign w:val="bottom"/>
            <w:tcBorders>
              <w:left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380" w:type="dxa"/>
            <w:vAlign w:val="bottom"/>
            <w:tcBorders>
              <w:right w:val="single" w:sz="8" w:color="auto"/>
            </w:tcBorders>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right w:val="single" w:sz="8" w:color="auto"/>
            </w:tcBorders>
            <w:gridSpan w:val="2"/>
          </w:tcPr>
          <w:p>
            <w:pPr>
              <w:spacing w:after="0"/>
              <w:rPr>
                <w:sz w:val="13"/>
                <w:szCs w:val="13"/>
                <w:color w:val="auto"/>
              </w:rPr>
            </w:pPr>
          </w:p>
        </w:tc>
        <w:tc>
          <w:tcPr>
            <w:tcW w:w="420" w:type="dxa"/>
            <w:vAlign w:val="bottom"/>
            <w:vMerge w:val="restart"/>
          </w:tcPr>
          <w:p>
            <w:pPr>
              <w:spacing w:after="0"/>
              <w:rPr>
                <w:sz w:val="13"/>
                <w:szCs w:val="13"/>
                <w:color w:val="auto"/>
              </w:rPr>
            </w:pPr>
          </w:p>
        </w:tc>
        <w:tc>
          <w:tcPr>
            <w:tcW w:w="1300" w:type="dxa"/>
            <w:vAlign w:val="bottom"/>
            <w:tcBorders>
              <w:right w:val="single" w:sz="8" w:color="auto"/>
            </w:tcBorders>
            <w:gridSpan w:val="4"/>
            <w:vMerge w:val="restart"/>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Ownership</w:t>
            </w:r>
          </w:p>
        </w:tc>
        <w:tc>
          <w:tcPr>
            <w:tcW w:w="1560" w:type="dxa"/>
            <w:vAlign w:val="bottom"/>
            <w:vMerge w:val="restart"/>
          </w:tcPr>
          <w:p>
            <w:pPr>
              <w:spacing w:after="0"/>
              <w:rPr>
                <w:sz w:val="13"/>
                <w:szCs w:val="13"/>
                <w:color w:val="auto"/>
              </w:rPr>
            </w:pPr>
          </w:p>
        </w:tc>
        <w:tc>
          <w:tcPr>
            <w:tcW w:w="2920" w:type="dxa"/>
            <w:vAlign w:val="bottom"/>
            <w:tcBorders>
              <w:right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Business Address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300" w:type="dxa"/>
            <w:vAlign w:val="bottom"/>
            <w:tcBorders>
              <w:right w:val="single" w:sz="8" w:color="auto"/>
            </w:tcBorders>
            <w:gridSpan w:val="6"/>
            <w:vMerge w:val="restart"/>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420" w:type="dxa"/>
            <w:vAlign w:val="bottom"/>
            <w:vMerge w:val="continue"/>
          </w:tcPr>
          <w:p>
            <w:pPr>
              <w:spacing w:after="0" w:line="20" w:lineRule="exact"/>
              <w:rPr>
                <w:sz w:val="1"/>
                <w:szCs w:val="1"/>
                <w:color w:val="auto"/>
              </w:rPr>
            </w:pPr>
          </w:p>
        </w:tc>
        <w:tc>
          <w:tcPr>
            <w:tcW w:w="1300" w:type="dxa"/>
            <w:vAlign w:val="bottom"/>
            <w:tcBorders>
              <w:right w:val="single" w:sz="8" w:color="auto"/>
            </w:tcBorders>
            <w:gridSpan w:val="4"/>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Borders>
              <w:right w:val="single" w:sz="8" w:color="auto"/>
            </w:tcBorders>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President</w:t>
            </w:r>
          </w:p>
        </w:tc>
        <w:tc>
          <w:tcPr>
            <w:tcW w:w="122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6"/>
                <w:szCs w:val="16"/>
                <w:color w:val="auto"/>
              </w:rPr>
              <w:t>32,244,062</w:t>
            </w:r>
            <w:r>
              <w:rPr>
                <w:rFonts w:ascii="Times New Roman" w:cs="Times New Roman" w:eastAsia="Times New Roman" w:hAnsi="Times New Roman"/>
                <w:sz w:val="25"/>
                <w:szCs w:val="25"/>
                <w:color w:val="auto"/>
                <w:vertAlign w:val="superscript"/>
              </w:rPr>
              <w:t>(1)</w:t>
            </w:r>
          </w:p>
        </w:tc>
        <w:tc>
          <w:tcPr>
            <w:tcW w:w="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Ludovicus Jan Van der Velde,</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Alternate President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 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the Netherlands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Josue Lopez,</w:t>
            </w:r>
          </w:p>
        </w:tc>
        <w:tc>
          <w:tcPr>
            <w:tcW w:w="162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Alternate Secretary</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El Salvador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Investments, S.A. de C.V.</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60" w:type="dxa"/>
            <w:vAlign w:val="bottom"/>
            <w:tcBorders>
              <w:top w:val="single" w:sz="8" w:color="auto"/>
              <w:left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Name and Citizenship</w:t>
            </w:r>
          </w:p>
        </w:tc>
        <w:tc>
          <w:tcPr>
            <w:tcW w:w="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00" w:type="dxa"/>
            <w:vAlign w:val="bottom"/>
            <w:tcBorders>
              <w:top w:val="single" w:sz="8" w:color="auto"/>
              <w:bottom w:val="single" w:sz="8" w:color="auto"/>
            </w:tcBorders>
            <w:vMerge w:val="restart"/>
          </w:tcPr>
          <w:p>
            <w:pPr>
              <w:spacing w:after="0"/>
              <w:rPr>
                <w:sz w:val="24"/>
                <w:szCs w:val="24"/>
                <w:color w:val="auto"/>
              </w:rPr>
            </w:pPr>
          </w:p>
        </w:tc>
        <w:tc>
          <w:tcPr>
            <w:tcW w:w="17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 Principal</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tcBorders>
              <w:top w:val="single" w:sz="8" w:color="auto"/>
              <w:bottom w:val="single" w:sz="8" w:color="auto"/>
            </w:tcBorders>
            <w:vMerge w:val="restart"/>
          </w:tcPr>
          <w:p>
            <w:pPr>
              <w:spacing w:after="0"/>
              <w:rPr>
                <w:sz w:val="24"/>
                <w:szCs w:val="24"/>
                <w:color w:val="auto"/>
              </w:rPr>
            </w:pPr>
          </w:p>
        </w:tc>
        <w:tc>
          <w:tcPr>
            <w:tcW w:w="292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40" w:type="dxa"/>
            <w:vAlign w:val="bottom"/>
            <w:tcBorders>
              <w:right w:val="single" w:sz="8" w:color="auto"/>
            </w:tcBorders>
            <w:gridSpan w:val="4"/>
            <w:vMerge w:val="restart"/>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860" w:type="dxa"/>
            <w:vAlign w:val="bottom"/>
            <w:tcBorders>
              <w:right w:val="single" w:sz="8" w:color="auto"/>
            </w:tcBorders>
            <w:gridSpan w:val="3"/>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74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6"/>
                <w:szCs w:val="16"/>
                <w:color w:val="auto"/>
              </w:rPr>
              <w:t>32,244,062</w:t>
            </w:r>
            <w:r>
              <w:rPr>
                <w:rFonts w:ascii="Times New Roman" w:cs="Times New Roman" w:eastAsia="Times New Roman" w:hAnsi="Times New Roman"/>
                <w:sz w:val="25"/>
                <w:szCs w:val="25"/>
                <w:color w:val="auto"/>
                <w:vertAlign w:val="superscript"/>
              </w:rPr>
              <w:t>(1)</w:t>
            </w:r>
          </w:p>
        </w:tc>
        <w:tc>
          <w:tcPr>
            <w:tcW w:w="1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Alternate Administrator</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5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32,244,062 Class A ordinary shares, par value $0.0000001 per share (“Class A Shares”) of Bitdeer Technologies Group held by Tether Investments S.A. de C.V., a wholly owned subsidiary of Tether Holdings S.A. de C.V.</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2021, the U.S. Commodity Futures Trading Commission (CFTC) instituted and settled regulatory proceedings against Tether Holdings Limited,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Class A Shares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lists all transactions completed by Tether Investments S.A. de C.V. in the Class A Shares since the Reporting Persons' most recent filing on November 10, 2025, which were all completed through open market purchases: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700" w:type="dxa"/>
            <w:vAlign w:val="bottom"/>
            <w:tcBorders>
              <w:top w:val="single" w:sz="8" w:color="auto"/>
              <w:bottom w:val="single" w:sz="8" w:color="auto"/>
              <w:right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3700" w:type="dxa"/>
            <w:vAlign w:val="bottom"/>
            <w:tcBorders>
              <w:top w:val="single" w:sz="8" w:color="auto"/>
              <w:bottom w:val="single" w:sz="8" w:color="auto"/>
              <w:right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32"/>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17,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10.1500</w:t>
            </w:r>
          </w:p>
        </w:tc>
      </w:tr>
      <w:tr>
        <w:trPr>
          <w:trHeight w:val="237"/>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18,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45,879</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10.1500</w:t>
            </w:r>
          </w:p>
        </w:tc>
      </w:tr>
      <w:tr>
        <w:trPr>
          <w:trHeight w:val="236"/>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19,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348,420</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9.9977</w:t>
            </w:r>
          </w:p>
        </w:tc>
      </w:tr>
      <w:tr>
        <w:trPr>
          <w:trHeight w:val="237"/>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19,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940,197</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10.1175</w:t>
            </w:r>
          </w:p>
        </w:tc>
      </w:tr>
      <w:tr>
        <w:trPr>
          <w:trHeight w:val="237"/>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20,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13,789</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10.1370</w:t>
            </w:r>
          </w:p>
        </w:tc>
      </w:tr>
      <w:tr>
        <w:trPr>
          <w:trHeight w:val="237"/>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21,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9.6994</w:t>
            </w:r>
          </w:p>
        </w:tc>
      </w:tr>
      <w:tr>
        <w:trPr>
          <w:trHeight w:val="236"/>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21,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141,235</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9.7866</w:t>
            </w:r>
          </w:p>
        </w:tc>
      </w:tr>
      <w:tr>
        <w:trPr>
          <w:trHeight w:val="237"/>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21, 2025</w:t>
            </w:r>
          </w:p>
        </w:tc>
        <w:tc>
          <w:tcPr>
            <w:tcW w:w="3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385,376</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9.9294</w:t>
            </w:r>
          </w:p>
        </w:tc>
      </w:tr>
      <w:tr>
        <w:trPr>
          <w:trHeight w:val="700"/>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each of the persons named below agrees to the joint filing of this Amendment to Schedule 13D, including further amendments thereto, with respect to the Class A ordinary shares, par value $0.0000001 per share, of Bitdeer Technologies Group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persons named below have executed this Joint Filing Agreement as of the date set forth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HOLDINGS,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INVESTMENTS,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Giancarlo Devasini</w:t>
      </w:r>
      <w:r>
        <w:rPr>
          <w:rFonts w:ascii="Times New Roman" w:cs="Times New Roman" w:eastAsia="Times New Roman" w:hAnsi="Times New Roman"/>
          <w:sz w:val="18"/>
          <w:szCs w:val="18"/>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2025-11-25T18:31:41Z</dcterms:created>
  <dcterms:modified xsi:type="dcterms:W3CDTF">2025-11-25T18:31:41Z</dcterms:modified>
</cp:coreProperties>
</file>