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ea0299664-6k_bitdeer.htm"/>
      <w:bookmarkStart w:id="1" w:name="ksea02996646k_bitdeer"/>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001-41687</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 Kallang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Aperia tower 1, #09-03/04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339509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pPr>
      <w:r>
        <w:rPr>
          <w:rFonts w:ascii="Times New Roman;Times;Serif" w:hAnsi="Times New Roman;Times;Serif"/>
          <w:b w:val="false"/>
          <w:i w:val="false"/>
          <w:caps w:val="false"/>
          <w:smallCaps w:val="false"/>
          <w:sz w:val="20"/>
        </w:rPr>
        <w:t>This Current Report on Form 6-K (this “Current Report”) is hereby incorporated by reference in the registration statements of Bitdeer Technologies Group (the “Company”) on Form F-3 (No. </w:t>
      </w:r>
      <w:hyperlink r:id="rId2">
        <w:r>
          <w:rPr>
            <w:rStyle w:val="InternetLink"/>
            <w:rFonts w:ascii="Times New Roman;Times;Serif" w:hAnsi="Times New Roman;Times;Serif"/>
            <w:b w:val="false"/>
            <w:i w:val="false"/>
            <w:caps w:val="false"/>
            <w:smallCaps w:val="false"/>
            <w:sz w:val="20"/>
          </w:rPr>
          <w:t>333-273905</w:t>
        </w:r>
      </w:hyperlink>
      <w:r>
        <w:rPr>
          <w:rFonts w:ascii="Times New Roman;Times;Serif" w:hAnsi="Times New Roman;Times;Serif"/>
          <w:b w:val="false"/>
          <w:i w:val="false"/>
          <w:caps w:val="false"/>
          <w:smallCaps w:val="false"/>
          <w:sz w:val="20"/>
        </w:rPr>
        <w:t>, No. </w:t>
      </w:r>
      <w:hyperlink r:id="rId3">
        <w:r>
          <w:rPr>
            <w:rStyle w:val="InternetLink"/>
            <w:rFonts w:ascii="Times New Roman;Times;Serif" w:hAnsi="Times New Roman;Times;Serif"/>
            <w:b w:val="false"/>
            <w:i w:val="false"/>
            <w:caps w:val="false"/>
            <w:smallCaps w:val="false"/>
            <w:sz w:val="20"/>
          </w:rPr>
          <w:t>333-278027</w:t>
        </w:r>
      </w:hyperlink>
      <w:r>
        <w:rPr>
          <w:rFonts w:ascii="Times New Roman;Times;Serif" w:hAnsi="Times New Roman;Times;Serif"/>
          <w:b w:val="false"/>
          <w:i w:val="false"/>
          <w:caps w:val="false"/>
          <w:smallCaps w:val="false"/>
          <w:sz w:val="20"/>
        </w:rPr>
        <w:t>, No. </w:t>
      </w:r>
      <w:hyperlink r:id="rId4">
        <w:r>
          <w:rPr>
            <w:rStyle w:val="InternetLink"/>
            <w:rFonts w:ascii="Times New Roman;Times;Serif" w:hAnsi="Times New Roman;Times;Serif"/>
            <w:b w:val="false"/>
            <w:i w:val="false"/>
            <w:caps w:val="false"/>
            <w:smallCaps w:val="false"/>
            <w:sz w:val="20"/>
          </w:rPr>
          <w:t>333-278029</w:t>
        </w:r>
      </w:hyperlink>
      <w:r>
        <w:rPr>
          <w:rFonts w:ascii="Times New Roman;Times;Serif" w:hAnsi="Times New Roman;Times;Serif"/>
          <w:b w:val="false"/>
          <w:i w:val="false"/>
          <w:caps w:val="false"/>
          <w:smallCaps w:val="false"/>
          <w:sz w:val="20"/>
        </w:rPr>
        <w:t>, No. </w:t>
      </w:r>
      <w:hyperlink r:id="rId5">
        <w:r>
          <w:rPr>
            <w:rStyle w:val="InternetLink"/>
            <w:rFonts w:ascii="Times New Roman;Times;Serif" w:hAnsi="Times New Roman;Times;Serif"/>
            <w:b w:val="false"/>
            <w:i w:val="false"/>
            <w:caps w:val="false"/>
            <w:smallCaps w:val="false"/>
            <w:sz w:val="20"/>
          </w:rPr>
          <w:t>333-280041</w:t>
        </w:r>
      </w:hyperlink>
      <w:r>
        <w:rPr>
          <w:rFonts w:ascii="Times New Roman;Times;Serif" w:hAnsi="Times New Roman;Times;Serif"/>
          <w:b w:val="false"/>
          <w:i w:val="false"/>
          <w:caps w:val="false"/>
          <w:smallCaps w:val="false"/>
          <w:sz w:val="20"/>
        </w:rPr>
        <w:t>, No. </w:t>
      </w:r>
      <w:hyperlink r:id="rId6">
        <w:r>
          <w:rPr>
            <w:rStyle w:val="InternetLink"/>
            <w:rFonts w:ascii="Times New Roman;Times;Serif" w:hAnsi="Times New Roman;Times;Serif"/>
            <w:b w:val="false"/>
            <w:i w:val="false"/>
            <w:caps w:val="false"/>
            <w:smallCaps w:val="false"/>
            <w:sz w:val="20"/>
          </w:rPr>
          <w:t>333-283732</w:t>
        </w:r>
      </w:hyperlink>
      <w:r>
        <w:rPr>
          <w:rFonts w:ascii="Times New Roman;Times;Serif" w:hAnsi="Times New Roman;Times;Serif"/>
          <w:b w:val="false"/>
          <w:i w:val="false"/>
          <w:caps w:val="false"/>
          <w:smallCaps w:val="false"/>
          <w:sz w:val="20"/>
        </w:rPr>
        <w:t> and No. </w:t>
      </w:r>
      <w:hyperlink r:id="rId7">
        <w:r>
          <w:rPr>
            <w:rStyle w:val="InternetLink"/>
            <w:rFonts w:ascii="Times New Roman;Times;Serif" w:hAnsi="Times New Roman;Times;Serif"/>
            <w:b w:val="false"/>
            <w:i w:val="false"/>
            <w:caps w:val="false"/>
            <w:smallCaps w:val="false"/>
            <w:sz w:val="20"/>
          </w:rPr>
          <w:t>333-289855</w:t>
        </w:r>
      </w:hyperlink>
      <w:r>
        <w:rPr>
          <w:rFonts w:ascii="Times New Roman;Times;Serif" w:hAnsi="Times New Roman;Times;Serif"/>
          <w:b w:val="false"/>
          <w:i w:val="false"/>
          <w:caps w:val="false"/>
          <w:smallCaps w:val="false"/>
          <w:sz w:val="20"/>
        </w:rPr>
        <w:t>) and Form S-8 (No. </w:t>
      </w:r>
      <w:hyperlink r:id="rId8">
        <w:r>
          <w:rPr>
            <w:rStyle w:val="InternetLink"/>
            <w:rFonts w:ascii="Times New Roman;Times;Serif" w:hAnsi="Times New Roman;Times;Serif"/>
            <w:b w:val="false"/>
            <w:i w:val="false"/>
            <w:caps w:val="false"/>
            <w:smallCaps w:val="false"/>
            <w:sz w:val="20"/>
          </w:rPr>
          <w:t>333-272858</w:t>
        </w:r>
      </w:hyperlink>
      <w:r>
        <w:rPr>
          <w:rFonts w:ascii="Times New Roman;Times;Serif" w:hAnsi="Times New Roman;Times;Serif"/>
          <w:b w:val="false"/>
          <w:i w:val="false"/>
          <w:caps w:val="false"/>
          <w:smallCaps w:val="false"/>
          <w:sz w:val="20"/>
        </w:rPr>
        <w:t> and No. </w:t>
      </w:r>
      <w:hyperlink r:id="rId9">
        <w:r>
          <w:rPr>
            <w:rStyle w:val="InternetLink"/>
            <w:rFonts w:ascii="Times New Roman;Times;Serif" w:hAnsi="Times New Roman;Times;Serif"/>
            <w:b w:val="false"/>
            <w:i w:val="false"/>
            <w:caps w:val="false"/>
            <w:smallCaps w:val="false"/>
            <w:sz w:val="20"/>
          </w:rPr>
          <w:t>333-275342</w:t>
        </w:r>
      </w:hyperlink>
      <w:r>
        <w:rPr>
          <w:rFonts w:ascii="Times New Roman;Times;Serif" w:hAnsi="Times New Roman;Times;Serif"/>
          <w:b w:val="false"/>
          <w:i w:val="false"/>
          <w:caps w:val="false"/>
          <w:smallCaps w:val="false"/>
          <w:sz w:val="20"/>
        </w:rPr>
        <w:t>), to the extent not superseded by documents or reports subsequently filed or furnished.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REGISTRANT’S CERTIFYING ACCOUNTANT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furnishing this Current Report to report the dismissal of MaloneBailey, LLP (“MaloneBailey”) and the appointment of Deloitte &amp; Touche LLP, located in Singapore (“Deloitte”) as the Company’s independent registered public accounting firm. In connection with the change of auditor, the Company provides the following: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Dismissal of MaloneBailey, LLP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Audit Committee of the Board of Directors (the “Audit Committee”) of the Company approved the dismissal of MaloneBailey as the Company’s independent registered public accounting firm, effective on August 3,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reports of MaloneBailey on the consolidated financial statements of the Company and its subsidiaries as of December 31, 2024 and 2025, and for the fiscal years ended December 31, 2024 and 2025, did not contain an adverse opinion or disclaimer of opinion and were not qualified or modified as to uncertainty, audit scope or accounting principles.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2025, and the subsequent period through August 3, 2026, there were (i) no disagreements (as that term is described in Item 16F(a)(1)(iv) of Form 20-F) between the Company and MaloneBailey on any matter of accounting principles or practices, financial statement disclosure or auditing scope or procedure, which disagreements, if not resolved to the satisfaction of MaloneBailey, would have caused MaloneBailey to make reference to the subject matter of the disagreement in MaloneBailey’s reports on the consolidated financial statements of the Company and its subsidiaries for such years, and (ii) no reportable events (as that term is described in Item 16F(a)(1)(v) of Form 20-F) other than the material weaknesses reported by management under Item 15 of the Company’s annual report on Form 20-F for the fiscal year ended December 31, 2024, as filed on April 21,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provided MaloneBailey with a copy of the disclosures it is making in this Current Report and requested that MaloneBailey furnish it with a letter addressed to the U.S. Securities and Exchange Commission (“SEC”) stating whether or not MaloneBailey agrees with the above disclosures and, if not, stating the respects in which MaloneBailey does not agree. A copy of MaloneBailey’s letter to the SEC, dated August 3, 2026, is furnished herewith as Exhibit 16.1 to this Current Report.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Engagement of Deloitte &amp; Touche LLP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Audit Committee approved the appointment of Deloitte as the Company’s independent registered public accounting firm for the fiscal year ending December 31, 2026, effective on August 3,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December 31, 2024 and 2025, and the subsequent period through August 3, 2026, neither the Company nor anyone on its behalf consulted with Deloitte regarding (i) the application of accounting principles to a specific transaction, either completed or proposed, (ii) the type of audit opinion that might be rendered on the Company’s financial statements and neither a written report nor oral advice was provided to the Company that Deloitte concluded was an important factor considered by the Company in reaching a decision as to accounting, auditing or financial reporting issues, (iii) any matter that was the subject of a disagreement (as that term is described in Item 16F(a)(1)(iv) of Form 20-F and the related instructions thereto), or (iv) any reportable event (as that term is described in Item 16F(a)(1)(v) of Form 20-F).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this Current Report and the accompanying exhibit to satisfy its reporting obligations under Item 16F(a) of its Form 20-F for the fiscal year ending December 31, 2026 to the extent provided in and permitted by Paragraph 2 of the Instructions to Item 16F of Form 20-F and plans to incorporate Exhibit 16.1 by reference into its Form 20-F to the extent necessary to satisfy such reporting obligations.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28" w:type="dxa"/>
          <w:right w:w="0" w:type="dxa"/>
        </w:tblCellMar>
      </w:tblPr>
      <w:tblGrid>
        <w:gridCol w:w="995"/>
        <w:gridCol w:w="60"/>
        <w:gridCol w:w="306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06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5" w:type="dxa"/>
            <w:tcBorders/>
            <w:shd w:fill="CCEEFF" w:val="clear"/>
            <w:tcMar>
              <w:bottom w:w="0" w:type="dxa"/>
            </w:tcMar>
            <w:vAlign w:val="center"/>
          </w:tcPr>
          <w:p>
            <w:pPr>
              <w:pStyle w:val="TableContents"/>
              <w:bidi w:val="0"/>
              <w:spacing w:before="0" w:after="283"/>
              <w:jc w:val="left"/>
              <w:rPr/>
            </w:pPr>
            <w:hyperlink w:anchor="ea029966401ex16-1.htm">
              <w:r>
                <w:rPr>
                  <w:rStyle w:val="InternetLink"/>
                  <w:rFonts w:ascii="Times New Roman;Times;Serif" w:hAnsi="Times New Roman;Times;Serif"/>
                  <w:b w:val="false"/>
                  <w:i w:val="false"/>
                  <w:caps w:val="false"/>
                  <w:smallCaps w:val="false"/>
                  <w:sz w:val="20"/>
                </w:rPr>
                <w:t>Letter from MaloneBailey to the SEC</w:t>
              </w:r>
            </w:hyperlink>
          </w:p>
        </w:tc>
      </w:tr>
    </w:tbl>
    <w:p>
      <w:pPr>
        <w:pStyle w:val="TextBody"/>
        <w:bidi w:val="0"/>
        <w:spacing w:before="0" w:after="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Bitdeer Technologies Group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Jihan Wu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Jihan Wu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 w:name="ea029966401ex16-1.htm"/>
      <w:bookmarkStart w:id="3" w:name="ksea029966401ex161"/>
      <w:bookmarkEnd w:id="2"/>
      <w:bookmarkEnd w:id="3"/>
      <w:r>
        <w:rPr>
          <w:rFonts w:ascii="Times New Roman;Times;Serif" w:hAnsi="Times New Roman;Times;Serif"/>
          <w:b/>
          <w:i w:val="false"/>
          <w:caps w:val="false"/>
          <w:smallCaps w:val="false"/>
          <w:sz w:val="20"/>
        </w:rPr>
        <w:t>Exhibit 16.1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30956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3095625" cy="6477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Securities and Exchange Commission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included in the Current Report on Form 6-K of Bitdeer Technologies Group to be filed with the Securities and Exchange Commission on or about August 3, 2026. We agree with all statements pertaining to us. We have no basis on which to agree or disagree with the other statements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0075" cy="1990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8220075" cy="1990725"/>
                    </a:xfrm>
                    <a:prstGeom prst="rect">
                      <a:avLst/>
                    </a:prstGeom>
                  </pic:spPr>
                </pic:pic>
              </a:graphicData>
            </a:graphic>
          </wp:inline>
        </w:drawing>
      </w: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99123/000114036124021346/ny20023745x7_posam.htm" TargetMode="External"/><Relationship Id="rId3" Type="http://schemas.openxmlformats.org/officeDocument/2006/relationships/hyperlink" Target="http://www.sec.gov/ix?doc=/Archives/edgar/data/1899123/000114036124013887/ny20023745x1_f3.htm" TargetMode="External"/><Relationship Id="rId4" Type="http://schemas.openxmlformats.org/officeDocument/2006/relationships/hyperlink" Target="http://www.sec.gov/ix?doc=/Archives/edgar/data/1899123/000114036124013888/ny20023745x3_f3.htm" TargetMode="External"/><Relationship Id="rId5" Type="http://schemas.openxmlformats.org/officeDocument/2006/relationships/hyperlink" Target="http://www.sec.gov/Archives/edgar/data/1899123/000114036124029276/ny20030771x1_f3.htm" TargetMode="External"/><Relationship Id="rId6" Type="http://schemas.openxmlformats.org/officeDocument/2006/relationships/hyperlink" Target="http://www.sec.gov/Archives/edgar/data/1899123/000114036124049031/ny20039746x1_f3.htm" TargetMode="External"/><Relationship Id="rId7" Type="http://schemas.openxmlformats.org/officeDocument/2006/relationships/hyperlink" Target="http://www.sec.gov/Archives/edgar/data/1899123/000121390025080525/ea0254524-f3_bitdeer.htm" TargetMode="External"/><Relationship Id="rId8" Type="http://schemas.openxmlformats.org/officeDocument/2006/relationships/hyperlink" Target="http://www.sec.gov/Archives/edgar/data/1899123/000114036123031108/brhc20054618_s8.htm" TargetMode="External"/><Relationship Id="rId9" Type="http://schemas.openxmlformats.org/officeDocument/2006/relationships/hyperlink" Target="http://www.sec.gov/Archives/edgar/data/1899123/000114036123051570/ef20013751_s8.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913</Words>
  <Characters>4887</Characters>
  <CharactersWithSpaces>5816</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