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 the registration statements of Bitdeer Technologies Group on Form F-3 (No. </w:t>
      </w:r>
      <w:hyperlink r:id="rId18">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auto"/>
        </w:rPr>
        <w:t xml:space="preserve">, No. </w:t>
      </w:r>
      <w:hyperlink r:id="rId20">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auto"/>
        </w:rPr>
        <w:t xml:space="preserve">, No. </w:t>
      </w:r>
      <w:hyperlink r:id="rId21">
        <w:r>
          <w:rPr>
            <w:rFonts w:ascii="Times New Roman" w:cs="Times New Roman" w:eastAsia="Times New Roman" w:hAnsi="Times New Roman"/>
            <w:sz w:val="18"/>
            <w:szCs w:val="18"/>
            <w:u w:val="single" w:color="auto"/>
            <w:color w:val="0000EE"/>
          </w:rPr>
          <w:t>333-280041</w:t>
        </w:r>
      </w:hyperlink>
      <w:r>
        <w:rPr>
          <w:rFonts w:ascii="Times New Roman" w:cs="Times New Roman" w:eastAsia="Times New Roman" w:hAnsi="Times New Roman"/>
          <w:sz w:val="18"/>
          <w:szCs w:val="18"/>
          <w:color w:val="auto"/>
        </w:rPr>
        <w:t xml:space="preserve">, No. </w:t>
      </w:r>
      <w:hyperlink r:id="rId22">
        <w:r>
          <w:rPr>
            <w:rFonts w:ascii="Times New Roman" w:cs="Times New Roman" w:eastAsia="Times New Roman" w:hAnsi="Times New Roman"/>
            <w:sz w:val="18"/>
            <w:szCs w:val="18"/>
            <w:u w:val="single" w:color="auto"/>
            <w:color w:val="0000EE"/>
          </w:rPr>
          <w:t>333-283732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3">
        <w:r>
          <w:rPr>
            <w:rFonts w:ascii="Times New Roman" w:cs="Times New Roman" w:eastAsia="Times New Roman" w:hAnsi="Times New Roman"/>
            <w:sz w:val="18"/>
            <w:szCs w:val="18"/>
            <w:u w:val="single" w:color="auto"/>
            <w:color w:val="0000EE"/>
          </w:rPr>
          <w:t>333-289855</w:t>
        </w:r>
      </w:hyperlink>
      <w:r>
        <w:rPr>
          <w:rFonts w:ascii="Times New Roman" w:cs="Times New Roman" w:eastAsia="Times New Roman" w:hAnsi="Times New Roman"/>
          <w:sz w:val="18"/>
          <w:szCs w:val="18"/>
          <w:color w:val="auto"/>
        </w:rPr>
        <w:t xml:space="preserve">) and Form S-8 (No. </w:t>
      </w:r>
      <w:hyperlink r:id="rId24">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5">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auto"/>
        </w:rPr>
        <w:t>), to the extent not superseded by documents or reports subsequently filed or furnished.</w:t>
      </w:r>
    </w:p>
    <w:p>
      <w:pPr>
        <w:spacing w:after="0" w:line="1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CHIEF FINANCIAL OFFICER</w:t>
      </w:r>
    </w:p>
    <w:p>
      <w:pPr>
        <w:spacing w:after="0" w:line="225"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Mr. Jianchun Liu has tendered his resignation as the Chief Financial Officer of Bitdeer Technologies Group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on June 30, 2026. Mr. Liu’s resignation was due to personal reasons and was not the result of any dispute or disagreements with the Company on any matter relating to the Company’s operations, policies or practices. Mr. Liu will continue to serve as Chief Financial Officer through June 30, 2026 to ensure an orderly transition, after which Mr. Liu will remain with the Company in the role of principal advisor.</w:t>
      </w:r>
    </w:p>
    <w:p>
      <w:pPr>
        <w:spacing w:after="0" w:line="180" w:lineRule="exact"/>
        <w:rPr>
          <w:rFonts w:ascii="Times New Roman" w:cs="Times New Roman" w:eastAsia="Times New Roman" w:hAnsi="Times New Roman"/>
          <w:sz w:val="18"/>
          <w:szCs w:val="18"/>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approved the appointment of Mr. Michael G. Potter to serve as the Chief Financial Officer of the Company, effective on May 26, 2026.</w:t>
      </w:r>
    </w:p>
    <w:p>
      <w:pPr>
        <w:spacing w:after="0" w:line="162" w:lineRule="exact"/>
        <w:rPr>
          <w:rFonts w:ascii="Times New Roman" w:cs="Times New Roman" w:eastAsia="Times New Roman" w:hAnsi="Times New Roman"/>
          <w:sz w:val="18"/>
          <w:szCs w:val="18"/>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joining the Company, Mr. Potter served as the chief financial officer of Corsair Gaming, Inc. (NASDAQ: CRSR) from November 2019 to December 2025, where he was a leader for the company’s initial public offering in September 2020 and oversaw multiple capital markets transactions. From 2016 to 2019, Mr. Potter worked as a business consultant, including interim chief financial officer work and advising a large pension fund. Mr. Potter served as the senior vice president, chief financial officer and chief legal officer of Canadian Solar Inc. (NASDAQ: CSIQ) from July 2011 to May 2016. Prior to that, Mr. Potter held multiple chief financial officer roles in the semiconductor industry, including at Lattice Semiconductor Corporation (NASDAQ: LSCC) from 2009 to 2011, at NeoPhotonics Corporation from 2007 to 2009 and at STATS ChipPAC Ltd., a semiconductor company then listed on NASDAQ and the Singapore Exchange, from 2000 to 2007. Mr. Potter also served as a board member and audit committee chair of Cordelio Power, a privately held renewable energy platform backed by CPP Investments, from 2018 to March 2026 and a board member of Canadian Solar from 2007 to 2013. Mr. Potter obtained a graduate diploma of public accountancy from McGill University and a bachelor of commerce in accounting from Concordia University. Mr. Potter is a chartered professional accountant in Quebec, Canada.</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18" Type="http://schemas.openxmlformats.org/officeDocument/2006/relationships/hyperlink" Target="https://www.sec.gov/Archives/edgar/data/1899123/000114036124016225/ny20023745x2_posam.htm" TargetMode="External"/><Relationship Id="rId19" Type="http://schemas.openxmlformats.org/officeDocument/2006/relationships/hyperlink" Target="https://www.sec.gov/ix?doc=/Archives/edgar/data/1899123/000114036124013887/ny20023745x1_f3.htm" TargetMode="External"/><Relationship Id="rId20" Type="http://schemas.openxmlformats.org/officeDocument/2006/relationships/hyperlink" Target="https://www.sec.gov/ix?doc=/Archives/edgar/data/1899123/000114036124013888/ny20023745x3_f3.htm" TargetMode="External"/><Relationship Id="rId21" Type="http://schemas.openxmlformats.org/officeDocument/2006/relationships/hyperlink" Target="https://www.sec.gov/Archives/edgar/data/1899123/000114036124029276/ny20030771x1_f3.htm" TargetMode="External"/><Relationship Id="rId22" Type="http://schemas.openxmlformats.org/officeDocument/2006/relationships/hyperlink" Target="https://www.sec.gov/Archives/edgar/data/1899123/000114036124049031/ny20039746x1_f3.htm" TargetMode="External"/><Relationship Id="rId23" Type="http://schemas.openxmlformats.org/officeDocument/2006/relationships/hyperlink" Target="https://www.sec.gov/Archives/edgar/data/1899123/000121390025080525/ea0254524-f3_bitdeer.htm" TargetMode="External"/><Relationship Id="rId24" Type="http://schemas.openxmlformats.org/officeDocument/2006/relationships/hyperlink" Target="https://www.sec.gov/Archives/edgar/data/1899123/000114036123031108/brhc20054618_s8.htm" TargetMode="External"/><Relationship Id="rId25" Type="http://schemas.openxmlformats.org/officeDocument/2006/relationships/hyperlink" Target="https://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2026-05-27T05:19:25Z</dcterms:created>
  <dcterms:modified xsi:type="dcterms:W3CDTF">2026-05-27T05:19:25Z</dcterms:modified>
</cp:coreProperties>
</file>