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38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 Bitdeer Announces August 2025 Production and Operations Update</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12,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August 2025 Production and Operations Update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Increased self-mining hashrate by 35% to 30.0 EH/s on continued deployment of SEALMINERs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SINGAPORE, September 12, 2025 (GLOBE NEWSWIRE)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world-leading technology company for Bitcoin mining, today announced its unaudited mining and operations updates for August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Update</w:t>
      </w:r>
    </w:p>
    <w:p>
      <w:pPr>
        <w:spacing w:after="0" w:line="225" w:lineRule="exact"/>
        <w:rPr>
          <w:sz w:val="20"/>
          <w:szCs w:val="20"/>
          <w:color w:val="auto"/>
        </w:rPr>
      </w:pPr>
    </w:p>
    <w:p>
      <w:pPr>
        <w:ind w:left="34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Self-mined Bitcoin: </w:t>
      </w:r>
      <w:r>
        <w:rPr>
          <w:rFonts w:ascii="Times New Roman" w:cs="Times New Roman" w:eastAsia="Times New Roman" w:hAnsi="Times New Roman"/>
          <w:sz w:val="18"/>
          <w:szCs w:val="18"/>
          <w:color w:val="auto"/>
        </w:rPr>
        <w:t>375 Bitcoins, an increase of ~33% from July 2025 due to higher average self-mining hashrate from energization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SEALMINERs.</w:t>
      </w:r>
    </w:p>
    <w:p>
      <w:pPr>
        <w:spacing w:after="0" w:line="18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 Rig Manufacturing and R&amp;D: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SEALMINER A1: </w:t>
      </w:r>
      <w:r>
        <w:rPr>
          <w:rFonts w:ascii="Times New Roman" w:cs="Times New Roman" w:eastAsia="Times New Roman" w:hAnsi="Times New Roman"/>
          <w:sz w:val="18"/>
          <w:szCs w:val="18"/>
          <w:color w:val="auto"/>
        </w:rPr>
        <w:t>4.1 EH/s have been energized.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A2:</w:t>
      </w:r>
    </w:p>
    <w:p>
      <w:pPr>
        <w:spacing w:after="0" w:line="25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of 27.8 EH/s in mining rigs have been manufactured and an additional 1.2 EH/s are in final assembly as of end of August 2025.</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27.8 EH/s mining rigs that have been manufactured:</w:t>
      </w:r>
    </w:p>
    <w:p>
      <w:pPr>
        <w:spacing w:after="0" w:line="24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3"/>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External-sales: </w:t>
      </w:r>
      <w:r>
        <w:rPr>
          <w:rFonts w:ascii="Times New Roman" w:cs="Times New Roman" w:eastAsia="Times New Roman" w:hAnsi="Times New Roman"/>
          <w:sz w:val="18"/>
          <w:szCs w:val="18"/>
          <w:color w:val="auto"/>
        </w:rPr>
        <w:t>6.0 EH/s of mining rigs have been shipped to external customers, including 0.1 EH/s that were shipped in August.</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3"/>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Self-mining:</w:t>
      </w:r>
    </w:p>
    <w:p>
      <w:pPr>
        <w:spacing w:after="0" w:line="256"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4"/>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EH/s of mining rigs have been deployed in U.S., Tydal, Norway and Jigmeling, Bhutan, including 7.8 EH/s in August 2025.</w:t>
      </w:r>
    </w:p>
    <w:p>
      <w:pPr>
        <w:spacing w:after="0" w:line="252"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4"/>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EH/s of mining rigs are in-transit to Bitdeer’s sites in Norway and Bhutan.</w:t>
      </w:r>
    </w:p>
    <w:p>
      <w:pPr>
        <w:spacing w:after="0" w:line="252"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4"/>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EH/s of mining rigs are being prepared for shipping.</w:t>
      </w:r>
    </w:p>
    <w:p>
      <w:pPr>
        <w:spacing w:after="0" w:line="2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A3:</w:t>
      </w:r>
    </w:p>
    <w:p>
      <w:pPr>
        <w:spacing w:after="0" w:line="25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final stages of preparation for mass production which is expected to begin in late September or early October.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 level testing results meeting expectations.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machine models and specifications will be announced alongside mass production.</w:t>
      </w:r>
    </w:p>
    <w:p>
      <w:pPr>
        <w:spacing w:after="0" w:line="2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A4:</w:t>
      </w:r>
    </w:p>
    <w:p>
      <w:pPr>
        <w:spacing w:after="0" w:line="25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track to achieve an expected chip efficiency of approximately 5 J/TH.</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two different chip designs of SEAL04 to ensure success.</w:t>
      </w:r>
    </w:p>
    <w:p>
      <w:pPr>
        <w:spacing w:after="0" w:line="2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 Manufacturing: </w:t>
      </w:r>
      <w:r>
        <w:rPr>
          <w:rFonts w:ascii="Times New Roman" w:cs="Times New Roman" w:eastAsia="Times New Roman" w:hAnsi="Times New Roman"/>
          <w:sz w:val="18"/>
          <w:szCs w:val="18"/>
          <w:color w:val="auto"/>
        </w:rPr>
        <w:t>Bitdeer’s U.S. factory is actively in planning and preparation.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HPC/AI:</w:t>
      </w:r>
    </w:p>
    <w:p>
      <w:pPr>
        <w:spacing w:after="0" w:line="25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advanced negotiations with a development partner regarding our Clarington, Ohio site.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Bitdeer.AI, the Company’s neo cloud business, reached US$8 million AI cloud ARR (annualized run-rate revenue) in August from providing GPU cloud services, with significant growth expected from Q4 2025.</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NVL72 servers are being installed in Malaysia and are expected to start serving customers in Q4 2025.</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launched Relational Database Service (RDS). Actively developing AI Agent and Retrieval-Augmented Generation (RAG) technologies to enhance knowledge base and AI cloud services.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deployment of modular data centers at Wenatchee, Washington facility.</w:t>
      </w:r>
    </w:p>
    <w:p>
      <w:pPr>
        <w:spacing w:after="0" w:line="24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Hosting:</w:t>
      </w:r>
    </w:p>
    <w:p>
      <w:pPr>
        <w:spacing w:after="0" w:line="25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hosted hash rate remained unchanged in August 2025.</w:t>
      </w:r>
    </w:p>
    <w:p>
      <w:pPr>
        <w:spacing w:after="0" w:line="24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Infrastructure: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Tydal, Norway (Hydro): </w:t>
      </w:r>
      <w:r>
        <w:rPr>
          <w:rFonts w:ascii="Times New Roman" w:cs="Times New Roman" w:eastAsia="Times New Roman" w:hAnsi="Times New Roman"/>
          <w:sz w:val="18"/>
          <w:szCs w:val="18"/>
          <w:color w:val="auto"/>
        </w:rPr>
        <w:t>161 MW is online. The remaining 14 MW is expected to be energized by the end of Q3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Jigmeling, Bhutan: </w:t>
      </w:r>
      <w:r>
        <w:rPr>
          <w:rFonts w:ascii="Times New Roman" w:cs="Times New Roman" w:eastAsia="Times New Roman" w:hAnsi="Times New Roman"/>
          <w:sz w:val="18"/>
          <w:szCs w:val="18"/>
          <w:color w:val="auto"/>
        </w:rPr>
        <w:t>367.5 MW is online, with the remaining 132.5 MW expected to be energized in phases by the end of Q3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operational team continues to execute and we are well on our way to achieving our ambitious target of 40 EH/s of self-mining by the end of October 2025.” said Matt Kong, Chief Business Officer at Bitdeer. “However, we’re not stopping there. Over the coming quarters, we will continue expanding our SEALMINER fleet into our near-term global power capacity, putting us on track to become one of the largest vertically integrated miners in the world.”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Production and Operations Summary</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August</w:t>
            </w: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July</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August</w:t>
            </w:r>
          </w:p>
        </w:tc>
      </w:tr>
      <w:tr>
        <w:trPr>
          <w:trHeight w:val="245"/>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Metrics</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56"/>
        </w:trPr>
        <w:tc>
          <w:tcPr>
            <w:tcW w:w="7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Total hash rate under management</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(EH/s)</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16.8</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Proprietary hash rate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Self-mining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Cloud Hash Rate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Delivered but not hashing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Hosting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Mining rigs under management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229,000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213,000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167,000</w:t>
            </w:r>
          </w:p>
        </w:tc>
      </w:tr>
      <w:tr>
        <w:trPr>
          <w:trHeight w:val="257"/>
        </w:trPr>
        <w:tc>
          <w:tcPr>
            <w:tcW w:w="732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 Self-owned</w:t>
            </w:r>
            <w:r>
              <w:rPr>
                <w:rFonts w:ascii="Times New Roman" w:cs="Times New Roman" w:eastAsia="Times New Roman" w:hAnsi="Times New Roman"/>
                <w:sz w:val="29"/>
                <w:szCs w:val="29"/>
                <w:color w:val="auto"/>
                <w:vertAlign w:val="superscript"/>
              </w:rPr>
              <w:t>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87,000</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Hosted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Bitcoins mined (self-mining only)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375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166</w:t>
            </w:r>
          </w:p>
        </w:tc>
      </w:tr>
      <w:tr>
        <w:trPr>
          <w:trHeight w:val="256"/>
        </w:trPr>
        <w:tc>
          <w:tcPr>
            <w:tcW w:w="732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b w:val="1"/>
                <w:bCs w:val="1"/>
                <w:color w:val="auto"/>
              </w:rPr>
              <w:t>Bitcoin held</w:t>
            </w:r>
            <w:r>
              <w:rPr>
                <w:rFonts w:ascii="Times New Roman" w:cs="Times New Roman" w:eastAsia="Times New Roman" w:hAnsi="Times New Roman"/>
                <w:sz w:val="29"/>
                <w:szCs w:val="29"/>
                <w:b w:val="1"/>
                <w:bCs w:val="1"/>
                <w:color w:val="auto"/>
                <w:vertAlign w:val="superscript"/>
              </w:rPr>
              <w:t>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1,667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290</w:t>
            </w:r>
          </w:p>
        </w:tc>
      </w:tr>
    </w:tbl>
    <w:p>
      <w:pPr>
        <w:spacing w:after="0" w:line="8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b w:val="1"/>
          <w:bCs w:val="1"/>
          <w:color w:val="auto"/>
        </w:rPr>
        <w:t xml:space="preserve">Total hash rate under management </w:t>
      </w:r>
      <w:r>
        <w:rPr>
          <w:rFonts w:ascii="Times New Roman" w:cs="Times New Roman" w:eastAsia="Times New Roman" w:hAnsi="Times New Roman"/>
          <w:sz w:val="17"/>
          <w:szCs w:val="17"/>
          <w:color w:val="auto"/>
        </w:rPr>
        <w:t>as of August 31, 2025 across the Company’s primary business lines: Self-mining, Cloud Hash Rate, and Hosting.</w:t>
      </w:r>
    </w:p>
    <w:p>
      <w:pPr>
        <w:spacing w:after="0" w:line="193" w:lineRule="exact"/>
        <w:rPr>
          <w:rFonts w:ascii="Times New Roman" w:cs="Times New Roman" w:eastAsia="Times New Roman" w:hAnsi="Times New Roman"/>
          <w:sz w:val="29"/>
          <w:szCs w:val="29"/>
          <w:color w:val="auto"/>
          <w:vertAlign w:val="superscript"/>
        </w:rPr>
      </w:pPr>
    </w:p>
    <w:p>
      <w:pPr>
        <w:ind w:left="660" w:hanging="328"/>
        <w:spacing w:after="0" w:line="286"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Self-mining </w:t>
      </w:r>
      <w:r>
        <w:rPr>
          <w:rFonts w:ascii="Times New Roman" w:cs="Times New Roman" w:eastAsia="Times New Roman" w:hAnsi="Times New Roman"/>
          <w:sz w:val="18"/>
          <w:szCs w:val="18"/>
          <w:color w:val="auto"/>
        </w:rPr>
        <w:t>refers to cryptocurrency mining for the Company’s own account, which allows it to directly capture the high appreciation potential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w:t>
      </w:r>
    </w:p>
    <w:p>
      <w:pPr>
        <w:spacing w:after="0" w:line="18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Cloud Hash Rate </w:t>
      </w:r>
      <w:r>
        <w:rPr>
          <w:rFonts w:ascii="Times New Roman" w:cs="Times New Roman" w:eastAsia="Times New Roman" w:hAnsi="Times New Roman"/>
          <w:sz w:val="18"/>
          <w:szCs w:val="18"/>
          <w:color w:val="auto"/>
        </w:rPr>
        <w:t>offers hash rate subscription plans and shares mining income with customers under certain arrangements. The Cloud Hash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above reflects the contracted hash rate with customers at month-end.</w:t>
      </w:r>
    </w:p>
    <w:p>
      <w:pPr>
        <w:spacing w:after="0" w:line="15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Hosting </w:t>
      </w:r>
      <w:r>
        <w:rPr>
          <w:rFonts w:ascii="Times New Roman" w:cs="Times New Roman" w:eastAsia="Times New Roman" w:hAnsi="Times New Roman"/>
          <w:sz w:val="18"/>
          <w:szCs w:val="18"/>
          <w:color w:val="auto"/>
        </w:rPr>
        <w:t>encompasses a one-stop mining machine hosting solution including deployment, maintenance, and management services for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 mining.</w:t>
      </w:r>
    </w:p>
    <w:p>
      <w:pPr>
        <w:spacing w:after="0" w:line="7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Self-owned mining machines </w:t>
      </w:r>
      <w:r>
        <w:rPr>
          <w:rFonts w:ascii="Times New Roman" w:cs="Times New Roman" w:eastAsia="Times New Roman" w:hAnsi="Times New Roman"/>
          <w:sz w:val="18"/>
          <w:szCs w:val="18"/>
          <w:color w:val="auto"/>
        </w:rPr>
        <w:t>are for the Company’s self-mining business and Cloud Hash Rate business.</w:t>
      </w:r>
    </w:p>
    <w:p>
      <w:pPr>
        <w:spacing w:after="0" w:line="1" w:lineRule="exact"/>
        <w:rPr>
          <w:sz w:val="20"/>
          <w:szCs w:val="20"/>
          <w:color w:val="auto"/>
        </w:rPr>
      </w:pPr>
    </w:p>
    <w:p>
      <w:pPr>
        <w:jc w:val="right"/>
        <w:ind w:left="5580" w:right="5580" w:hanging="5572"/>
        <w:spacing w:after="0" w:line="310" w:lineRule="auto"/>
        <w:tabs>
          <w:tab w:leader="none" w:pos="333"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b w:val="1"/>
          <w:bCs w:val="1"/>
          <w:color w:val="auto"/>
        </w:rPr>
        <w:t xml:space="preserve">Bitcoins held </w:t>
      </w:r>
      <w:r>
        <w:rPr>
          <w:rFonts w:ascii="Times New Roman" w:cs="Times New Roman" w:eastAsia="Times New Roman" w:hAnsi="Times New Roman"/>
          <w:sz w:val="17"/>
          <w:szCs w:val="17"/>
          <w:color w:val="auto"/>
        </w:rPr>
        <w:t>do not include the Bitcoins from deposits of the customers.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Infrastructure Construction Update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Site /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99478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9478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Electrical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80" w:hanging="110"/>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Rockdale, Texas</w:t>
      </w:r>
    </w:p>
    <w:p>
      <w:pPr>
        <w:spacing w:after="0" w:line="17"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Knoxville, Tennessee</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Wenatchee, Washington</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Molde, Norway</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Tydal, Norway</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Gedu, Bhutan</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Jigmeling, Bhutan</w:t>
      </w:r>
    </w:p>
    <w:p>
      <w:pPr>
        <w:spacing w:after="0" w:line="32" w:lineRule="exact"/>
        <w:rPr>
          <w:rFonts w:ascii="Times New Roman" w:cs="Times New Roman" w:eastAsia="Times New Roman" w:hAnsi="Times New Roman"/>
          <w:sz w:val="18"/>
          <w:szCs w:val="18"/>
          <w:color w:val="auto"/>
        </w:rPr>
      </w:pPr>
    </w:p>
    <w:p>
      <w:pPr>
        <w:ind w:left="180" w:right="4080" w:hanging="162"/>
        <w:spacing w:after="0" w:line="3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Total electrical capacity Pipeline capacity</w:t>
      </w:r>
    </w:p>
    <w:p>
      <w:pPr>
        <w:spacing w:after="0" w:line="1"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Tydal, Norway</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Massillon, Ohio</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Clarington, Ohio</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Jigmeling, Bhutan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Rockdale, Texas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Alberta,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Oromia Region, Ethiopia</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Total pipeline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Total global electrical capacity</w:t>
      </w:r>
    </w:p>
    <w:p>
      <w:pPr>
        <w:spacing w:after="0" w:line="157"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Indicative timing. All timing references are to calendar quarters and years.</w:t>
      </w:r>
    </w:p>
    <w:p>
      <w:pPr>
        <w:ind w:left="340" w:hanging="332"/>
        <w:spacing w:after="0" w:line="180" w:lineRule="auto"/>
        <w:tabs>
          <w:tab w:leader="none" w:pos="34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Figures represent total available electrical capacity.</w:t>
      </w: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Capacity</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5715</wp:posOffset>
            </wp:positionV>
            <wp:extent cx="7200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563</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86</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84</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211</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367.5</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1,424.55</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221</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132.5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1,265.5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2,690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40"/>
        </w:trPr>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Timing</w:t>
            </w:r>
            <w:r>
              <w:rPr>
                <w:rFonts w:ascii="Times New Roman" w:cs="Times New Roman" w:eastAsia="Times New Roman" w:hAnsi="Times New Roman"/>
                <w:sz w:val="29"/>
                <w:szCs w:val="29"/>
                <w:b w:val="1"/>
                <w:bCs w:val="1"/>
                <w:color w:val="auto"/>
                <w:w w:val="97"/>
                <w:vertAlign w:val="superscript"/>
              </w:rPr>
              <w:t>4</w:t>
            </w:r>
          </w:p>
        </w:tc>
      </w:tr>
      <w:tr>
        <w:trPr>
          <w:trHeight w:val="432"/>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Online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43"/>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Online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43"/>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Online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43"/>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Online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43"/>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Online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43"/>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Online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43"/>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Online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729"/>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progress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Q3 2025</w:t>
            </w:r>
          </w:p>
        </w:tc>
      </w:tr>
      <w:tr>
        <w:trPr>
          <w:trHeight w:val="243"/>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progress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Q1 2026</w:t>
            </w:r>
          </w:p>
        </w:tc>
      </w:tr>
      <w:tr>
        <w:trPr>
          <w:trHeight w:val="243"/>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progress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Q2 2027</w:t>
            </w:r>
          </w:p>
        </w:tc>
      </w:tr>
      <w:tr>
        <w:trPr>
          <w:trHeight w:val="243"/>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progress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Q3 2025</w:t>
            </w:r>
          </w:p>
        </w:tc>
      </w:tr>
      <w:tr>
        <w:trPr>
          <w:trHeight w:val="243"/>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 planning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Estimate 2026</w:t>
            </w:r>
          </w:p>
        </w:tc>
      </w:tr>
      <w:tr>
        <w:trPr>
          <w:trHeight w:val="243"/>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 planning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Q4 2026</w:t>
            </w:r>
          </w:p>
        </w:tc>
      </w:tr>
      <w:tr>
        <w:trPr>
          <w:trHeight w:val="243"/>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progress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Q4 2025</w:t>
            </w:r>
          </w:p>
        </w:tc>
      </w:tr>
    </w:tbl>
    <w:p>
      <w:pPr>
        <w:sectPr>
          <w:pgSz w:w="11900" w:h="16838" w:orient="portrait"/>
          <w:cols w:equalWidth="0" w:num="3">
            <w:col w:w="5920" w:space="720"/>
            <w:col w:w="920" w:space="220"/>
            <w:col w:w="346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Rockdale, Texas </w:t>
      </w:r>
      <w:r>
        <w:rPr>
          <w:rFonts w:ascii="Times New Roman" w:cs="Times New Roman" w:eastAsia="Times New Roman" w:hAnsi="Times New Roman"/>
          <w:sz w:val="18"/>
          <w:szCs w:val="18"/>
          <w:i w:val="1"/>
          <w:iCs w:val="1"/>
          <w:color w:val="auto"/>
        </w:rPr>
        <w:t>– 100 MW Hydro-cooling conversion has been fully energized.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Tydal, Norway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175 MW site expansion has commenced energization and the full energization timeline has been adjusted to the end of Q3 2025:</w:t>
      </w:r>
    </w:p>
    <w:p>
      <w:pPr>
        <w:spacing w:after="0" w:line="22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 MW is online.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equipment has been delivered. The remaining 14 MW is expected to be energized by the end of Q3 2025.</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Massillon, Ohio </w:t>
      </w:r>
      <w:r>
        <w:rPr>
          <w:rFonts w:ascii="Times New Roman" w:cs="Times New Roman" w:eastAsia="Times New Roman" w:hAnsi="Times New Roman"/>
          <w:sz w:val="18"/>
          <w:szCs w:val="18"/>
          <w:i w:val="1"/>
          <w:iCs w:val="1"/>
          <w:color w:val="auto"/>
        </w:rPr>
        <w:t>– 221 MW site is under construction and the full energization timeline has been adjusted to the end of Q1 2026 due to transformer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delivery delays, labor storages and anticipated cold winter months:</w:t>
      </w:r>
    </w:p>
    <w:p>
      <w:pPr>
        <w:spacing w:after="0" w:line="15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21MW is expected to be energized by the end of October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200MW is expected to be energized in phases by the end of Q1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Clarington, Ohio </w:t>
      </w:r>
      <w:r>
        <w:rPr>
          <w:rFonts w:ascii="Times New Roman" w:cs="Times New Roman" w:eastAsia="Times New Roman" w:hAnsi="Times New Roman"/>
          <w:sz w:val="18"/>
          <w:szCs w:val="18"/>
          <w:i w:val="1"/>
          <w:iCs w:val="1"/>
          <w:color w:val="auto"/>
        </w:rPr>
        <w:t>– 570 MW under contract – power and datacenter infrastructure to be completed in Q2 2027.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Jigmeling, Bhutan </w:t>
      </w:r>
      <w:r>
        <w:rPr>
          <w:rFonts w:ascii="Times New Roman" w:cs="Times New Roman" w:eastAsia="Times New Roman" w:hAnsi="Times New Roman"/>
          <w:sz w:val="18"/>
          <w:szCs w:val="18"/>
          <w:i w:val="1"/>
          <w:iCs w:val="1"/>
          <w:color w:val="auto"/>
        </w:rPr>
        <w:t>– 500 MW site has commenced energization and is expected to be fully energized in phases by the end of Q3 2025:</w:t>
      </w:r>
    </w:p>
    <w:p>
      <w:pPr>
        <w:spacing w:after="0" w:line="2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367.5 MW is online.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132.5 MW is expected to be energized in phases by the end of Q3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132kV transformers and five 220kV transformers have been energized in June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containers and hydro-cooling systems have been completed and are now being installed.</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Fox Creek, Alberta </w:t>
      </w:r>
      <w:r>
        <w:rPr>
          <w:rFonts w:ascii="Times New Roman" w:cs="Times New Roman" w:eastAsia="Times New Roman" w:hAnsi="Times New Roman"/>
          <w:sz w:val="18"/>
          <w:szCs w:val="18"/>
          <w:i w:val="1"/>
          <w:iCs w:val="1"/>
          <w:color w:val="auto"/>
        </w:rPr>
        <w:t>– 101 MW site acquired in Alberta, is fully licensed and permitted to construct an on-site natural gas power plant. The project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expected to be energized by the end of Q4 2026.</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Oromia Region, Ethiopia </w:t>
      </w:r>
      <w:r>
        <w:rPr>
          <w:rFonts w:ascii="Times New Roman" w:cs="Times New Roman" w:eastAsia="Times New Roman" w:hAnsi="Times New Roman"/>
          <w:sz w:val="18"/>
          <w:szCs w:val="18"/>
          <w:i w:val="1"/>
          <w:iCs w:val="1"/>
          <w:color w:val="auto"/>
        </w:rPr>
        <w:t>– SPA and a turnkey agreement signed for the acquisition and construction of a 50 MW Bitcoin mining project in Ethiopia.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project is expected to be energized in Q4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Conferences and Events</w:t>
      </w:r>
    </w:p>
    <w:p>
      <w:pPr>
        <w:spacing w:after="0" w:line="225" w:lineRule="exact"/>
        <w:rPr>
          <w:sz w:val="20"/>
          <w:szCs w:val="20"/>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October 7, 2025: </w:t>
      </w:r>
      <w:r>
        <w:rPr>
          <w:rFonts w:ascii="Times New Roman" w:cs="Times New Roman" w:eastAsia="Times New Roman" w:hAnsi="Times New Roman"/>
          <w:sz w:val="18"/>
          <w:szCs w:val="18"/>
          <w:color w:val="auto"/>
        </w:rPr>
        <w:t>CEO Summit in Phoenix</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November 10 – 12, 2025: </w:t>
      </w:r>
      <w:r>
        <w:rPr>
          <w:rFonts w:ascii="Times New Roman" w:cs="Times New Roman" w:eastAsia="Times New Roman" w:hAnsi="Times New Roman"/>
          <w:sz w:val="18"/>
          <w:szCs w:val="18"/>
          <w:color w:val="auto"/>
        </w:rPr>
        <w:t>Cantor Crypto, AI/Energy Infrastructure Conference in Miami</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January 13 – 16, 2026: </w:t>
      </w:r>
      <w:r>
        <w:rPr>
          <w:rFonts w:ascii="Times New Roman" w:cs="Times New Roman" w:eastAsia="Times New Roman" w:hAnsi="Times New Roman"/>
          <w:sz w:val="18"/>
          <w:szCs w:val="18"/>
          <w:color w:val="auto"/>
        </w:rPr>
        <w:t>28th Annual Needham Growth Conference in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Bitdeer is committed to providing comprehensive Bitcoin mining solutions for its customers. Bitdeer handles complex processes involved in computing such as equipment procurement, transport logistics, datacenter design and construction, equipment management, and daily operations. Bitdeer also offers advanced cloud capabilities to customers with high demand for artificial intelligence. Headquartered in Singapore, Bitdeer has deployed datacenters in the United States, Norway, and Bhutan. To learn more, visit https://ir.bitdeer.com/ or follow Bitdeer on X @ BitdeerOfficial and LinkedIn @ Bitdeer Group.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bitdeerIR@orangegroupadvisors.com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Elev8 New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Starman,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bitdeer@elev8newmedia.com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1"/>
      <w:numFmt w:val="bullet"/>
      <w:start w:val="1"/>
    </w:lvl>
    <w:lvl w:ilvl="1">
      <w:lvlJc w:val="left"/>
      <w:lvlText w:val="●"/>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5"/>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2025-09-12T07:28:48Z</dcterms:created>
  <dcterms:modified xsi:type="dcterms:W3CDTF">2025-09-12T07:28:48Z</dcterms:modified>
</cp:coreProperties>
</file>