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For the month of September 2025</w:t>
      </w:r>
    </w:p>
    <w:p>
      <w:pPr>
        <w:spacing w:after="0" w:line="225"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spacing w:after="0" w:line="207" w:lineRule="exact"/>
        <w:tabs>
          <w:tab w:leader="none" w:pos="984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509" w:right="67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CLEANUP REDEMPTION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8, 2025, Bitdeer Technologies Group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issued a notice of cleanup redemption (the “</w:t>
      </w:r>
      <w:r>
        <w:rPr>
          <w:rFonts w:ascii="Times New Roman" w:cs="Times New Roman" w:eastAsia="Times New Roman" w:hAnsi="Times New Roman"/>
          <w:sz w:val="18"/>
          <w:szCs w:val="18"/>
          <w:b w:val="1"/>
          <w:bCs w:val="1"/>
          <w:color w:val="auto"/>
        </w:rPr>
        <w:t>Cleanup Redemption Notice</w:t>
      </w:r>
      <w:r>
        <w:rPr>
          <w:rFonts w:ascii="Times New Roman" w:cs="Times New Roman" w:eastAsia="Times New Roman" w:hAnsi="Times New Roman"/>
          <w:sz w:val="18"/>
          <w:szCs w:val="18"/>
          <w:color w:val="auto"/>
        </w:rPr>
        <w:t>”) for all $7,700,000 aggregate principal amount outstanding of its 8.50% Convertible Senior Notes due 2029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which were issued pursuant to an Indenture dated as of August 20, 2024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between the Company and U.S. Bank Trust Company,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amended by the First Supplemental Indenture, dated as of August 20, 2024 (the “</w:t>
      </w:r>
      <w:r>
        <w:rPr>
          <w:rFonts w:ascii="Times New Roman" w:cs="Times New Roman" w:eastAsia="Times New Roman" w:hAnsi="Times New Roman"/>
          <w:sz w:val="18"/>
          <w:szCs w:val="18"/>
          <w:b w:val="1"/>
          <w:bCs w:val="1"/>
          <w:color w:val="auto"/>
        </w:rPr>
        <w:t>First 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the Trustee. Pursuant to the Cleanup Redemption Notice, on September 23, 2025 (the “</w:t>
      </w:r>
      <w:r>
        <w:rPr>
          <w:rFonts w:ascii="Times New Roman" w:cs="Times New Roman" w:eastAsia="Times New Roman" w:hAnsi="Times New Roman"/>
          <w:sz w:val="18"/>
          <w:szCs w:val="18"/>
          <w:b w:val="1"/>
          <w:bCs w:val="1"/>
          <w:color w:val="auto"/>
        </w:rPr>
        <w:t>Cleanup Redemption Date</w:t>
      </w:r>
      <w:r>
        <w:rPr>
          <w:rFonts w:ascii="Times New Roman" w:cs="Times New Roman" w:eastAsia="Times New Roman" w:hAnsi="Times New Roman"/>
          <w:sz w:val="18"/>
          <w:szCs w:val="18"/>
          <w:color w:val="auto"/>
        </w:rPr>
        <w:t>”), the Company will redeem all Notes that have not been converted prior to such date at a redemption price in cash equal to 100% of the principal amount of such Notes, plus accrued and unpaid interest, from August 15, 2025 to, but excluding, the Cleanup Redemption Date (the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On the Cleanup Redemption Date, the Redemption Price will become due and payable upon each Note to be redeemed and interest thereon will cease to accrue on and after the Cleanup Redemption Date.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Notes called for cleanup redemption may be converted by holders at any time before 5:00 p.m. (New York City time) on September 19, 2025 (the “</w:t>
      </w:r>
      <w:r>
        <w:rPr>
          <w:rFonts w:ascii="Times New Roman" w:cs="Times New Roman" w:eastAsia="Times New Roman" w:hAnsi="Times New Roman"/>
          <w:sz w:val="18"/>
          <w:szCs w:val="18"/>
          <w:b w:val="1"/>
          <w:bCs w:val="1"/>
          <w:color w:val="auto"/>
        </w:rPr>
        <w:t>Conversion Deadline</w:t>
      </w:r>
      <w:r>
        <w:rPr>
          <w:rFonts w:ascii="Times New Roman" w:cs="Times New Roman" w:eastAsia="Times New Roman" w:hAnsi="Times New Roman"/>
          <w:sz w:val="18"/>
          <w:szCs w:val="18"/>
          <w:color w:val="auto"/>
        </w:rPr>
        <w:t>”). The Conversion Rate for Notes converted after the date of the Cleanup Redemption Notice and prior to the Conversion Deadline will be equal to 127.9743 Class A ordinary shares of the Company, par value $0.0000001 per share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per $1,000 principal amount of the Notes, which includes an increase to the conversion rate of 10.9536 additional Class A Ordinary Shares per $1,000 principal amount of the Notes as a result of the Notes being called for cleanup redemption. The conversion rate is subject to adjustment under certain circumstances as set forth in the Indenture. The Company has elected to settle any conversions occurring after the date of the Cleanup Redemption Notice and prior to the Conversion Deadline by delivering Class A Ordinary Shares, plus cash in lieu of any resulting fractional Class A Ordinary Shares.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auto"/>
          </w:rPr>
          <w:t xml:space="preserve">This Current Report on Form 6-K is hereby incorporated by reference in the registration statements of Bitdeer Technologies Group on Form F-3 (No. </w:t>
        </w:r>
        <w:r>
          <w:rPr>
            <w:rFonts w:ascii="Times New Roman" w:cs="Times New Roman" w:eastAsia="Times New Roman" w:hAnsi="Times New Roman"/>
            <w:sz w:val="18"/>
            <w:szCs w:val="18"/>
            <w:u w:val="single" w:color="auto"/>
            <w:color w:val="0000EE"/>
          </w:rPr>
          <w:t>333-</w:t>
        </w:r>
      </w:hyperlink>
      <w:hyperlink r:id="rId18">
        <w:r>
          <w:rPr>
            <w:rFonts w:ascii="Times New Roman" w:cs="Times New Roman" w:eastAsia="Times New Roman" w:hAnsi="Times New Roman"/>
            <w:sz w:val="18"/>
            <w:szCs w:val="18"/>
            <w:u w:val="single" w:color="auto"/>
            <w:color w:val="0000EE"/>
          </w:rPr>
          <w:t>273905</w:t>
        </w:r>
        <w:r>
          <w:rPr>
            <w:rFonts w:ascii="Times New Roman" w:cs="Times New Roman" w:eastAsia="Times New Roman" w:hAnsi="Times New Roman"/>
            <w:sz w:val="18"/>
            <w:szCs w:val="18"/>
            <w:color w:val="000000"/>
          </w:rPr>
          <w:t>, No.</w:t>
        </w:r>
        <w:r>
          <w:rPr>
            <w:rFonts w:ascii="Times New Roman" w:cs="Times New Roman" w:eastAsia="Times New Roman" w:hAnsi="Times New Roman"/>
            <w:sz w:val="18"/>
            <w:szCs w:val="18"/>
            <w:color w:val="0000EE"/>
          </w:rPr>
          <w:t xml:space="preserve"> </w:t>
        </w:r>
      </w:hyperlink>
      <w:hyperlink r:id="rId19">
        <w:r>
          <w:rPr>
            <w:rFonts w:ascii="Times New Roman" w:cs="Times New Roman" w:eastAsia="Times New Roman" w:hAnsi="Times New Roman"/>
            <w:sz w:val="18"/>
            <w:szCs w:val="18"/>
            <w:u w:val="single" w:color="auto"/>
            <w:color w:val="0000EE"/>
          </w:rPr>
          <w:t>333-278027</w:t>
        </w:r>
      </w:hyperlink>
      <w:hyperlink r:id="rId18">
        <w:r>
          <w:rPr>
            <w:rFonts w:ascii="Times New Roman" w:cs="Times New Roman" w:eastAsia="Times New Roman" w:hAnsi="Times New Roman"/>
            <w:sz w:val="18"/>
            <w:szCs w:val="18"/>
            <w:color w:val="000000"/>
          </w:rPr>
          <w:t>, No.</w:t>
        </w:r>
        <w:r>
          <w:rPr>
            <w:rFonts w:ascii="Times New Roman" w:cs="Times New Roman" w:eastAsia="Times New Roman" w:hAnsi="Times New Roman"/>
            <w:sz w:val="18"/>
            <w:szCs w:val="18"/>
            <w:color w:val="0000EE"/>
          </w:rPr>
          <w:t xml:space="preserve"> </w:t>
        </w:r>
      </w:hyperlink>
      <w:hyperlink r:id="rId20">
        <w:r>
          <w:rPr>
            <w:rFonts w:ascii="Times New Roman" w:cs="Times New Roman" w:eastAsia="Times New Roman" w:hAnsi="Times New Roman"/>
            <w:sz w:val="18"/>
            <w:szCs w:val="18"/>
            <w:u w:val="single" w:color="auto"/>
            <w:color w:val="0000EE"/>
          </w:rPr>
          <w:t>333-278029</w:t>
        </w:r>
      </w:hyperlink>
      <w:hyperlink r:id="rId18">
        <w:r>
          <w:rPr>
            <w:rFonts w:ascii="Times New Roman" w:cs="Times New Roman" w:eastAsia="Times New Roman" w:hAnsi="Times New Roman"/>
            <w:sz w:val="18"/>
            <w:szCs w:val="18"/>
            <w:color w:val="000000"/>
          </w:rPr>
          <w:t>, No.</w:t>
        </w:r>
        <w:r>
          <w:rPr>
            <w:rFonts w:ascii="Times New Roman" w:cs="Times New Roman" w:eastAsia="Times New Roman" w:hAnsi="Times New Roman"/>
            <w:sz w:val="18"/>
            <w:szCs w:val="18"/>
            <w:color w:val="0000EE"/>
          </w:rPr>
          <w:t xml:space="preserve"> </w:t>
        </w:r>
      </w:hyperlink>
      <w:hyperlink r:id="rId21">
        <w:r>
          <w:rPr>
            <w:rFonts w:ascii="Times New Roman" w:cs="Times New Roman" w:eastAsia="Times New Roman" w:hAnsi="Times New Roman"/>
            <w:sz w:val="18"/>
            <w:szCs w:val="18"/>
            <w:u w:val="single" w:color="auto"/>
            <w:color w:val="0000EE"/>
          </w:rPr>
          <w:t>333-280041</w:t>
        </w:r>
      </w:hyperlink>
      <w:hyperlink r:id="rId18">
        <w:r>
          <w:rPr>
            <w:rFonts w:ascii="Times New Roman" w:cs="Times New Roman" w:eastAsia="Times New Roman" w:hAnsi="Times New Roman"/>
            <w:sz w:val="18"/>
            <w:szCs w:val="18"/>
            <w:color w:val="000000"/>
          </w:rPr>
          <w:t>, No.</w:t>
        </w:r>
        <w:r>
          <w:rPr>
            <w:rFonts w:ascii="Times New Roman" w:cs="Times New Roman" w:eastAsia="Times New Roman" w:hAnsi="Times New Roman"/>
            <w:sz w:val="18"/>
            <w:szCs w:val="18"/>
            <w:color w:val="0000EE"/>
          </w:rPr>
          <w:t xml:space="preserve"> </w:t>
        </w:r>
      </w:hyperlink>
      <w:hyperlink r:id="rId22">
        <w:r>
          <w:rPr>
            <w:rFonts w:ascii="Times New Roman" w:cs="Times New Roman" w:eastAsia="Times New Roman" w:hAnsi="Times New Roman"/>
            <w:sz w:val="18"/>
            <w:szCs w:val="18"/>
            <w:u w:val="single" w:color="auto"/>
            <w:color w:val="0000EE"/>
          </w:rPr>
          <w:t xml:space="preserve">333-283732 </w:t>
        </w:r>
      </w:hyperlink>
      <w:hyperlink r:id="rId18">
        <w:r>
          <w:rPr>
            <w:rFonts w:ascii="Times New Roman" w:cs="Times New Roman" w:eastAsia="Times New Roman" w:hAnsi="Times New Roman"/>
            <w:sz w:val="18"/>
            <w:szCs w:val="18"/>
            <w:color w:val="000000"/>
          </w:rPr>
          <w:t>and No.</w:t>
        </w:r>
        <w:r>
          <w:rPr>
            <w:rFonts w:ascii="Times New Roman" w:cs="Times New Roman" w:eastAsia="Times New Roman" w:hAnsi="Times New Roman"/>
            <w:sz w:val="18"/>
            <w:szCs w:val="18"/>
            <w:color w:val="0000EE"/>
          </w:rPr>
          <w:t xml:space="preserve"> </w:t>
        </w:r>
      </w:hyperlink>
      <w:hyperlink r:id="rId23">
        <w:r>
          <w:rPr>
            <w:rFonts w:ascii="Times New Roman" w:cs="Times New Roman" w:eastAsia="Times New Roman" w:hAnsi="Times New Roman"/>
            <w:sz w:val="18"/>
            <w:szCs w:val="18"/>
            <w:u w:val="single" w:color="auto"/>
            <w:color w:val="0000EE"/>
          </w:rPr>
          <w:t>333-289855</w:t>
        </w:r>
      </w:hyperlink>
      <w:hyperlink r:id="rId18">
        <w:r>
          <w:rPr>
            <w:rFonts w:ascii="Times New Roman" w:cs="Times New Roman" w:eastAsia="Times New Roman" w:hAnsi="Times New Roman"/>
            <w:sz w:val="18"/>
            <w:szCs w:val="18"/>
            <w:color w:val="000000"/>
          </w:rPr>
          <w:t>) and Form S-8 (No.</w:t>
        </w:r>
        <w:r>
          <w:rPr>
            <w:rFonts w:ascii="Times New Roman" w:cs="Times New Roman" w:eastAsia="Times New Roman" w:hAnsi="Times New Roman"/>
            <w:sz w:val="18"/>
            <w:szCs w:val="18"/>
            <w:color w:val="0000EE"/>
          </w:rPr>
          <w:t xml:space="preserve"> </w:t>
        </w:r>
      </w:hyperlink>
      <w:hyperlink r:id="rId24">
        <w:r>
          <w:rPr>
            <w:rFonts w:ascii="Times New Roman" w:cs="Times New Roman" w:eastAsia="Times New Roman" w:hAnsi="Times New Roman"/>
            <w:sz w:val="18"/>
            <w:szCs w:val="18"/>
            <w:u w:val="single" w:color="auto"/>
            <w:color w:val="0000EE"/>
          </w:rPr>
          <w:t xml:space="preserve">333-272858 </w:t>
        </w:r>
      </w:hyperlink>
      <w:hyperlink r:id="rId18">
        <w:r>
          <w:rPr>
            <w:rFonts w:ascii="Times New Roman" w:cs="Times New Roman" w:eastAsia="Times New Roman" w:hAnsi="Times New Roman"/>
            <w:sz w:val="18"/>
            <w:szCs w:val="18"/>
            <w:color w:val="000000"/>
          </w:rPr>
          <w:t>and No.</w:t>
        </w:r>
        <w:r>
          <w:rPr>
            <w:rFonts w:ascii="Times New Roman" w:cs="Times New Roman" w:eastAsia="Times New Roman" w:hAnsi="Times New Roman"/>
            <w:sz w:val="18"/>
            <w:szCs w:val="18"/>
            <w:color w:val="0000EE"/>
          </w:rPr>
          <w:t xml:space="preserve"> </w:t>
        </w:r>
      </w:hyperlink>
      <w:hyperlink r:id="rId25">
        <w:r>
          <w:rPr>
            <w:rFonts w:ascii="Times New Roman" w:cs="Times New Roman" w:eastAsia="Times New Roman" w:hAnsi="Times New Roman"/>
            <w:sz w:val="18"/>
            <w:szCs w:val="18"/>
            <w:u w:val="single" w:color="auto"/>
            <w:color w:val="0000EE"/>
          </w:rPr>
          <w:t>333-275342</w:t>
        </w:r>
      </w:hyperlink>
      <w:hyperlink r:id="rId18">
        <w:r>
          <w:rPr>
            <w:rFonts w:ascii="Times New Roman" w:cs="Times New Roman" w:eastAsia="Times New Roman" w:hAnsi="Times New Roman"/>
            <w:sz w:val="18"/>
            <w:szCs w:val="18"/>
            <w:color w:val="000000"/>
          </w:rPr>
          <w:t>),</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to the extent not superseded by documents or reports subsequently filed or furnished.</w:t>
      </w:r>
    </w:p>
    <w:p>
      <w:pPr>
        <w:spacing w:after="0" w:line="39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Jihan Wu</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8, 2025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18" Type="http://schemas.openxmlformats.org/officeDocument/2006/relationships/hyperlink" Target="http://www.sec.gov/Archives/edgar/data/1899123/000114036124021346/ny20023745x7_posam.htm" TargetMode="External"/><Relationship Id="rId19" Type="http://schemas.openxmlformats.org/officeDocument/2006/relationships/hyperlink" Target="http://www.sec.gov/Archives/edgar/data/1899123/000114036124013887/ny20023745x1_f3.htm" TargetMode="External"/><Relationship Id="rId20" Type="http://schemas.openxmlformats.org/officeDocument/2006/relationships/hyperlink" Target="http://www.sec.gov/Archives/edgar/data/1899123/000114036124013888/ny20023745x3_f3.htm" TargetMode="External"/><Relationship Id="rId21" Type="http://schemas.openxmlformats.org/officeDocument/2006/relationships/hyperlink" Target="http://www.sec.gov/Archives/edgar/data/1899123/000114036124029276/ny20030771x1_f3.htm" TargetMode="External"/><Relationship Id="rId22" Type="http://schemas.openxmlformats.org/officeDocument/2006/relationships/hyperlink" Target="http://www.sec.gov/Archives/edgar/data/1899123/000114036124049031/ny20039746x1_f3.htm" TargetMode="External"/><Relationship Id="rId23" Type="http://schemas.openxmlformats.org/officeDocument/2006/relationships/hyperlink" Target="http://www.sec.gov/Archives/edgar/data/1899123/000121390025080525/ea0254524-f3_bitdeer.htm" TargetMode="External"/><Relationship Id="rId24" Type="http://schemas.openxmlformats.org/officeDocument/2006/relationships/hyperlink" Target="http://www.sec.gov/Archives/edgar/data/1899123/000114036123031108/brhc20054618_s8.htm" TargetMode="External"/><Relationship Id="rId25" Type="http://schemas.openxmlformats.org/officeDocument/2006/relationships/hyperlink" Target="http://www.sec.gov/Archives/edgar/data/1899123/000114036123051570/ef20013751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2025-09-08T07:08:12Z</dcterms:created>
  <dcterms:modified xsi:type="dcterms:W3CDTF">2025-09-08T07:08:12Z</dcterms:modified>
</cp:coreProperties>
</file>