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FORM 6-K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REPORT OF FOREIGN PRIVATE ISSUER</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PURSUANT TO RULE 13a-16 OR 15d-16 UNDER</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THE SECURITIES EXCHANGE ACT OF 1934</w:t>
      </w:r>
    </w:p>
    <w:p>
      <w:pPr>
        <w:spacing w:after="0" w:line="2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month of August 2025</w:t>
      </w:r>
    </w:p>
    <w:p>
      <w:pPr>
        <w:spacing w:after="0" w:line="225"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Commission file number: 001-41687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6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08 Kallang Avenue</w:t>
      </w:r>
    </w:p>
    <w:p>
      <w:pPr>
        <w:spacing w:after="0" w:line="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Aperia tower 1, #09-03/04</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Singapore 339509</w:t>
      </w:r>
    </w:p>
    <w:p>
      <w:pPr>
        <w:spacing w:after="0" w:line="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(Address of Principal Executive Offices)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142875</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17"/>
          <w:szCs w:val="17"/>
          <w:color w:val="auto"/>
        </w:rPr>
        <w:t>Indicate by check mark whether the registrant files or will file annual reports under cover Form 20-F or Form 40-F.</w:t>
      </w:r>
    </w:p>
    <w:p>
      <w:pPr>
        <w:spacing w:after="0" w:line="196" w:lineRule="exact"/>
        <w:rPr>
          <w:sz w:val="24"/>
          <w:szCs w:val="24"/>
          <w:color w:val="auto"/>
        </w:rPr>
      </w:pPr>
    </w:p>
    <w:p>
      <w:pPr>
        <w:jc w:val="center"/>
        <w:ind w:right="19"/>
        <w:spacing w:after="0" w:line="207" w:lineRule="exact"/>
        <w:tabs>
          <w:tab w:leader="none" w:pos="200" w:val="left"/>
        </w:tabs>
        <w:rPr>
          <w:sz w:val="20"/>
          <w:szCs w:val="20"/>
          <w:color w:val="auto"/>
        </w:rPr>
      </w:pPr>
      <w:r>
        <w:rPr>
          <w:rFonts w:ascii="Times New Roman" w:cs="Times New Roman" w:eastAsia="Times New Roman" w:hAnsi="Times New Roman"/>
          <w:sz w:val="18"/>
          <w:szCs w:val="18"/>
          <w:color w:val="auto"/>
        </w:rPr>
        <w:t xml:space="preserve">Form 20-F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Form 40-F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-705485</wp:posOffset>
            </wp:positionH>
            <wp:positionV relativeFrom="paragraph">
              <wp:posOffset>180340</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206375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-705485</wp:posOffset>
            </wp:positionH>
            <wp:positionV relativeFrom="paragraph">
              <wp:posOffset>497840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9019"/>
          </w:cols>
          <w:pgMar w:left="1440" w:top="509" w:right="1440"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100" w:type="dxa"/>
            <w:vAlign w:val="bottom"/>
            <w:gridSpan w:val="2"/>
          </w:tcPr>
          <w:p>
            <w:pPr>
              <w:jc w:val="center"/>
              <w:ind w:right="1140"/>
              <w:spacing w:after="0"/>
              <w:rPr>
                <w:sz w:val="20"/>
                <w:szCs w:val="20"/>
                <w:color w:val="auto"/>
              </w:rPr>
            </w:pPr>
            <w:r>
              <w:rPr>
                <w:rFonts w:ascii="Times New Roman" w:cs="Times New Roman" w:eastAsia="Times New Roman" w:hAnsi="Times New Roman"/>
                <w:sz w:val="18"/>
                <w:szCs w:val="18"/>
                <w:b w:val="1"/>
                <w:bCs w:val="1"/>
                <w:color w:val="auto"/>
              </w:rPr>
              <w:t>EXHIBITS</w:t>
            </w:r>
          </w:p>
        </w:tc>
      </w:tr>
      <w:tr>
        <w:trPr>
          <w:trHeight w:val="439"/>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Exhibit No.</w:t>
            </w:r>
          </w:p>
        </w:tc>
        <w:tc>
          <w:tcPr>
            <w:tcW w:w="1010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196"/>
        </w:trPr>
        <w:tc>
          <w:tcPr>
            <w:tcW w:w="1020" w:type="dxa"/>
            <w:vAlign w:val="bottom"/>
            <w:tcBorders>
              <w:top w:val="single" w:sz="8" w:color="auto"/>
            </w:tcBorders>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auto"/>
              </w:rPr>
              <w:t>99.1</w:t>
            </w:r>
          </w:p>
        </w:tc>
        <w:tc>
          <w:tcPr>
            <w:tcW w:w="12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auto"/>
            </w:tcBorders>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Press Release – Bitdeer Announces July 2025 Production and Operations Update</w:t>
            </w:r>
          </w:p>
        </w:tc>
      </w:tr>
      <w:tr>
        <w:trPr>
          <w:trHeight w:val="655"/>
        </w:trPr>
        <w:tc>
          <w:tcPr>
            <w:tcW w:w="102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5840" w:type="dxa"/>
            <w:vAlign w:val="bottom"/>
            <w:tcBorders>
              <w:top w:val="single" w:sz="8" w:color="0000EE"/>
              <w:bottom w:val="single" w:sz="8" w:color="auto"/>
            </w:tcBorders>
          </w:tcPr>
          <w:p>
            <w:pPr>
              <w:jc w:val="right"/>
              <w:ind w:right="1230"/>
              <w:spacing w:after="0"/>
              <w:rPr>
                <w:sz w:val="20"/>
                <w:szCs w:val="20"/>
                <w:color w:val="auto"/>
              </w:rPr>
            </w:pPr>
            <w:r>
              <w:rPr>
                <w:rFonts w:ascii="Times New Roman" w:cs="Times New Roman" w:eastAsia="Times New Roman" w:hAnsi="Times New Roman"/>
                <w:sz w:val="18"/>
                <w:szCs w:val="18"/>
                <w:color w:val="auto"/>
              </w:rPr>
              <w:t>1</w:t>
            </w:r>
          </w:p>
        </w:tc>
        <w:tc>
          <w:tcPr>
            <w:tcW w:w="426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b w:val="1"/>
          <w:bCs w:val="1"/>
          <w:color w:val="auto"/>
        </w:rPr>
        <w:t>Bitdeer Technologies Group</w:t>
      </w:r>
    </w:p>
    <w:p>
      <w:pPr>
        <w:spacing w:after="0" w:line="229"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Jihan Wu</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4642485</wp:posOffset>
            </wp:positionH>
            <wp:positionV relativeFrom="paragraph">
              <wp:posOffset>17145</wp:posOffset>
            </wp:positionV>
            <wp:extent cx="249428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21"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Jihan Wu</w:t>
      </w:r>
    </w:p>
    <w:p>
      <w:pPr>
        <w:spacing w:after="0" w:line="23" w:lineRule="exact"/>
        <w:rPr>
          <w:sz w:val="20"/>
          <w:szCs w:val="20"/>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Executive Officer</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14, 2025</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3" w:name="page4"/>
    <w:bookmarkEnd w:id="3"/>
    <w:p>
      <w:pPr>
        <w:jc w:val="right"/>
        <w:spacing w:after="0"/>
        <w:rPr>
          <w:sz w:val="20"/>
          <w:szCs w:val="20"/>
          <w:color w:val="auto"/>
        </w:rPr>
      </w:pPr>
      <w:r>
        <w:rPr>
          <w:rFonts w:ascii="Times New Roman" w:cs="Times New Roman" w:eastAsia="Times New Roman" w:hAnsi="Times New Roman"/>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Bitdeer Announces July 2025 Production and Operations Update</w:t>
      </w:r>
    </w:p>
    <w:p>
      <w:pPr>
        <w:spacing w:after="0" w:line="229" w:lineRule="exact"/>
        <w:rPr>
          <w:sz w:val="20"/>
          <w:szCs w:val="20"/>
          <w:color w:val="auto"/>
        </w:rPr>
      </w:pPr>
    </w:p>
    <w:p>
      <w:pPr>
        <w:ind w:left="2200" w:hanging="114"/>
        <w:spacing w:after="0"/>
        <w:tabs>
          <w:tab w:leader="none" w:pos="220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self-mining hashrate by 35% to 22.3 EH/s on continued deployment of SEALMINERs</w:t>
      </w:r>
    </w:p>
    <w:p>
      <w:pPr>
        <w:spacing w:after="0" w:line="27" w:lineRule="exact"/>
        <w:rPr>
          <w:rFonts w:ascii="Times New Roman" w:cs="Times New Roman" w:eastAsia="Times New Roman" w:hAnsi="Times New Roman"/>
          <w:sz w:val="18"/>
          <w:szCs w:val="18"/>
          <w:color w:val="auto"/>
        </w:rPr>
      </w:pPr>
    </w:p>
    <w:p>
      <w:pPr>
        <w:ind w:left="2140" w:hanging="108"/>
        <w:spacing w:after="0"/>
        <w:tabs>
          <w:tab w:leader="none" w:pos="21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159 MW energized in Bhutan and Norway; Rockdale, Texas Hydro-cooling conversion completed</w:t>
      </w:r>
    </w:p>
    <w:p>
      <w:pPr>
        <w:spacing w:after="0" w:line="203"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SINGAPORE, August 13, 2025 (GLOBE NEWSWIRE) </w:t>
      </w:r>
      <w:r>
        <w:rPr>
          <w:rFonts w:ascii="Times New Roman" w:cs="Times New Roman" w:eastAsia="Times New Roman" w:hAnsi="Times New Roman"/>
          <w:sz w:val="18"/>
          <w:szCs w:val="18"/>
          <w:color w:val="auto"/>
        </w:rPr>
        <w:t>-- Bitdeer Technologies Group (NASDAQ: BTDR) (“</w:t>
      </w:r>
      <w:r>
        <w:rPr>
          <w:rFonts w:ascii="Times New Roman" w:cs="Times New Roman" w:eastAsia="Times New Roman" w:hAnsi="Times New Roman"/>
          <w:sz w:val="18"/>
          <w:szCs w:val="18"/>
          <w:b w:val="1"/>
          <w:bCs w:val="1"/>
          <w:color w:val="auto"/>
        </w:rPr>
        <w:t>Bitdeer</w:t>
      </w:r>
      <w:r>
        <w:rPr>
          <w:rFonts w:ascii="Times New Roman" w:cs="Times New Roman" w:eastAsia="Times New Roman" w:hAnsi="Times New Roman"/>
          <w:sz w:val="18"/>
          <w:szCs w:val="18"/>
          <w:color w:val="auto"/>
        </w:rPr>
        <w:t>” or the “</w:t>
      </w:r>
      <w:r>
        <w:rPr>
          <w:rFonts w:ascii="Times New Roman" w:cs="Times New Roman" w:eastAsia="Times New Roman" w:hAnsi="Times New Roman"/>
          <w:sz w:val="18"/>
          <w:szCs w:val="18"/>
          <w:b w:val="1"/>
          <w:bCs w:val="1"/>
          <w:color w:val="auto"/>
        </w:rPr>
        <w:t>Company</w:t>
      </w:r>
      <w:r>
        <w:rPr>
          <w:rFonts w:ascii="Times New Roman" w:cs="Times New Roman" w:eastAsia="Times New Roman" w:hAnsi="Times New Roman"/>
          <w:sz w:val="18"/>
          <w:szCs w:val="18"/>
          <w:color w:val="auto"/>
        </w:rPr>
        <w:t>”), a world-leading technology company for Bitcoin mining, today announced its unaudited mining and operations updates for July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Operational Update</w:t>
      </w:r>
    </w:p>
    <w:p>
      <w:pPr>
        <w:spacing w:after="0" w:line="225" w:lineRule="exact"/>
        <w:rPr>
          <w:sz w:val="20"/>
          <w:szCs w:val="20"/>
          <w:color w:val="auto"/>
        </w:rPr>
      </w:pPr>
    </w:p>
    <w:p>
      <w:pPr>
        <w:ind w:left="340" w:right="20" w:hanging="332"/>
        <w:spacing w:after="0" w:line="286"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Self-mined Bitcoin: </w:t>
      </w:r>
      <w:r>
        <w:rPr>
          <w:rFonts w:ascii="Times New Roman" w:cs="Times New Roman" w:eastAsia="Times New Roman" w:hAnsi="Times New Roman"/>
          <w:sz w:val="18"/>
          <w:szCs w:val="18"/>
          <w:color w:val="auto"/>
        </w:rPr>
        <w:t>282 Bitcoins, an increase of ~39% from June 2025 due to higher average self-mining hashrate from energization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SEALMINERs.</w:t>
      </w:r>
    </w:p>
    <w:p>
      <w:pPr>
        <w:spacing w:after="0" w:line="181"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Mining Rig Manufacturing and R&amp;D:</w:t>
      </w:r>
    </w:p>
    <w:p>
      <w:pPr>
        <w:spacing w:after="0" w:line="252" w:lineRule="exact"/>
        <w:rPr>
          <w:rFonts w:ascii="Times New Roman" w:cs="Times New Roman" w:eastAsia="Times New Roman" w:hAnsi="Times New Roman"/>
          <w:sz w:val="18"/>
          <w:szCs w:val="18"/>
          <w:color w:val="auto"/>
        </w:rPr>
      </w:pPr>
    </w:p>
    <w:p>
      <w:pPr>
        <w:ind w:left="340" w:right="6940"/>
        <w:spacing w:after="0" w:line="534"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 </w:t>
      </w:r>
      <w:r>
        <w:rPr>
          <w:rFonts w:ascii="Times New Roman" w:cs="Times New Roman" w:eastAsia="Times New Roman" w:hAnsi="Times New Roman"/>
          <w:sz w:val="18"/>
          <w:szCs w:val="18"/>
          <w:b w:val="1"/>
          <w:bCs w:val="1"/>
          <w:color w:val="auto"/>
        </w:rPr>
        <w:t>SEALMINER A1:</w:t>
      </w:r>
      <w:r>
        <w:rPr>
          <w:rFonts w:ascii="Times New Roman" w:cs="Times New Roman" w:eastAsia="Times New Roman" w:hAnsi="Times New Roman"/>
          <w:sz w:val="18"/>
          <w:szCs w:val="18"/>
          <w:color w:val="auto"/>
        </w:rPr>
        <w:t xml:space="preserve"> 4.1 EH/s have been energized. o </w:t>
      </w:r>
      <w:r>
        <w:rPr>
          <w:rFonts w:ascii="Times New Roman" w:cs="Times New Roman" w:eastAsia="Times New Roman" w:hAnsi="Times New Roman"/>
          <w:sz w:val="18"/>
          <w:szCs w:val="18"/>
          <w:b w:val="1"/>
          <w:bCs w:val="1"/>
          <w:color w:val="auto"/>
        </w:rPr>
        <w:t>SEALMINER A2:</w:t>
      </w:r>
    </w:p>
    <w:p>
      <w:pPr>
        <w:ind w:left="660" w:right="900"/>
        <w:spacing w:after="0" w:line="5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Total of 21.2 EH/s in mining rigs have been manufactured and an additional 0.4 EH/s are in final assembly as of end of July 2025. o Of the 21.2 EH/s mining rigs that have been manufactured:</w:t>
      </w:r>
    </w:p>
    <w:p>
      <w:pPr>
        <w:spacing w:after="0" w:line="1"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External-sales: </w:t>
      </w:r>
      <w:r>
        <w:rPr>
          <w:rFonts w:ascii="Times New Roman" w:cs="Times New Roman" w:eastAsia="Times New Roman" w:hAnsi="Times New Roman"/>
          <w:sz w:val="18"/>
          <w:szCs w:val="18"/>
          <w:color w:val="auto"/>
        </w:rPr>
        <w:t>5.9 EH/s of mining rigs have been shipped to external customers, including 0.6 EH/s that were shipped in July.</w:t>
      </w:r>
    </w:p>
    <w:p>
      <w:pPr>
        <w:spacing w:after="0" w:line="252" w:lineRule="exact"/>
        <w:rPr>
          <w:rFonts w:ascii="Times New Roman" w:cs="Times New Roman" w:eastAsia="Times New Roman" w:hAnsi="Times New Roman"/>
          <w:sz w:val="18"/>
          <w:szCs w:val="18"/>
          <w:color w:val="auto"/>
        </w:rPr>
      </w:pPr>
    </w:p>
    <w:p>
      <w:pPr>
        <w:ind w:left="1300" w:hanging="320"/>
        <w:spacing w:after="0"/>
        <w:tabs>
          <w:tab w:leader="none" w:pos="130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Self-mining:</w:t>
      </w:r>
    </w:p>
    <w:p>
      <w:pPr>
        <w:spacing w:after="0" w:line="256"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10.2 EH/s of mining rigs have been deployed in U.S., Tydal, Norway and Jigmeling, Bhutan, including 5.6 EH/s in July 2025.</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4.8 EH/s of mining rigs are in-transit to Bitdeer’s sites in Norway and Bhutan.</w:t>
      </w:r>
    </w:p>
    <w:p>
      <w:pPr>
        <w:spacing w:after="0" w:line="252" w:lineRule="exact"/>
        <w:rPr>
          <w:rFonts w:ascii="Times New Roman" w:cs="Times New Roman" w:eastAsia="Times New Roman" w:hAnsi="Times New Roman"/>
          <w:sz w:val="18"/>
          <w:szCs w:val="18"/>
          <w:color w:val="auto"/>
        </w:rPr>
      </w:pPr>
    </w:p>
    <w:p>
      <w:pPr>
        <w:ind w:left="1620" w:hanging="316"/>
        <w:spacing w:after="0"/>
        <w:tabs>
          <w:tab w:leader="none" w:pos="1620" w:val="left"/>
        </w:tabs>
        <w:numPr>
          <w:ilvl w:val="2"/>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0.3 EH/s of mining rigs are being prepared for shipping.</w:t>
      </w:r>
    </w:p>
    <w:p>
      <w:pPr>
        <w:spacing w:after="0" w:line="248" w:lineRule="exact"/>
        <w:rPr>
          <w:sz w:val="20"/>
          <w:szCs w:val="20"/>
          <w:color w:val="auto"/>
        </w:rPr>
      </w:pPr>
    </w:p>
    <w:p>
      <w:pPr>
        <w:ind w:left="660" w:hanging="328"/>
        <w:spacing w:after="0"/>
        <w:tabs>
          <w:tab w:leader="none" w:pos="6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A3:</w:t>
      </w:r>
    </w:p>
    <w:p>
      <w:pPr>
        <w:spacing w:after="0" w:line="256" w:lineRule="exact"/>
        <w:rPr>
          <w:rFonts w:ascii="Times New Roman" w:cs="Times New Roman" w:eastAsia="Times New Roman" w:hAnsi="Times New Roman"/>
          <w:sz w:val="18"/>
          <w:szCs w:val="18"/>
          <w:color w:val="auto"/>
        </w:rPr>
      </w:pPr>
    </w:p>
    <w:p>
      <w:pPr>
        <w:ind w:left="660" w:right="5860"/>
        <w:spacing w:after="0" w:line="532"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In final stages of preparation for being mass production ready. o Machine level testing results meeting expectations.</w:t>
      </w:r>
    </w:p>
    <w:p>
      <w:pPr>
        <w:ind w:left="66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Expected launch in September.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462915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SEALMINER A4:</w:t>
      </w:r>
    </w:p>
    <w:p>
      <w:pPr>
        <w:spacing w:after="0" w:line="256" w:lineRule="exact"/>
        <w:rPr>
          <w:rFonts w:ascii="Times New Roman" w:cs="Times New Roman" w:eastAsia="Times New Roman" w:hAnsi="Times New Roman"/>
          <w:sz w:val="18"/>
          <w:szCs w:val="18"/>
          <w:color w:val="auto"/>
        </w:rPr>
      </w:pPr>
    </w:p>
    <w:p>
      <w:pPr>
        <w:ind w:left="660" w:right="4980"/>
        <w:spacing w:after="0" w:line="529"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 On track to achieve an expected chip efficiency of approximately 5 J/TH. o Planning two different chip designs of SEAL04 to ensure success.</w:t>
      </w:r>
    </w:p>
    <w:p>
      <w:pPr>
        <w:spacing w:after="0" w:line="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U.S. Manufacturing: </w:t>
      </w:r>
      <w:r>
        <w:rPr>
          <w:rFonts w:ascii="Times New Roman" w:cs="Times New Roman" w:eastAsia="Times New Roman" w:hAnsi="Times New Roman"/>
          <w:sz w:val="18"/>
          <w:szCs w:val="18"/>
          <w:color w:val="auto"/>
        </w:rPr>
        <w:t>Bitdeer’s U.S. factory is actively in planning and preparation.</w:t>
      </w:r>
    </w:p>
    <w:p>
      <w:pPr>
        <w:spacing w:after="0" w:line="252"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HPC/AI:</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Entered into advanced negotiations with a development partner regarding our Clarington, Ohio site.</w:t>
      </w:r>
    </w:p>
    <w:p>
      <w:pPr>
        <w:spacing w:after="0" w:line="252"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GPU cloud services powered by NVIDIA DGX SuperPOD nearly fully utilized driven by strong customer demand. NVL72 GB200 deployment is on track for Q3 2025 completion, with evaluation of deployment of NVL72 GB300 underway.</w:t>
      </w:r>
    </w:p>
    <w:p>
      <w:pPr>
        <w:spacing w:after="0" w:line="184"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Hosting:</w:t>
      </w:r>
    </w:p>
    <w:p>
      <w:pPr>
        <w:spacing w:after="0" w:line="256"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hosted hashrate remained unchanged in July 2025.</w:t>
      </w:r>
    </w:p>
    <w:p>
      <w:pPr>
        <w:spacing w:after="0" w:line="248"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Infrastructure: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Rockdale, Texas: </w:t>
      </w:r>
      <w:r>
        <w:rPr>
          <w:rFonts w:ascii="Times New Roman" w:cs="Times New Roman" w:eastAsia="Times New Roman" w:hAnsi="Times New Roman"/>
          <w:sz w:val="18"/>
          <w:szCs w:val="18"/>
          <w:color w:val="auto"/>
        </w:rPr>
        <w:t>100 MW Hydro-cooling conversion has been fully energized.</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Tydal, Norway (Hydro): </w:t>
      </w:r>
      <w:r>
        <w:rPr>
          <w:rFonts w:ascii="Times New Roman" w:cs="Times New Roman" w:eastAsia="Times New Roman" w:hAnsi="Times New Roman"/>
          <w:sz w:val="18"/>
          <w:szCs w:val="18"/>
          <w:color w:val="auto"/>
        </w:rPr>
        <w:t>126 MW is online. The remaining 49 MW is expected to be energized by the end of Q3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Jigmeling, Bhutan: </w:t>
      </w:r>
      <w:r>
        <w:rPr>
          <w:rFonts w:ascii="Times New Roman" w:cs="Times New Roman" w:eastAsia="Times New Roman" w:hAnsi="Times New Roman"/>
          <w:sz w:val="18"/>
          <w:szCs w:val="18"/>
          <w:color w:val="auto"/>
        </w:rPr>
        <w:t>235 MW is online, with the remaining 265 MW expected to be energized in phases by the end of Q3 2025.</w:t>
      </w:r>
    </w:p>
    <w:p>
      <w:pPr>
        <w:spacing w:after="0" w:line="252"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Massillon, Ohio: </w:t>
      </w:r>
      <w:r>
        <w:rPr>
          <w:rFonts w:ascii="Times New Roman" w:cs="Times New Roman" w:eastAsia="Times New Roman" w:hAnsi="Times New Roman"/>
          <w:sz w:val="18"/>
          <w:szCs w:val="18"/>
          <w:color w:val="auto"/>
        </w:rPr>
        <w:t>221 MW site is under construction and the full energization timeline has been adjusted to the end of Q1 2026. 21MW is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expected to be energized by the end of October 2025. The remaining 200MW is expected to be energized in phases by the end of Q1 2026.</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Management Commentary</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July, continued deployment of SEALMINERS increased our self-mining hashrate by 35% to 22.3 EH/s and we are well on track to reach 40 EH/s by the end of October 2025,” said Matt Kong, Chief Business Officer at Bitdeer. “For SEALMINER A3, all machine-level validation metrics have met our internal benchmarks, and we are preparing to initiate mass production and commercial launch. Looking ahead, our R&amp;D efforts have now pivoted to the SEAL04, which will be a completely new, next-generation architecture targeting breakthrough efficiency of approximately 5 J/TH at the chip level. We are planning two designs of our SEAL04 to ensure success.”</w:t>
      </w:r>
    </w:p>
    <w:p>
      <w:pPr>
        <w:spacing w:after="0" w:line="18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Mr. Kong continued, “We also made significant progress on our construction projects. During the month, we completed the energization of our 100 MW hydro-cooling conversion in Rockdale, Texas, which now houses our SEALMINER A2 hydro-cooling mining rigs. Further, we energized an additional 159 MWs in Tydal, Norway and Jigmeling Bhutan, bringing our total available electrical capacity to 1,257 MWs globally. Finally, in July, we made progress in our HPC/AI negotiations and have entered into advanced discussions with a development partner regarding our Clarington, Ohio site.”</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Production and Operations Summary</w:t>
            </w:r>
          </w:p>
        </w:tc>
        <w:tc>
          <w:tcPr>
            <w:tcW w:w="2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452"/>
        </w:trPr>
        <w:tc>
          <w:tcPr>
            <w:tcW w:w="44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Metrics</w:t>
            </w:r>
          </w:p>
        </w:tc>
        <w:tc>
          <w:tcPr>
            <w:tcW w:w="276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240" w:type="dxa"/>
            <w:vAlign w:val="bottom"/>
            <w:tcBorders>
              <w:bottom w:val="single" w:sz="8" w:color="auto"/>
            </w:tcBorders>
          </w:tcPr>
          <w:p>
            <w:pPr>
              <w:ind w:left="260"/>
              <w:spacing w:after="0"/>
              <w:rPr>
                <w:sz w:val="20"/>
                <w:szCs w:val="20"/>
                <w:color w:val="auto"/>
              </w:rPr>
            </w:pPr>
            <w:r>
              <w:rPr>
                <w:rFonts w:ascii="Times New Roman" w:cs="Times New Roman" w:eastAsia="Times New Roman" w:hAnsi="Times New Roman"/>
                <w:sz w:val="18"/>
                <w:szCs w:val="18"/>
                <w:b w:val="1"/>
                <w:bCs w:val="1"/>
                <w:color w:val="auto"/>
              </w:rPr>
              <w:t>July 2025</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ind w:left="220"/>
              <w:spacing w:after="0"/>
              <w:rPr>
                <w:sz w:val="20"/>
                <w:szCs w:val="20"/>
                <w:color w:val="auto"/>
              </w:rPr>
            </w:pPr>
            <w:r>
              <w:rPr>
                <w:rFonts w:ascii="Times New Roman" w:cs="Times New Roman" w:eastAsia="Times New Roman" w:hAnsi="Times New Roman"/>
                <w:sz w:val="18"/>
                <w:szCs w:val="18"/>
                <w:b w:val="1"/>
                <w:bCs w:val="1"/>
                <w:color w:val="auto"/>
              </w:rPr>
              <w:t>June 2025</w:t>
            </w:r>
          </w:p>
        </w:tc>
        <w:tc>
          <w:tcPr>
            <w:tcW w:w="120" w:type="dxa"/>
            <w:vAlign w:val="bottom"/>
            <w:tcBorders>
              <w:bottom w:val="single" w:sz="8" w:color="CCEEFF"/>
            </w:tcBorders>
          </w:tcPr>
          <w:p>
            <w:pPr>
              <w:spacing w:after="0"/>
              <w:rPr>
                <w:sz w:val="24"/>
                <w:szCs w:val="24"/>
                <w:color w:val="auto"/>
              </w:rPr>
            </w:pPr>
          </w:p>
        </w:tc>
        <w:tc>
          <w:tcPr>
            <w:tcW w:w="1220" w:type="dxa"/>
            <w:vAlign w:val="bottom"/>
            <w:tcBorders>
              <w:bottom w:val="single" w:sz="8" w:color="auto"/>
            </w:tcBorders>
          </w:tcPr>
          <w:p>
            <w:pPr>
              <w:jc w:val="right"/>
              <w:ind w:right="150"/>
              <w:spacing w:after="0"/>
              <w:rPr>
                <w:sz w:val="20"/>
                <w:szCs w:val="20"/>
                <w:color w:val="auto"/>
              </w:rPr>
            </w:pPr>
            <w:r>
              <w:rPr>
                <w:rFonts w:ascii="Times New Roman" w:cs="Times New Roman" w:eastAsia="Times New Roman" w:hAnsi="Times New Roman"/>
                <w:sz w:val="18"/>
                <w:szCs w:val="18"/>
                <w:b w:val="1"/>
                <w:bCs w:val="1"/>
                <w:color w:val="auto"/>
              </w:rPr>
              <w:t>July 2024</w:t>
            </w:r>
          </w:p>
        </w:tc>
      </w:tr>
      <w:tr>
        <w:trPr>
          <w:trHeight w:val="257"/>
        </w:trPr>
        <w:tc>
          <w:tcPr>
            <w:tcW w:w="4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Total hash rate under management</w:t>
            </w:r>
            <w:r>
              <w:rPr>
                <w:rFonts w:ascii="Times New Roman" w:cs="Times New Roman" w:eastAsia="Times New Roman" w:hAnsi="Times New Roman"/>
                <w:sz w:val="29"/>
                <w:szCs w:val="29"/>
                <w:b w:val="1"/>
                <w:bCs w:val="1"/>
                <w:color w:val="auto"/>
                <w:vertAlign w:val="superscript"/>
              </w:rPr>
              <w:t>1</w:t>
            </w:r>
            <w:r>
              <w:rPr>
                <w:rFonts w:ascii="Times New Roman" w:cs="Times New Roman" w:eastAsia="Times New Roman" w:hAnsi="Times New Roman"/>
                <w:sz w:val="18"/>
                <w:szCs w:val="18"/>
                <w:b w:val="1"/>
                <w:bCs w:val="1"/>
                <w:color w:val="auto"/>
              </w:rPr>
              <w:t xml:space="preserve"> (EH/s)</w:t>
            </w:r>
          </w:p>
        </w:tc>
        <w:tc>
          <w:tcPr>
            <w:tcW w:w="4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36.4</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30.6</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 Proprietary hash rate</w:t>
            </w:r>
          </w:p>
        </w:tc>
        <w:tc>
          <w:tcPr>
            <w:tcW w:w="4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22.5</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16.7</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w:t>
            </w:r>
          </w:p>
        </w:tc>
      </w:tr>
      <w:tr>
        <w:trPr>
          <w:trHeight w:val="216"/>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Self-mining</w:t>
            </w:r>
          </w:p>
        </w:tc>
        <w:tc>
          <w:tcPr>
            <w:tcW w:w="4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22.3</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16.5</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w:t>
            </w:r>
          </w:p>
        </w:tc>
      </w:tr>
      <w:tr>
        <w:trPr>
          <w:trHeight w:val="216"/>
        </w:trPr>
        <w:tc>
          <w:tcPr>
            <w:tcW w:w="4440" w:type="dxa"/>
            <w:vAlign w:val="bottom"/>
          </w:tcPr>
          <w:p>
            <w:pPr>
              <w:ind w:left="340"/>
              <w:spacing w:after="0"/>
              <w:rPr>
                <w:sz w:val="20"/>
                <w:szCs w:val="20"/>
                <w:color w:val="auto"/>
              </w:rPr>
            </w:pPr>
            <w:r>
              <w:rPr>
                <w:rFonts w:ascii="Times New Roman" w:cs="Times New Roman" w:eastAsia="Times New Roman" w:hAnsi="Times New Roman"/>
                <w:sz w:val="18"/>
                <w:szCs w:val="18"/>
                <w:color w:val="auto"/>
              </w:rPr>
              <w:t>● Cloud Hash Rate</w:t>
            </w:r>
          </w:p>
        </w:tc>
        <w:tc>
          <w:tcPr>
            <w:tcW w:w="4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w:t>
            </w:r>
          </w:p>
        </w:tc>
      </w:tr>
      <w:tr>
        <w:trPr>
          <w:trHeight w:val="216"/>
        </w:trPr>
        <w:tc>
          <w:tcPr>
            <w:tcW w:w="444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8"/>
                <w:szCs w:val="18"/>
                <w:color w:val="auto"/>
              </w:rPr>
              <w:t>● Delivered but not hashing</w:t>
            </w:r>
          </w:p>
        </w:tc>
        <w:tc>
          <w:tcPr>
            <w:tcW w:w="4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color w:val="auto"/>
              </w:rPr>
              <w:t>- Hosting</w:t>
            </w:r>
          </w:p>
        </w:tc>
        <w:tc>
          <w:tcPr>
            <w:tcW w:w="4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13.9</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Mining rigs under management</w:t>
            </w:r>
          </w:p>
        </w:tc>
        <w:tc>
          <w:tcPr>
            <w:tcW w:w="4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213,000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200,000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212,000</w:t>
            </w:r>
          </w:p>
        </w:tc>
      </w:tr>
      <w:tr>
        <w:trPr>
          <w:trHeight w:val="256"/>
        </w:trPr>
        <w:tc>
          <w:tcPr>
            <w:tcW w:w="4440" w:type="dxa"/>
            <w:vAlign w:val="bottom"/>
          </w:tcPr>
          <w:p>
            <w:pPr>
              <w:spacing w:after="0" w:line="256" w:lineRule="exact"/>
              <w:rPr>
                <w:sz w:val="20"/>
                <w:szCs w:val="20"/>
                <w:color w:val="auto"/>
              </w:rPr>
            </w:pPr>
            <w:r>
              <w:rPr>
                <w:rFonts w:ascii="Times New Roman" w:cs="Times New Roman" w:eastAsia="Times New Roman" w:hAnsi="Times New Roman"/>
                <w:sz w:val="18"/>
                <w:szCs w:val="18"/>
                <w:color w:val="auto"/>
              </w:rPr>
              <w:t>- Self-owned</w:t>
            </w:r>
            <w:r>
              <w:rPr>
                <w:rFonts w:ascii="Times New Roman" w:cs="Times New Roman" w:eastAsia="Times New Roman" w:hAnsi="Times New Roman"/>
                <w:sz w:val="29"/>
                <w:szCs w:val="29"/>
                <w:color w:val="auto"/>
                <w:vertAlign w:val="superscript"/>
              </w:rPr>
              <w:t>2</w:t>
            </w:r>
          </w:p>
        </w:tc>
        <w:tc>
          <w:tcPr>
            <w:tcW w:w="4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color w:val="auto"/>
              </w:rPr>
              <w:t>127,000</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114,000</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87,000</w:t>
            </w:r>
          </w:p>
        </w:tc>
      </w:tr>
      <w:tr>
        <w:trPr>
          <w:trHeight w:val="216"/>
        </w:trPr>
        <w:tc>
          <w:tcPr>
            <w:tcW w:w="44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 Hosted</w:t>
            </w:r>
          </w:p>
        </w:tc>
        <w:tc>
          <w:tcPr>
            <w:tcW w:w="4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86,000</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86,000</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125,000</w:t>
            </w:r>
          </w:p>
        </w:tc>
      </w:tr>
      <w:tr>
        <w:trPr>
          <w:trHeight w:val="216"/>
        </w:trPr>
        <w:tc>
          <w:tcPr>
            <w:tcW w:w="44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Bitcoins mined (self-mining only)</w:t>
            </w:r>
          </w:p>
        </w:tc>
        <w:tc>
          <w:tcPr>
            <w:tcW w:w="4240" w:type="dxa"/>
            <w:vAlign w:val="bottom"/>
            <w:gridSpan w:val="4"/>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282</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203</w:t>
            </w:r>
          </w:p>
        </w:tc>
        <w:tc>
          <w:tcPr>
            <w:tcW w:w="122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181</w:t>
            </w:r>
          </w:p>
        </w:tc>
      </w:tr>
      <w:tr>
        <w:trPr>
          <w:trHeight w:val="256"/>
        </w:trPr>
        <w:tc>
          <w:tcPr>
            <w:tcW w:w="4440" w:type="dxa"/>
            <w:vAlign w:val="bottom"/>
            <w:shd w:val="clear" w:color="auto" w:fill="CCEEFF"/>
          </w:tcPr>
          <w:p>
            <w:pPr>
              <w:spacing w:after="0" w:line="256" w:lineRule="exact"/>
              <w:rPr>
                <w:sz w:val="20"/>
                <w:szCs w:val="20"/>
                <w:color w:val="auto"/>
              </w:rPr>
            </w:pPr>
            <w:r>
              <w:rPr>
                <w:rFonts w:ascii="Times New Roman" w:cs="Times New Roman" w:eastAsia="Times New Roman" w:hAnsi="Times New Roman"/>
                <w:sz w:val="18"/>
                <w:szCs w:val="18"/>
                <w:b w:val="1"/>
                <w:bCs w:val="1"/>
                <w:color w:val="auto"/>
              </w:rPr>
              <w:t>Bitcoin held</w:t>
            </w:r>
            <w:r>
              <w:rPr>
                <w:rFonts w:ascii="Times New Roman" w:cs="Times New Roman" w:eastAsia="Times New Roman" w:hAnsi="Times New Roman"/>
                <w:sz w:val="29"/>
                <w:szCs w:val="29"/>
                <w:b w:val="1"/>
                <w:bCs w:val="1"/>
                <w:color w:val="auto"/>
                <w:vertAlign w:val="superscript"/>
              </w:rPr>
              <w:t>3</w:t>
            </w:r>
          </w:p>
        </w:tc>
        <w:tc>
          <w:tcPr>
            <w:tcW w:w="4240" w:type="dxa"/>
            <w:vAlign w:val="bottom"/>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1,667</w:t>
            </w:r>
          </w:p>
        </w:tc>
        <w:tc>
          <w:tcPr>
            <w:tcW w:w="134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b w:val="1"/>
                <w:bCs w:val="1"/>
                <w:color w:val="auto"/>
              </w:rPr>
              <w:t>1,502</w:t>
            </w:r>
          </w:p>
        </w:tc>
        <w:tc>
          <w:tcPr>
            <w:tcW w:w="1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126</w:t>
            </w:r>
          </w:p>
        </w:tc>
      </w:tr>
      <w:tr>
        <w:trPr>
          <w:trHeight w:val="655"/>
        </w:trPr>
        <w:tc>
          <w:tcPr>
            <w:tcW w:w="4440" w:type="dxa"/>
            <w:vAlign w:val="bottom"/>
            <w:tcBorders>
              <w:bottom w:val="single" w:sz="8" w:color="auto"/>
            </w:tcBorders>
          </w:tcPr>
          <w:p>
            <w:pPr>
              <w:spacing w:after="0"/>
              <w:rPr>
                <w:sz w:val="24"/>
                <w:szCs w:val="24"/>
                <w:color w:val="auto"/>
              </w:rPr>
            </w:pPr>
          </w:p>
        </w:tc>
        <w:tc>
          <w:tcPr>
            <w:tcW w:w="2760" w:type="dxa"/>
            <w:vAlign w:val="bottom"/>
            <w:tcBorders>
              <w:bottom w:val="single" w:sz="8" w:color="auto"/>
            </w:tcBorders>
          </w:tcPr>
          <w:p>
            <w:pPr>
              <w:jc w:val="right"/>
              <w:ind w:right="1450"/>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11240"/>
          </w:cols>
          <w:pgMar w:left="320" w:top="360" w:right="339" w:bottom="1440" w:gutter="0" w:footer="0" w:header="0"/>
        </w:sectPr>
      </w:pPr>
    </w:p>
    <w:bookmarkStart w:id="5" w:name="page6"/>
    <w:bookmarkEnd w:id="5"/>
    <w:p>
      <w:pPr>
        <w:ind w:left="120" w:hanging="112"/>
        <w:spacing w:after="0"/>
        <w:tabs>
          <w:tab w:leader="none" w:pos="120" w:val="left"/>
        </w:tabs>
        <w:numPr>
          <w:ilvl w:val="0"/>
          <w:numId w:val="5"/>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Total hash rate under management </w:t>
      </w:r>
      <w:r>
        <w:rPr>
          <w:rFonts w:ascii="Times New Roman" w:cs="Times New Roman" w:eastAsia="Times New Roman" w:hAnsi="Times New Roman"/>
          <w:sz w:val="18"/>
          <w:szCs w:val="18"/>
          <w:color w:val="auto"/>
        </w:rPr>
        <w:t>as of July 31, 2025 across the Company’s primary business lines: Self-mining, Cloud Hash Rate, and Hosting.</w:t>
      </w:r>
    </w:p>
    <w:p>
      <w:pPr>
        <w:spacing w:after="0" w:line="193" w:lineRule="exact"/>
        <w:rPr>
          <w:rFonts w:ascii="Times New Roman" w:cs="Times New Roman" w:eastAsia="Times New Roman" w:hAnsi="Times New Roman"/>
          <w:sz w:val="30"/>
          <w:szCs w:val="30"/>
          <w:color w:val="auto"/>
          <w:vertAlign w:val="superscript"/>
        </w:rPr>
      </w:pPr>
    </w:p>
    <w:p>
      <w:pPr>
        <w:ind w:left="660" w:hanging="328"/>
        <w:spacing w:after="0" w:line="28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Self-mining </w:t>
      </w:r>
      <w:r>
        <w:rPr>
          <w:rFonts w:ascii="Times New Roman" w:cs="Times New Roman" w:eastAsia="Times New Roman" w:hAnsi="Times New Roman"/>
          <w:sz w:val="18"/>
          <w:szCs w:val="18"/>
          <w:color w:val="auto"/>
        </w:rPr>
        <w:t>refers to cryptocurrency mining for the Company’s own account, which allows it to directly capture the high appreciation potential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w:t>
      </w:r>
    </w:p>
    <w:p>
      <w:pPr>
        <w:spacing w:after="0" w:line="181" w:lineRule="exact"/>
        <w:rPr>
          <w:rFonts w:ascii="Times New Roman" w:cs="Times New Roman" w:eastAsia="Times New Roman" w:hAnsi="Times New Roman"/>
          <w:sz w:val="18"/>
          <w:szCs w:val="18"/>
          <w:color w:val="auto"/>
        </w:rPr>
      </w:pPr>
    </w:p>
    <w:p>
      <w:pPr>
        <w:ind w:left="660" w:hanging="328"/>
        <w:spacing w:after="0" w:line="28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Cloud Hash Rate </w:t>
      </w:r>
      <w:r>
        <w:rPr>
          <w:rFonts w:ascii="Times New Roman" w:cs="Times New Roman" w:eastAsia="Times New Roman" w:hAnsi="Times New Roman"/>
          <w:sz w:val="18"/>
          <w:szCs w:val="18"/>
          <w:color w:val="auto"/>
        </w:rPr>
        <w:t>offers hash rate subscription plans and shares mining income with customers under certain arrangements. The Cloud Hash Rate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stated above reflects the contracted hash rate with customers at month-end.</w:t>
      </w:r>
    </w:p>
    <w:p>
      <w:pPr>
        <w:spacing w:after="0" w:line="181" w:lineRule="exact"/>
        <w:rPr>
          <w:rFonts w:ascii="Times New Roman" w:cs="Times New Roman" w:eastAsia="Times New Roman" w:hAnsi="Times New Roman"/>
          <w:sz w:val="18"/>
          <w:szCs w:val="18"/>
          <w:color w:val="auto"/>
        </w:rPr>
      </w:pPr>
    </w:p>
    <w:p>
      <w:pPr>
        <w:ind w:left="660" w:right="20" w:hanging="328"/>
        <w:spacing w:after="0" w:line="286" w:lineRule="auto"/>
        <w:tabs>
          <w:tab w:leader="none" w:pos="66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Hosting </w:t>
      </w:r>
      <w:r>
        <w:rPr>
          <w:rFonts w:ascii="Times New Roman" w:cs="Times New Roman" w:eastAsia="Times New Roman" w:hAnsi="Times New Roman"/>
          <w:sz w:val="18"/>
          <w:szCs w:val="18"/>
          <w:color w:val="auto"/>
        </w:rPr>
        <w:t>encompasses a one-stop mining machine hosting solution including deployment, maintenance, and management services for efficient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cryptocurrency mining.</w:t>
      </w:r>
    </w:p>
    <w:p>
      <w:pPr>
        <w:spacing w:after="0" w:line="116" w:lineRule="exact"/>
        <w:rPr>
          <w:sz w:val="20"/>
          <w:szCs w:val="20"/>
          <w:color w:val="auto"/>
        </w:rPr>
      </w:pPr>
    </w:p>
    <w:p>
      <w:pPr>
        <w:ind w:left="120" w:hanging="112"/>
        <w:spacing w:after="0"/>
        <w:tabs>
          <w:tab w:leader="none" w:pos="120" w:val="left"/>
        </w:tabs>
        <w:numPr>
          <w:ilvl w:val="0"/>
          <w:numId w:val="6"/>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Self-owned mining machines </w:t>
      </w:r>
      <w:r>
        <w:rPr>
          <w:rFonts w:ascii="Times New Roman" w:cs="Times New Roman" w:eastAsia="Times New Roman" w:hAnsi="Times New Roman"/>
          <w:sz w:val="18"/>
          <w:szCs w:val="18"/>
          <w:color w:val="auto"/>
        </w:rPr>
        <w:t>are for the Company’s self-mining business and Cloud Hash Rate business.</w:t>
      </w:r>
    </w:p>
    <w:p>
      <w:pPr>
        <w:spacing w:after="0" w:line="128" w:lineRule="exact"/>
        <w:rPr>
          <w:sz w:val="20"/>
          <w:szCs w:val="20"/>
          <w:color w:val="auto"/>
        </w:rPr>
      </w:pPr>
    </w:p>
    <w:p>
      <w:pPr>
        <w:ind w:left="120" w:hanging="112"/>
        <w:spacing w:after="0"/>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b w:val="1"/>
          <w:bCs w:val="1"/>
          <w:color w:val="auto"/>
        </w:rPr>
        <w:t xml:space="preserve">Bitcoins held </w:t>
      </w:r>
      <w:r>
        <w:rPr>
          <w:rFonts w:ascii="Times New Roman" w:cs="Times New Roman" w:eastAsia="Times New Roman" w:hAnsi="Times New Roman"/>
          <w:sz w:val="18"/>
          <w:szCs w:val="18"/>
          <w:color w:val="auto"/>
        </w:rPr>
        <w:t>do not include the Bitcoins from deposits of the customers.</w:t>
      </w:r>
    </w:p>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Infrastructure Construction Update</w:t>
            </w:r>
          </w:p>
        </w:tc>
        <w:tc>
          <w:tcPr>
            <w:tcW w:w="10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0"/>
        </w:trPr>
        <w:tc>
          <w:tcPr>
            <w:tcW w:w="6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rPr>
              <w:t>Capacity</w:t>
            </w:r>
          </w:p>
        </w:tc>
        <w:tc>
          <w:tcPr>
            <w:tcW w:w="1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vMerge w:val="restart"/>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Timing</w:t>
            </w:r>
            <w:r>
              <w:rPr>
                <w:rFonts w:ascii="Times New Roman" w:cs="Times New Roman" w:eastAsia="Times New Roman" w:hAnsi="Times New Roman"/>
                <w:sz w:val="29"/>
                <w:szCs w:val="29"/>
                <w:b w:val="1"/>
                <w:bCs w:val="1"/>
                <w:color w:val="auto"/>
                <w:w w:val="97"/>
                <w:vertAlign w:val="superscript"/>
              </w:rPr>
              <w:t>4</w:t>
            </w:r>
          </w:p>
        </w:tc>
        <w:tc>
          <w:tcPr>
            <w:tcW w:w="0" w:type="dxa"/>
            <w:vAlign w:val="bottom"/>
          </w:tcPr>
          <w:p>
            <w:pPr>
              <w:spacing w:after="0"/>
              <w:rPr>
                <w:sz w:val="1"/>
                <w:szCs w:val="1"/>
                <w:color w:val="auto"/>
              </w:rPr>
            </w:pPr>
          </w:p>
        </w:tc>
      </w:tr>
      <w:tr>
        <w:trPr>
          <w:trHeight w:val="245"/>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Site / Location</w:t>
            </w:r>
          </w:p>
        </w:tc>
        <w:tc>
          <w:tcPr>
            <w:tcW w:w="1240" w:type="dxa"/>
            <w:vAlign w:val="bottom"/>
            <w:gridSpan w:val="3"/>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7"/>
              </w:rPr>
              <w:t>(MW)</w:t>
            </w: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9"/>
              </w:rPr>
              <w:t>Status</w:t>
            </w:r>
          </w:p>
        </w:tc>
        <w:tc>
          <w:tcPr>
            <w:tcW w:w="16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642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8"/>
                <w:szCs w:val="18"/>
                <w:b w:val="1"/>
                <w:bCs w:val="1"/>
                <w:color w:val="auto"/>
              </w:rPr>
              <w:t>Electrical capacity</w:t>
            </w:r>
          </w:p>
        </w:tc>
        <w:tc>
          <w:tcPr>
            <w:tcW w:w="120" w:type="dxa"/>
            <w:vAlign w:val="bottom"/>
          </w:tcPr>
          <w:p>
            <w:pPr>
              <w:spacing w:after="0"/>
              <w:rPr>
                <w:sz w:val="18"/>
                <w:szCs w:val="18"/>
                <w:color w:val="auto"/>
              </w:rPr>
            </w:pPr>
          </w:p>
        </w:tc>
        <w:tc>
          <w:tcPr>
            <w:tcW w:w="1020" w:type="dxa"/>
            <w:vAlign w:val="bottom"/>
            <w:tcBorders>
              <w:top w:val="single" w:sz="8" w:color="auto"/>
            </w:tcBorders>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Rockdale, Texas</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563</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Knoxville, Tennessee</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2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Wenatchee, Washington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Molde, Norway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84</w:t>
            </w:r>
          </w:p>
        </w:tc>
        <w:tc>
          <w:tcPr>
            <w:tcW w:w="2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Tydal, Norway</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Gedu, Bhutan</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3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Jigmeling, Bhutan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235</w:t>
            </w:r>
          </w:p>
        </w:tc>
        <w:tc>
          <w:tcPr>
            <w:tcW w:w="200" w:type="dxa"/>
            <w:vAlign w:val="bottom"/>
            <w:shd w:val="clear" w:color="auto" w:fill="CCEEFF"/>
          </w:tcPr>
          <w:p>
            <w:pPr>
              <w:spacing w:after="0"/>
              <w:rPr>
                <w:sz w:val="20"/>
                <w:szCs w:val="20"/>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7"/>
              </w:rPr>
              <w:t>Online</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Completed</w:t>
            </w:r>
          </w:p>
        </w:tc>
        <w:tc>
          <w:tcPr>
            <w:tcW w:w="0" w:type="dxa"/>
            <w:vAlign w:val="bottom"/>
          </w:tcPr>
          <w:p>
            <w:pPr>
              <w:spacing w:after="0"/>
              <w:rPr>
                <w:sz w:val="1"/>
                <w:szCs w:val="1"/>
                <w:color w:val="auto"/>
              </w:rPr>
            </w:pPr>
          </w:p>
        </w:tc>
      </w:tr>
      <w:tr>
        <w:trPr>
          <w:trHeight w:val="223"/>
        </w:trPr>
        <w:tc>
          <w:tcPr>
            <w:tcW w:w="6540" w:type="dxa"/>
            <w:vAlign w:val="bottom"/>
            <w:tcBorders>
              <w:top w:val="single" w:sz="8" w:color="CCEEFF"/>
              <w:bottom w:val="single" w:sz="8" w:color="CCEEFF"/>
            </w:tcBorders>
            <w:gridSpan w:val="2"/>
          </w:tcPr>
          <w:p>
            <w:pPr>
              <w:spacing w:after="0"/>
              <w:rPr>
                <w:sz w:val="20"/>
                <w:szCs w:val="20"/>
                <w:color w:val="auto"/>
              </w:rPr>
            </w:pPr>
            <w:r>
              <w:rPr>
                <w:rFonts w:ascii="Times New Roman" w:cs="Times New Roman" w:eastAsia="Times New Roman" w:hAnsi="Times New Roman"/>
                <w:sz w:val="18"/>
                <w:szCs w:val="18"/>
                <w:b w:val="1"/>
                <w:bCs w:val="1"/>
                <w:color w:val="auto"/>
              </w:rPr>
              <w:t>Total electrical capacity</w:t>
            </w: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b w:val="1"/>
                <w:bCs w:val="1"/>
                <w:color w:val="auto"/>
              </w:rPr>
              <w:t>1,257</w:t>
            </w:r>
          </w:p>
        </w:tc>
        <w:tc>
          <w:tcPr>
            <w:tcW w:w="220" w:type="dxa"/>
            <w:vAlign w:val="bottom"/>
            <w:tcBorders>
              <w:top w:val="single" w:sz="8" w:color="CCEEFF"/>
              <w:bottom w:val="single" w:sz="8" w:color="CCEEFF"/>
            </w:tcBorders>
            <w:gridSpan w:val="2"/>
          </w:tcPr>
          <w:p>
            <w:pPr>
              <w:jc w:val="right"/>
              <w:ind w:right="160"/>
              <w:spacing w:after="0"/>
              <w:rPr>
                <w:sz w:val="20"/>
                <w:szCs w:val="20"/>
                <w:color w:val="auto"/>
              </w:rPr>
            </w:pPr>
            <w:r>
              <w:rPr>
                <w:rFonts w:ascii="Times New Roman" w:cs="Times New Roman" w:eastAsia="Times New Roman" w:hAnsi="Times New Roman"/>
                <w:sz w:val="11"/>
                <w:szCs w:val="11"/>
                <w:b w:val="1"/>
                <w:bCs w:val="1"/>
                <w:color w:val="auto"/>
                <w:w w:val="71"/>
              </w:rPr>
              <w:t>5</w:t>
            </w:r>
          </w:p>
        </w:tc>
        <w:tc>
          <w:tcPr>
            <w:tcW w:w="1680" w:type="dxa"/>
            <w:vAlign w:val="bottom"/>
            <w:tcBorders>
              <w:top w:val="single" w:sz="8" w:color="CCEEFF"/>
              <w:bottom w:val="single" w:sz="8" w:color="CCEEFF"/>
            </w:tcBorders>
          </w:tcPr>
          <w:p>
            <w:pPr>
              <w:spacing w:after="0"/>
              <w:rPr>
                <w:sz w:val="19"/>
                <w:szCs w:val="19"/>
                <w:color w:val="auto"/>
              </w:rPr>
            </w:pPr>
          </w:p>
        </w:tc>
        <w:tc>
          <w:tcPr>
            <w:tcW w:w="100" w:type="dxa"/>
            <w:vAlign w:val="bottom"/>
            <w:tcBorders>
              <w:top w:val="single" w:sz="8" w:color="CCEEFF"/>
              <w:bottom w:val="single" w:sz="8" w:color="CCEEFF"/>
            </w:tcBorders>
          </w:tcPr>
          <w:p>
            <w:pPr>
              <w:spacing w:after="0"/>
              <w:rPr>
                <w:sz w:val="19"/>
                <w:szCs w:val="19"/>
                <w:color w:val="auto"/>
              </w:rPr>
            </w:pPr>
          </w:p>
        </w:tc>
        <w:tc>
          <w:tcPr>
            <w:tcW w:w="1680" w:type="dxa"/>
            <w:vAlign w:val="bottom"/>
            <w:tcBorders>
              <w:top w:val="single" w:sz="8" w:color="CCEEFF"/>
              <w:bottom w:val="single" w:sz="8" w:color="CCEEFF"/>
            </w:tcBorders>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Pipeline capacity</w:t>
            </w:r>
          </w:p>
        </w:tc>
        <w:tc>
          <w:tcPr>
            <w:tcW w:w="10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Tydal, Norway</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Q3 2025</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Massillon, Ohio</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221</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Q1 2026</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Clarington, Ohio</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570</w:t>
            </w:r>
          </w:p>
        </w:tc>
        <w:tc>
          <w:tcPr>
            <w:tcW w:w="2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Q2 2027</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Jigmeling, Bhutan</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265</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Q3 2025</w:t>
            </w:r>
          </w:p>
        </w:tc>
        <w:tc>
          <w:tcPr>
            <w:tcW w:w="0" w:type="dxa"/>
            <w:vAlign w:val="bottom"/>
          </w:tcPr>
          <w:p>
            <w:pPr>
              <w:spacing w:after="0"/>
              <w:rPr>
                <w:sz w:val="1"/>
                <w:szCs w:val="1"/>
                <w:color w:val="auto"/>
              </w:rPr>
            </w:pPr>
          </w:p>
        </w:tc>
      </w:tr>
      <w:tr>
        <w:trPr>
          <w:trHeight w:val="216"/>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Rockdale, Texas</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00" w:type="dxa"/>
            <w:vAlign w:val="bottom"/>
          </w:tcPr>
          <w:p>
            <w:pPr>
              <w:spacing w:after="0"/>
              <w:rPr>
                <w:sz w:val="18"/>
                <w:szCs w:val="18"/>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rPr>
              <w:t>In planning</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Estimate 2026</w:t>
            </w:r>
          </w:p>
        </w:tc>
        <w:tc>
          <w:tcPr>
            <w:tcW w:w="0" w:type="dxa"/>
            <w:vAlign w:val="bottom"/>
          </w:tcPr>
          <w:p>
            <w:pPr>
              <w:spacing w:after="0"/>
              <w:rPr>
                <w:sz w:val="1"/>
                <w:szCs w:val="1"/>
                <w:color w:val="auto"/>
              </w:rPr>
            </w:pPr>
          </w:p>
        </w:tc>
      </w:tr>
      <w:tr>
        <w:trPr>
          <w:trHeight w:val="216"/>
        </w:trPr>
        <w:tc>
          <w:tcPr>
            <w:tcW w:w="65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 Alberta, Canada</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200" w:type="dxa"/>
            <w:vAlign w:val="bottom"/>
            <w:shd w:val="clear" w:color="auto" w:fill="CCEEFF"/>
          </w:tcPr>
          <w:p>
            <w:pPr>
              <w:spacing w:after="0"/>
              <w:rPr>
                <w:sz w:val="18"/>
                <w:szCs w:val="18"/>
                <w:color w:val="auto"/>
              </w:rPr>
            </w:pPr>
          </w:p>
        </w:tc>
        <w:tc>
          <w:tcPr>
            <w:tcW w:w="1780" w:type="dxa"/>
            <w:vAlign w:val="bottom"/>
            <w:gridSpan w:val="2"/>
            <w:shd w:val="clear" w:color="auto" w:fill="CCEEFF"/>
          </w:tcPr>
          <w:p>
            <w:pPr>
              <w:jc w:val="center"/>
              <w:ind w:right="100"/>
              <w:spacing w:after="0"/>
              <w:rPr>
                <w:sz w:val="20"/>
                <w:szCs w:val="20"/>
                <w:color w:val="auto"/>
              </w:rPr>
            </w:pPr>
            <w:r>
              <w:rPr>
                <w:rFonts w:ascii="Times New Roman" w:cs="Times New Roman" w:eastAsia="Times New Roman" w:hAnsi="Times New Roman"/>
                <w:sz w:val="18"/>
                <w:szCs w:val="18"/>
                <w:color w:val="auto"/>
              </w:rPr>
              <w:t>In planning</w:t>
            </w:r>
          </w:p>
        </w:tc>
        <w:tc>
          <w:tcPr>
            <w:tcW w:w="168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Q4 2026</w:t>
            </w:r>
          </w:p>
        </w:tc>
        <w:tc>
          <w:tcPr>
            <w:tcW w:w="0" w:type="dxa"/>
            <w:vAlign w:val="bottom"/>
          </w:tcPr>
          <w:p>
            <w:pPr>
              <w:spacing w:after="0"/>
              <w:rPr>
                <w:sz w:val="1"/>
                <w:szCs w:val="1"/>
                <w:color w:val="auto"/>
              </w:rPr>
            </w:pPr>
          </w:p>
        </w:tc>
      </w:tr>
      <w:tr>
        <w:trPr>
          <w:trHeight w:val="223"/>
        </w:trPr>
        <w:tc>
          <w:tcPr>
            <w:tcW w:w="65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Oromia Region, Ethiopia</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200" w:type="dxa"/>
            <w:vAlign w:val="bottom"/>
          </w:tcPr>
          <w:p>
            <w:pPr>
              <w:spacing w:after="0"/>
              <w:rPr>
                <w:sz w:val="19"/>
                <w:szCs w:val="19"/>
                <w:color w:val="auto"/>
              </w:rPr>
            </w:pPr>
          </w:p>
        </w:tc>
        <w:tc>
          <w:tcPr>
            <w:tcW w:w="178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color w:val="auto"/>
                <w:w w:val="99"/>
              </w:rPr>
              <w:t>In progress</w:t>
            </w:r>
          </w:p>
        </w:tc>
        <w:tc>
          <w:tcPr>
            <w:tcW w:w="16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Q4 2025</w:t>
            </w:r>
          </w:p>
        </w:tc>
        <w:tc>
          <w:tcPr>
            <w:tcW w:w="0" w:type="dxa"/>
            <w:vAlign w:val="bottom"/>
          </w:tcPr>
          <w:p>
            <w:pPr>
              <w:spacing w:after="0"/>
              <w:rPr>
                <w:sz w:val="1"/>
                <w:szCs w:val="1"/>
                <w:color w:val="auto"/>
              </w:rPr>
            </w:pPr>
          </w:p>
        </w:tc>
      </w:tr>
      <w:tr>
        <w:trPr>
          <w:trHeight w:val="236"/>
        </w:trPr>
        <w:tc>
          <w:tcPr>
            <w:tcW w:w="6540" w:type="dxa"/>
            <w:vAlign w:val="bottom"/>
            <w:tcBorders>
              <w:top w:val="single" w:sz="8" w:color="CCEEFF"/>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pipeline capacity</w:t>
            </w:r>
          </w:p>
        </w:tc>
        <w:tc>
          <w:tcPr>
            <w:tcW w:w="10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b w:val="1"/>
                <w:bCs w:val="1"/>
                <w:color w:val="auto"/>
              </w:rPr>
              <w:t>1,433</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8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6540" w:type="dxa"/>
            <w:vAlign w:val="bottom"/>
            <w:gridSpan w:val="2"/>
          </w:tcPr>
          <w:p>
            <w:pPr>
              <w:spacing w:after="0" w:line="203" w:lineRule="exact"/>
              <w:rPr>
                <w:sz w:val="20"/>
                <w:szCs w:val="20"/>
                <w:color w:val="auto"/>
              </w:rPr>
            </w:pPr>
            <w:r>
              <w:rPr>
                <w:rFonts w:ascii="Times New Roman" w:cs="Times New Roman" w:eastAsia="Times New Roman" w:hAnsi="Times New Roman"/>
                <w:sz w:val="18"/>
                <w:szCs w:val="18"/>
                <w:b w:val="1"/>
                <w:bCs w:val="1"/>
                <w:color w:val="auto"/>
              </w:rPr>
              <w:t>Total global electrical capacity</w:t>
            </w:r>
          </w:p>
        </w:tc>
        <w:tc>
          <w:tcPr>
            <w:tcW w:w="1020" w:type="dxa"/>
            <w:vAlign w:val="bottom"/>
            <w:tcBorders>
              <w:bottom w:val="single" w:sz="8" w:color="auto"/>
            </w:tcBorders>
          </w:tcPr>
          <w:p>
            <w:pPr>
              <w:jc w:val="right"/>
              <w:spacing w:after="0" w:line="203" w:lineRule="exact"/>
              <w:rPr>
                <w:sz w:val="20"/>
                <w:szCs w:val="20"/>
                <w:color w:val="auto"/>
              </w:rPr>
            </w:pPr>
            <w:r>
              <w:rPr>
                <w:rFonts w:ascii="Times New Roman" w:cs="Times New Roman" w:eastAsia="Times New Roman" w:hAnsi="Times New Roman"/>
                <w:sz w:val="18"/>
                <w:szCs w:val="18"/>
                <w:b w:val="1"/>
                <w:bCs w:val="1"/>
                <w:color w:val="auto"/>
              </w:rPr>
              <w:t>2,690</w:t>
            </w:r>
          </w:p>
        </w:tc>
        <w:tc>
          <w:tcPr>
            <w:tcW w:w="20" w:type="dxa"/>
            <w:vAlign w:val="bottom"/>
            <w:tcBorders>
              <w:bottom w:val="single" w:sz="8" w:color="auto"/>
            </w:tcBorders>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128" w:lineRule="exact"/>
        <w:rPr>
          <w:sz w:val="20"/>
          <w:szCs w:val="20"/>
          <w:color w:val="auto"/>
        </w:rPr>
      </w:pPr>
    </w:p>
    <w:p>
      <w:pPr>
        <w:ind w:left="120" w:hanging="112"/>
        <w:spacing w:after="0"/>
        <w:tabs>
          <w:tab w:leader="none" w:pos="120" w:val="left"/>
        </w:tabs>
        <w:numPr>
          <w:ilvl w:val="0"/>
          <w:numId w:val="8"/>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Indicative timing. All timing references are to calendar quarters and years.</w:t>
      </w:r>
    </w:p>
    <w:p>
      <w:pPr>
        <w:spacing w:after="0" w:line="128" w:lineRule="exact"/>
        <w:rPr>
          <w:sz w:val="20"/>
          <w:szCs w:val="20"/>
          <w:color w:val="auto"/>
        </w:rPr>
      </w:pPr>
    </w:p>
    <w:p>
      <w:pPr>
        <w:ind w:left="120" w:hanging="112"/>
        <w:spacing w:after="0"/>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Figures represent total available electrical capacity.</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26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Rockdale, Texas </w:t>
      </w:r>
      <w:r>
        <w:rPr>
          <w:rFonts w:ascii="Times New Roman" w:cs="Times New Roman" w:eastAsia="Times New Roman" w:hAnsi="Times New Roman"/>
          <w:sz w:val="18"/>
          <w:szCs w:val="18"/>
          <w:i w:val="1"/>
          <w:iCs w:val="1"/>
          <w:color w:val="auto"/>
        </w:rPr>
        <w:t>– 100 MW Hydro-cooling conversion has been fully energized.</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Tydal, Norway </w:t>
      </w: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175 MW site expansion has commenced energization and the full energization timeline has been adjusted to the end of Q3 2025:</w:t>
      </w:r>
    </w:p>
    <w:p>
      <w:pPr>
        <w:spacing w:after="0" w:line="229" w:lineRule="exact"/>
        <w:rPr>
          <w:sz w:val="20"/>
          <w:szCs w:val="20"/>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126 MW are online.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equipment has been delivered. The remaining 49 MW is expected to be energized by the end of Q3 2025.</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Massillon, Ohio </w:t>
      </w:r>
      <w:r>
        <w:rPr>
          <w:rFonts w:ascii="Times New Roman" w:cs="Times New Roman" w:eastAsia="Times New Roman" w:hAnsi="Times New Roman"/>
          <w:sz w:val="18"/>
          <w:szCs w:val="18"/>
          <w:i w:val="1"/>
          <w:iCs w:val="1"/>
          <w:color w:val="auto"/>
        </w:rPr>
        <w:t>– 221 MW site is under construction and the full energization timeline has been adjusted to the end of Q1 2026 due to transformer</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delivery delays, labor storages and anticipated cold winter months:</w:t>
      </w:r>
    </w:p>
    <w:p>
      <w:pPr>
        <w:spacing w:after="0" w:line="159"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21MW is expected to be energized by the end of October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200MW is expected to be energized in phases by the end of Q1 2026.</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Clarington, Ohio </w:t>
      </w:r>
      <w:r>
        <w:rPr>
          <w:rFonts w:ascii="Times New Roman" w:cs="Times New Roman" w:eastAsia="Times New Roman" w:hAnsi="Times New Roman"/>
          <w:sz w:val="18"/>
          <w:szCs w:val="18"/>
          <w:i w:val="1"/>
          <w:iCs w:val="1"/>
          <w:color w:val="auto"/>
        </w:rPr>
        <w:t>– 570 MW available – power and datacenter infrastructure to be completed in Q2 2027.</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 xml:space="preserve">Jigmeling, Bhutan </w:t>
      </w:r>
      <w:r>
        <w:rPr>
          <w:rFonts w:ascii="Times New Roman" w:cs="Times New Roman" w:eastAsia="Times New Roman" w:hAnsi="Times New Roman"/>
          <w:sz w:val="18"/>
          <w:szCs w:val="18"/>
          <w:i w:val="1"/>
          <w:iCs w:val="1"/>
          <w:color w:val="auto"/>
        </w:rPr>
        <w:t>– 500 MW site has commenced energization and is expected to be fully energized in phases by the end of Q3 2025:</w:t>
      </w:r>
    </w:p>
    <w:p>
      <w:pPr>
        <w:spacing w:after="0" w:line="229" w:lineRule="exact"/>
        <w:rPr>
          <w:sz w:val="20"/>
          <w:szCs w:val="20"/>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235 MW is online.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remaining 265 MW is expected to be energized in phases by the end of Q3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Two 132kV transformers and five 220kV transformers have been energized in June 2025.</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containers and hydro-cooling systems have been completed and are now being installed.</w:t>
      </w:r>
    </w:p>
    <w:p>
      <w:pPr>
        <w:spacing w:after="0" w:line="221" w:lineRule="exact"/>
        <w:rPr>
          <w:sz w:val="20"/>
          <w:szCs w:val="20"/>
          <w:color w:val="auto"/>
        </w:rPr>
      </w:pPr>
    </w:p>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Fox Creek, Alberta </w:t>
      </w:r>
      <w:r>
        <w:rPr>
          <w:rFonts w:ascii="Times New Roman" w:cs="Times New Roman" w:eastAsia="Times New Roman" w:hAnsi="Times New Roman"/>
          <w:sz w:val="18"/>
          <w:szCs w:val="18"/>
          <w:i w:val="1"/>
          <w:iCs w:val="1"/>
          <w:color w:val="auto"/>
        </w:rPr>
        <w:t>– 101 MW site acquired in Alberta, is fully licensed and permitted to construct an on-site natural gas power plant. The project is</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expected to be energized by the end of Q4 2026.</w:t>
      </w:r>
    </w:p>
    <w:p>
      <w:pPr>
        <w:spacing w:after="0" w:line="3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333" w:right="339" w:bottom="1440" w:gutter="0" w:footer="0" w:header="0"/>
        </w:sectPr>
      </w:pPr>
    </w:p>
    <w:bookmarkStart w:id="7" w:name="page8"/>
    <w:bookmarkEnd w:id="7"/>
    <w:p>
      <w:pPr>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 xml:space="preserve">Oromia Region, Ethiopia </w:t>
      </w:r>
      <w:r>
        <w:rPr>
          <w:rFonts w:ascii="Times New Roman" w:cs="Times New Roman" w:eastAsia="Times New Roman" w:hAnsi="Times New Roman"/>
          <w:sz w:val="18"/>
          <w:szCs w:val="18"/>
          <w:i w:val="1"/>
          <w:iCs w:val="1"/>
          <w:color w:val="auto"/>
        </w:rPr>
        <w:t>– SPA and a turnkey agreement signed for the acquisition and construction of a 50 MW Bitcoin mining project in Ethiopia.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i w:val="1"/>
          <w:iCs w:val="1"/>
          <w:color w:val="auto"/>
        </w:rPr>
        <w:t>project is expected to be energized in Q4 2025.</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Upcoming Conferences and Events</w:t>
      </w:r>
    </w:p>
    <w:p>
      <w:pPr>
        <w:spacing w:after="0" w:line="22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September 4, 2025: </w:t>
      </w:r>
      <w:r>
        <w:rPr>
          <w:rFonts w:ascii="Times New Roman" w:cs="Times New Roman" w:eastAsia="Times New Roman" w:hAnsi="Times New Roman"/>
          <w:sz w:val="18"/>
          <w:szCs w:val="18"/>
          <w:color w:val="auto"/>
        </w:rPr>
        <w:t>5th Annual Needham Virtual Crypto Conference</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September 8 – 10, 2025: </w:t>
      </w:r>
      <w:r>
        <w:rPr>
          <w:rFonts w:ascii="Times New Roman" w:cs="Times New Roman" w:eastAsia="Times New Roman" w:hAnsi="Times New Roman"/>
          <w:sz w:val="18"/>
          <w:szCs w:val="18"/>
          <w:color w:val="auto"/>
        </w:rPr>
        <w:t>HC Wainwright Global Investment Conference in New York</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October 7, 2025: </w:t>
      </w:r>
      <w:r>
        <w:rPr>
          <w:rFonts w:ascii="Times New Roman" w:cs="Times New Roman" w:eastAsia="Times New Roman" w:hAnsi="Times New Roman"/>
          <w:sz w:val="18"/>
          <w:szCs w:val="18"/>
          <w:color w:val="auto"/>
        </w:rPr>
        <w:t>CEO Summit in Phoenix</w:t>
      </w:r>
    </w:p>
    <w:p>
      <w:pPr>
        <w:spacing w:after="0" w:line="25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 xml:space="preserve">November 10 – 12, 2025: </w:t>
      </w:r>
      <w:r>
        <w:rPr>
          <w:rFonts w:ascii="Times New Roman" w:cs="Times New Roman" w:eastAsia="Times New Roman" w:hAnsi="Times New Roman"/>
          <w:sz w:val="18"/>
          <w:szCs w:val="18"/>
          <w:color w:val="auto"/>
        </w:rPr>
        <w:t>Cantor Crypto, AI/Energy Infrastructure Conference in Miami</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Bitdeer Technologies Group</w:t>
      </w:r>
    </w:p>
    <w:p>
      <w:pPr>
        <w:spacing w:after="0" w:line="2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Bitdeer is a world-leading technology company for Bitcoin mining. Bitdeer is committed to providing comprehensive Bitcoin mining solutions for its customers. The Company handles complex processes involved in computing such as equipment procurement, transport logistics, datacenter design and construction, equipment management, and daily operations. The Company also offers advanced cloud capabilities to customers with high demand for artificial intelligence. Headquartered in Singapore, Bitdeer has deployed datacenters in the United States, Norway, and Bhutan. To learn more, visit https://ir.bitdeer.com/ or follow Bitdeer on X @ BitdeerOfficial and LinkedIn @ Bitdeer Group.</w:t>
      </w:r>
    </w:p>
    <w:p>
      <w:pPr>
        <w:spacing w:after="0" w:line="18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Investors and others should note that Bitdeer may announce material information using its website and/or on its accounts on social media platforms, including X, formerly known as Twitter, Facebook, and LinkedIn. Therefore, Bitdeer encourages investors and others to review the information it posts on the social media and other communication channels listed on its website.</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Statements in this press release about future expectations, plans, and prospects, as well as any other statements regarding matters that are not historical facts, may constitute “forward-looking statements” within the meaning of The Private Securities Litigation Reform Act of 1995. The words “anticipate,” “look forward to,” “believe,” “continue,” “could,” “estimate,” “expect,” “intend,” “may,” “plan,” “potential,” “predict,” “project,” “should,” “target,” “will,” “would” and similar expressions are intended to identify forward-looking statements, although not all forward-looking statements contain these identifying words. Actual results may differ materially from those indicated by such forward-looking statements as a result of various important factors, including factors discussed in the section entitled “Risk Factors” in Bitdeer’s annual report on Form 20-F, as well as discussions of potential risks, uncertainties, and other important factors in Bitdeer’s subsequent filings with the U.S. Securities and Exchange Commission. Any forward-looking statements contained in this press release speak only as of the date hereof. Bitdeer specifically disclaims any obligation to update any forward-looking statement, whether due to new information, future events, or otherwise. Readers should not rely upon the information on this page as current or accurate after its publication date.</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 investor and media inquiries, please contact:</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Orange Group</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Yujia Zhai</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bitdeerIR@orangegroupadvisors.com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Media</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Elev8 New Media</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Jessica Starman, MBA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bitdeer@elev8newmedia.com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Public Relations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BlocksBridge Consulting</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Nishant Sharma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bitdeer@blocksbridge.com</w:t>
      </w: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240"/>
      </w:cols>
      <w:pgMar w:left="320" w:top="333"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lvl w:ilvl="1">
      <w:lvlJc w:val="left"/>
      <w:lvlText w:val="-"/>
      <w:numFmt w:val="bullet"/>
      <w:start w:val="1"/>
    </w:lvl>
  </w:abstractNum>
  <w:abstractNum w:abstractNumId="1">
    <w:nsid w:val="79E2A9E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2">
    <w:nsid w:val="7545E146"/>
    <w:multiLevelType w:val="hybridMultilevel"/>
    <w:lvl w:ilvl="0">
      <w:lvlJc w:val="left"/>
      <w:lvlText w:val="o"/>
      <w:numFmt w:val="bullet"/>
      <w:start w:val="1"/>
    </w:lvl>
  </w:abstractNum>
  <w:abstractNum w:abstractNumId="3">
    <w:nsid w:val="515F007C"/>
    <w:multiLevelType w:val="hybridMultilevel"/>
    <w:lvl w:ilvl="0">
      <w:lvlJc w:val="left"/>
      <w:lvlText w:val="●"/>
      <w:numFmt w:val="bullet"/>
      <w:start w:val="1"/>
    </w:lvl>
    <w:lvl w:ilvl="1">
      <w:lvlJc w:val="left"/>
      <w:lvlText w:val="o"/>
      <w:numFmt w:val="bullet"/>
      <w:start w:val="1"/>
    </w:lvl>
  </w:abstractNum>
  <w:abstractNum w:abstractNumId="4">
    <w:nsid w:val="5BD062C2"/>
    <w:multiLevelType w:val="hybridMultilevel"/>
    <w:lvl w:ilvl="0">
      <w:lvlJc w:val="left"/>
      <w:lvlText w:val="1"/>
      <w:numFmt w:val="bullet"/>
      <w:start w:val="1"/>
    </w:lvl>
    <w:lvl w:ilvl="1">
      <w:lvlJc w:val="left"/>
      <w:lvlText w:val="●"/>
      <w:numFmt w:val="bullet"/>
      <w:start w:val="1"/>
    </w:lvl>
  </w:abstractNum>
  <w:abstractNum w:abstractNumId="5">
    <w:nsid w:val="12200854"/>
    <w:multiLevelType w:val="hybridMultilevel"/>
    <w:lvl w:ilvl="0">
      <w:lvlJc w:val="left"/>
      <w:lvlText w:val="2"/>
      <w:numFmt w:val="bullet"/>
      <w:start w:val="1"/>
    </w:lvl>
  </w:abstractNum>
  <w:abstractNum w:abstractNumId="6">
    <w:nsid w:val="4DB127F8"/>
    <w:multiLevelType w:val="hybridMultilevel"/>
    <w:lvl w:ilvl="0">
      <w:lvlJc w:val="left"/>
      <w:lvlText w:val="3"/>
      <w:numFmt w:val="bullet"/>
      <w:start w:val="1"/>
    </w:lvl>
  </w:abstractNum>
  <w:abstractNum w:abstractNumId="7">
    <w:nsid w:val="216231B"/>
    <w:multiLevelType w:val="hybridMultilevel"/>
    <w:lvl w:ilvl="0">
      <w:lvlJc w:val="left"/>
      <w:lvlText w:val="4"/>
      <w:numFmt w:val="bullet"/>
      <w:start w:val="1"/>
    </w:lvl>
  </w:abstractNum>
  <w:abstractNum w:abstractNumId="8">
    <w:nsid w:val="1F16E9E8"/>
    <w:multiLevelType w:val="hybridMultilevel"/>
    <w:lvl w:ilvl="0">
      <w:lvlJc w:val="left"/>
      <w:lvlText w:val="5"/>
      <w:numFmt w:val="bullet"/>
      <w:start w:val="1"/>
    </w:lvl>
  </w:abstractNum>
  <w:abstractNum w:abstractNumId="9">
    <w:nsid w:val="1190CDE7"/>
    <w:multiLevelType w:val="hybridMultilevel"/>
    <w:lvl w:ilvl="0">
      <w:lvlJc w:val="left"/>
      <w:lvlText w:val="●"/>
      <w:numFmt w:val="bullet"/>
      <w:start w:val="1"/>
    </w:lvl>
  </w:abstractNum>
  <w:abstractNum w:abstractNumId="10">
    <w:nsid w:val="66EF438D"/>
    <w:multiLevelType w:val="hybridMultilevel"/>
    <w:lvl w:ilvl="0">
      <w:lvlJc w:val="left"/>
      <w:lvlText w:val="●"/>
      <w:numFmt w:val="bullet"/>
      <w:start w:val="1"/>
    </w:lvl>
  </w:abstractNum>
  <w:abstractNum w:abstractNumId="11">
    <w:nsid w:val="140E0F76"/>
    <w:multiLevelType w:val="hybridMultilevel"/>
    <w:lvl w:ilvl="0">
      <w:lvlJc w:val="left"/>
      <w:lvlText w:val="●"/>
      <w:numFmt w:val="bullet"/>
      <w:start w:val="1"/>
    </w:lvl>
  </w:abstractNum>
  <w:abstractNum w:abstractNumId="12">
    <w:nsid w:val="3352255A"/>
    <w:multiLevelType w:val="hybridMultilevel"/>
    <w:lvl w:ilvl="0">
      <w:lvlJc w:val="left"/>
      <w:lvlText w:val="o"/>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2025-08-14T06:59:35Z</dcterms:created>
  <dcterms:modified xsi:type="dcterms:W3CDTF">2025-08-14T06:59:35Z</dcterms:modified>
</cp:coreProperties>
</file>