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61620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6162040"/>
                    </a:xfrm>
                    <a:prstGeom prst="rect">
                      <a:avLst/>
                    </a:prstGeom>
                    <a:noFill/>
                  </pic:spPr>
                </pic:pic>
              </a:graphicData>
            </a:graphic>
          </wp:anchor>
        </w:drawing>
      </w:r>
    </w:p>
    <w:p>
      <w:pPr>
        <w:sectPr>
          <w:pgSz w:w="11900" w:h="16838" w:orient="portrait"/>
          <w:cols w:equalWidth="0" w:num="1">
            <w:col w:w="10940"/>
          </w:cols>
          <w:pgMar w:left="480" w:top="230" w:right="479" w:bottom="565"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Chao Suo</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940" w:type="dxa"/>
            <w:vAlign w:val="bottom"/>
            <w:tcBorders>
              <w:top w:val="single" w:sz="8" w:color="0000EE"/>
              <w:bottom w:val="single" w:sz="8" w:color="9A9A9A"/>
            </w:tcBorders>
          </w:tcPr>
          <w:p>
            <w:pPr>
              <w:spacing w:after="0"/>
              <w:rPr>
                <w:sz w:val="17"/>
                <w:szCs w:val="17"/>
                <w:color w:val="auto"/>
              </w:rPr>
            </w:pPr>
          </w:p>
        </w:tc>
        <w:tc>
          <w:tcPr>
            <w:tcW w:w="212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03/18/2026</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3"/>
          <w:szCs w:val="23"/>
          <w:color w:val="0000EE"/>
        </w:rPr>
      </w:pPr>
      <w:hyperlink r:id="rId11">
        <w:r>
          <w:rPr>
            <w:rFonts w:ascii="Times New Roman" w:cs="Times New Roman" w:eastAsia="Times New Roman" w:hAnsi="Times New Roman"/>
            <w:sz w:val="23"/>
            <w:szCs w:val="23"/>
            <w:u w:val="single" w:color="auto"/>
            <w:color w:val="0000EE"/>
          </w:rPr>
          <w:t>Bitdeer Technologies Group</w:t>
        </w:r>
        <w:r>
          <w:rPr>
            <w:rFonts w:ascii="Times New Roman" w:cs="Times New Roman" w:eastAsia="Times New Roman" w:hAnsi="Times New Roman"/>
            <w:sz w:val="23"/>
            <w:szCs w:val="23"/>
            <w:color w:val="0000EE"/>
          </w:rPr>
          <w:t xml:space="preserve"> </w:t>
        </w:r>
      </w:hyperlink>
      <w:r>
        <w:rPr>
          <w:rFonts w:ascii="Times New Roman" w:cs="Times New Roman" w:eastAsia="Times New Roman" w:hAnsi="Times New Roman"/>
          <w:sz w:val="23"/>
          <w:szCs w:val="23"/>
          <w:color w:val="000000"/>
        </w:rPr>
        <w:t>[</w:t>
      </w:r>
      <w:r>
        <w:rPr>
          <w:rFonts w:ascii="Times New Roman" w:cs="Times New Roman" w:eastAsia="Times New Roman" w:hAnsi="Times New Roman"/>
          <w:sz w:val="23"/>
          <w:szCs w:val="23"/>
          <w:color w:val="0000EE"/>
        </w:rPr>
        <w:t xml:space="preserve"> </w:t>
      </w:r>
      <w:r>
        <w:rPr>
          <w:rFonts w:ascii="Times New Roman" w:cs="Times New Roman" w:eastAsia="Times New Roman" w:hAnsi="Times New Roman"/>
          <w:sz w:val="18"/>
          <w:szCs w:val="18"/>
          <w:color w:val="0000FF"/>
        </w:rPr>
        <w:t>BTDR</w:t>
      </w:r>
      <w:r>
        <w:rPr>
          <w:rFonts w:ascii="Times New Roman" w:cs="Times New Roman" w:eastAsia="Times New Roman" w:hAnsi="Times New Roman"/>
          <w:sz w:val="23"/>
          <w:szCs w:val="23"/>
          <w:color w:val="0000EE"/>
        </w:rPr>
        <w:t xml:space="preserve"> </w:t>
      </w:r>
      <w:r>
        <w:rPr>
          <w:rFonts w:ascii="Times New Roman" w:cs="Times New Roman" w:eastAsia="Times New Roman" w:hAnsi="Times New Roman"/>
          <w:sz w:val="23"/>
          <w:szCs w:val="23"/>
          <w:color w:val="000000"/>
        </w:rPr>
        <w:t>]</w:t>
      </w:r>
    </w:p>
    <w:p>
      <w:pPr>
        <w:spacing w:after="0" w:line="444" w:lineRule="exact"/>
        <w:rPr>
          <w:sz w:val="24"/>
          <w:szCs w:val="24"/>
          <w:color w:val="auto"/>
        </w:rPr>
      </w:pPr>
    </w:p>
    <w:p>
      <w:pPr>
        <w:sectPr>
          <w:pgSz w:w="11900" w:h="16838" w:orient="portrait"/>
          <w:cols w:equalWidth="0" w:num="2">
            <w:col w:w="4720" w:space="280"/>
            <w:col w:w="5940"/>
          </w:cols>
          <w:pgMar w:left="480" w:top="230" w:right="479" w:bottom="565" w:gutter="0" w:footer="0" w:header="0"/>
          <w:type w:val="continuous"/>
        </w:sect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4"/>
          <w:szCs w:val="24"/>
          <w:color w:val="auto"/>
        </w:rPr>
      </w:pPr>
    </w:p>
    <w:p>
      <w:pPr>
        <w:ind w:left="140" w:right="1417"/>
        <w:spacing w:after="0" w:line="275" w:lineRule="auto"/>
        <w:rPr>
          <w:sz w:val="20"/>
          <w:szCs w:val="20"/>
          <w:color w:val="auto"/>
        </w:rPr>
      </w:pPr>
      <w:r>
        <w:rPr>
          <w:rFonts w:ascii="Times New Roman" w:cs="Times New Roman" w:eastAsia="Times New Roman" w:hAnsi="Times New Roman"/>
          <w:sz w:val="20"/>
          <w:szCs w:val="20"/>
          <w:color w:val="0000FF"/>
        </w:rPr>
        <w:t>C/O BITDEER TECHNOLOGIES GROUP</w:t>
      </w:r>
    </w:p>
    <w:p>
      <w:pPr>
        <w:spacing w:after="0" w:line="13"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08 KALLANG AVE, APERIA</w:t>
      </w:r>
    </w:p>
    <w:p>
      <w:pPr>
        <w:spacing w:after="0" w:line="24"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TOWER 1 #09-03/04</w:t>
      </w:r>
    </w:p>
    <w:p>
      <w:pPr>
        <w:spacing w:after="0" w:line="313"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1780" w:type="dxa"/>
            <w:vAlign w:val="bottom"/>
          </w:tcPr>
          <w:p>
            <w:pPr>
              <w:spacing w:after="0"/>
              <w:rPr>
                <w:sz w:val="20"/>
                <w:szCs w:val="20"/>
                <w:color w:val="auto"/>
              </w:rPr>
            </w:pPr>
            <w:r>
              <w:rPr>
                <w:rFonts w:ascii="Arial" w:cs="Arial" w:eastAsia="Arial" w:hAnsi="Arial"/>
                <w:sz w:val="15"/>
                <w:szCs w:val="15"/>
                <w:color w:val="auto"/>
              </w:rPr>
              <w:t>(Street)</w:t>
            </w:r>
          </w:p>
        </w:tc>
        <w:tc>
          <w:tcPr>
            <w:tcW w:w="940" w:type="dxa"/>
            <w:vAlign w:val="bottom"/>
          </w:tcPr>
          <w:p>
            <w:pPr>
              <w:spacing w:after="0"/>
              <w:rPr>
                <w:sz w:val="17"/>
                <w:szCs w:val="17"/>
                <w:color w:val="auto"/>
              </w:rPr>
            </w:pPr>
          </w:p>
        </w:tc>
      </w:tr>
      <w:tr>
        <w:trPr>
          <w:trHeight w:val="265"/>
        </w:trPr>
        <w:tc>
          <w:tcPr>
            <w:tcW w:w="178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SINGAPORE U0</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0000FF"/>
              </w:rPr>
              <w:t>339509</w:t>
            </w: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5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8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38" w:lineRule="exact"/>
        <w:rPr>
          <w:sz w:val="24"/>
          <w:szCs w:val="24"/>
          <w:color w:val="auto"/>
        </w:rPr>
      </w:pPr>
    </w:p>
    <w:p>
      <w:pPr>
        <w:ind w:left="623"/>
        <w:spacing w:after="0"/>
        <w:rPr>
          <w:sz w:val="20"/>
          <w:szCs w:val="20"/>
          <w:color w:val="auto"/>
        </w:rPr>
      </w:pPr>
      <w:r>
        <w:rPr>
          <w:rFonts w:ascii="Times New Roman" w:cs="Times New Roman" w:eastAsia="Times New Roman" w:hAnsi="Times New Roman"/>
          <w:sz w:val="20"/>
          <w:szCs w:val="20"/>
          <w:color w:val="0000FF"/>
        </w:rPr>
        <w:t>Chief Operating Officer</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55"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358" w:lineRule="exact"/>
        <w:rPr>
          <w:sz w:val="24"/>
          <w:szCs w:val="24"/>
          <w:color w:val="auto"/>
        </w:rPr>
      </w:pPr>
    </w:p>
    <w:p>
      <w:pPr>
        <w:sectPr>
          <w:pgSz w:w="11900" w:h="16838" w:orient="portrait"/>
          <w:cols w:equalWidth="0" w:num="3">
            <w:col w:w="4277" w:space="720"/>
            <w:col w:w="3003" w:space="269"/>
            <w:col w:w="2671"/>
          </w:cols>
          <w:pgMar w:left="480" w:top="230" w:right="479" w:bottom="565" w:gutter="0" w:footer="0" w:header="0"/>
          <w:type w:val="continuous"/>
        </w:sectPr>
      </w:pPr>
    </w:p>
    <w:p>
      <w:pPr>
        <w:spacing w:after="0" w:line="147"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6"/>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69"/>
        </w:trPr>
        <w:tc>
          <w:tcPr>
            <w:tcW w:w="20" w:type="dxa"/>
            <w:vAlign w:val="bottom"/>
            <w:tcBorders>
              <w:bottom w:val="single" w:sz="8" w:color="2C2C2C"/>
            </w:tcBorders>
          </w:tcPr>
          <w:p>
            <w:pPr>
              <w:spacing w:after="0"/>
              <w:rPr>
                <w:sz w:val="5"/>
                <w:szCs w:val="5"/>
                <w:color w:val="auto"/>
              </w:rPr>
            </w:pPr>
          </w:p>
        </w:tc>
        <w:tc>
          <w:tcPr>
            <w:tcW w:w="3420" w:type="dxa"/>
            <w:vAlign w:val="bottom"/>
            <w:tcBorders>
              <w:bottom w:val="single" w:sz="8" w:color="2C2C2C"/>
            </w:tcBorders>
          </w:tcPr>
          <w:p>
            <w:pPr>
              <w:spacing w:after="0"/>
              <w:rPr>
                <w:sz w:val="5"/>
                <w:szCs w:val="5"/>
                <w:color w:val="auto"/>
              </w:rPr>
            </w:pPr>
          </w:p>
        </w:tc>
        <w:tc>
          <w:tcPr>
            <w:tcW w:w="34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28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2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020" w:type="dxa"/>
            <w:vAlign w:val="bottom"/>
          </w:tcPr>
          <w:p>
            <w:pPr>
              <w:ind w:left="80"/>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620" w:type="dxa"/>
            <w:vAlign w:val="bottom"/>
            <w:gridSpan w:val="2"/>
          </w:tcPr>
          <w:p>
            <w:pPr>
              <w:ind w:left="80"/>
              <w:spacing w:after="0"/>
              <w:rPr>
                <w:sz w:val="20"/>
                <w:szCs w:val="20"/>
                <w:color w:val="auto"/>
              </w:rPr>
            </w:pPr>
            <w:r>
              <w:rPr>
                <w:rFonts w:ascii="Arial" w:cs="Arial" w:eastAsia="Arial" w:hAnsi="Arial"/>
                <w:sz w:val="15"/>
                <w:szCs w:val="15"/>
                <w:b w:val="1"/>
                <w:bCs w:val="1"/>
                <w:color w:val="auto"/>
              </w:rPr>
              <w:t>3. Title and Amount of Securities</w:t>
            </w:r>
          </w:p>
        </w:tc>
        <w:tc>
          <w:tcPr>
            <w:tcW w:w="100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2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60" w:type="dxa"/>
            <w:vAlign w:val="bottom"/>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02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62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10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302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7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(Instr. 4)</w:t>
            </w:r>
          </w:p>
        </w:tc>
        <w:tc>
          <w:tcPr>
            <w:tcW w:w="860" w:type="dxa"/>
            <w:vAlign w:val="bottom"/>
          </w:tcPr>
          <w:p>
            <w:pPr>
              <w:spacing w:after="0"/>
              <w:rPr>
                <w:sz w:val="14"/>
                <w:szCs w:val="14"/>
                <w:color w:val="auto"/>
              </w:rPr>
            </w:pPr>
          </w:p>
        </w:tc>
        <w:tc>
          <w:tcPr>
            <w:tcW w:w="10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3020" w:type="dxa"/>
            <w:vAlign w:val="bottom"/>
          </w:tcPr>
          <w:p>
            <w:pPr>
              <w:spacing w:after="0"/>
              <w:rPr>
                <w:sz w:val="7"/>
                <w:szCs w:val="7"/>
                <w:color w:val="auto"/>
              </w:rPr>
            </w:pPr>
          </w:p>
        </w:tc>
        <w:tc>
          <w:tcPr>
            <w:tcW w:w="100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1760" w:type="dxa"/>
            <w:vAlign w:val="bottom"/>
            <w:tcBorders>
              <w:bottom w:val="single" w:sz="8" w:color="2C2C2C"/>
            </w:tcBorders>
          </w:tcPr>
          <w:p>
            <w:pPr>
              <w:spacing w:after="0"/>
              <w:rPr>
                <w:sz w:val="7"/>
                <w:szCs w:val="7"/>
                <w:color w:val="auto"/>
              </w:rPr>
            </w:pPr>
          </w:p>
        </w:tc>
        <w:tc>
          <w:tcPr>
            <w:tcW w:w="860" w:type="dxa"/>
            <w:vAlign w:val="bottom"/>
            <w:tcBorders>
              <w:bottom w:val="single" w:sz="8" w:color="2C2C2C"/>
            </w:tcBorders>
          </w:tcPr>
          <w:p>
            <w:pPr>
              <w:spacing w:after="0"/>
              <w:rPr>
                <w:sz w:val="7"/>
                <w:szCs w:val="7"/>
                <w:color w:val="auto"/>
              </w:rPr>
            </w:pPr>
          </w:p>
        </w:tc>
        <w:tc>
          <w:tcPr>
            <w:tcW w:w="100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2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60"/>
        </w:trPr>
        <w:tc>
          <w:tcPr>
            <w:tcW w:w="30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880" w:type="dxa"/>
            <w:vAlign w:val="bottom"/>
          </w:tcPr>
          <w:p>
            <w:pPr>
              <w:spacing w:after="0"/>
              <w:rPr>
                <w:sz w:val="5"/>
                <w:szCs w:val="5"/>
                <w:color w:val="auto"/>
              </w:rPr>
            </w:pPr>
          </w:p>
        </w:tc>
        <w:tc>
          <w:tcPr>
            <w:tcW w:w="1760" w:type="dxa"/>
            <w:vAlign w:val="bottom"/>
          </w:tcPr>
          <w:p>
            <w:pPr>
              <w:spacing w:after="0"/>
              <w:rPr>
                <w:sz w:val="5"/>
                <w:szCs w:val="5"/>
                <w:color w:val="auto"/>
              </w:rPr>
            </w:pPr>
          </w:p>
        </w:tc>
        <w:tc>
          <w:tcPr>
            <w:tcW w:w="860" w:type="dxa"/>
            <w:vAlign w:val="bottom"/>
            <w:vMerge w:val="restart"/>
          </w:tcPr>
          <w:p>
            <w:pPr>
              <w:ind w:left="140"/>
              <w:spacing w:after="0"/>
              <w:rPr>
                <w:sz w:val="20"/>
                <w:szCs w:val="20"/>
                <w:color w:val="auto"/>
              </w:rPr>
            </w:pPr>
            <w:r>
              <w:rPr>
                <w:rFonts w:ascii="Arial" w:cs="Arial" w:eastAsia="Arial" w:hAnsi="Arial"/>
                <w:sz w:val="15"/>
                <w:szCs w:val="15"/>
                <w:b w:val="1"/>
                <w:bCs w:val="1"/>
                <w:color w:val="auto"/>
              </w:rPr>
              <w:t>Amount</w:t>
            </w:r>
          </w:p>
        </w:tc>
        <w:tc>
          <w:tcPr>
            <w:tcW w:w="1000" w:type="dxa"/>
            <w:vAlign w:val="bottom"/>
            <w:vMerge w:val="continue"/>
          </w:tcPr>
          <w:p>
            <w:pPr>
              <w:spacing w:after="0"/>
              <w:rPr>
                <w:sz w:val="5"/>
                <w:szCs w:val="5"/>
                <w:color w:val="auto"/>
              </w:rPr>
            </w:pPr>
          </w:p>
        </w:tc>
        <w:tc>
          <w:tcPr>
            <w:tcW w:w="920" w:type="dxa"/>
            <w:vAlign w:val="bottom"/>
            <w:vMerge w:val="continue"/>
          </w:tcPr>
          <w:p>
            <w:pPr>
              <w:spacing w:after="0"/>
              <w:rPr>
                <w:sz w:val="5"/>
                <w:szCs w:val="5"/>
                <w:color w:val="auto"/>
              </w:rPr>
            </w:pPr>
          </w:p>
        </w:tc>
        <w:tc>
          <w:tcPr>
            <w:tcW w:w="14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30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860" w:type="dxa"/>
            <w:vAlign w:val="bottom"/>
            <w:vMerge w:val="continue"/>
          </w:tcPr>
          <w:p>
            <w:pPr>
              <w:spacing w:after="0"/>
              <w:rPr>
                <w:sz w:val="13"/>
                <w:szCs w:val="13"/>
                <w:color w:val="auto"/>
              </w:rPr>
            </w:pPr>
          </w:p>
        </w:tc>
        <w:tc>
          <w:tcPr>
            <w:tcW w:w="100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Derivative</w:t>
            </w:r>
          </w:p>
        </w:tc>
        <w:tc>
          <w:tcPr>
            <w:tcW w:w="92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0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86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or</w:t>
            </w:r>
          </w:p>
        </w:tc>
        <w:tc>
          <w:tcPr>
            <w:tcW w:w="10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86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Number</w:t>
            </w:r>
          </w:p>
        </w:tc>
        <w:tc>
          <w:tcPr>
            <w:tcW w:w="10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20" w:type="dxa"/>
            <w:vAlign w:val="bottom"/>
          </w:tcPr>
          <w:p>
            <w:pPr>
              <w:spacing w:after="0"/>
              <w:rPr>
                <w:sz w:val="14"/>
                <w:szCs w:val="14"/>
                <w:color w:val="auto"/>
              </w:rPr>
            </w:pPr>
          </w:p>
        </w:tc>
        <w:tc>
          <w:tcPr>
            <w:tcW w:w="10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880" w:type="dxa"/>
            <w:vAlign w:val="bottom"/>
          </w:tcPr>
          <w:p>
            <w:pPr>
              <w:jc w:val="center"/>
              <w:spacing w:after="0" w:line="165" w:lineRule="exact"/>
              <w:rPr>
                <w:sz w:val="20"/>
                <w:szCs w:val="20"/>
                <w:color w:val="auto"/>
              </w:rPr>
            </w:pPr>
            <w:r>
              <w:rPr>
                <w:rFonts w:ascii="Arial" w:cs="Arial" w:eastAsia="Arial" w:hAnsi="Arial"/>
                <w:sz w:val="15"/>
                <w:szCs w:val="15"/>
                <w:b w:val="1"/>
                <w:bCs w:val="1"/>
                <w:color w:val="auto"/>
                <w:w w:val="98"/>
              </w:rPr>
              <w:t>Expiration</w:t>
            </w:r>
          </w:p>
        </w:tc>
        <w:tc>
          <w:tcPr>
            <w:tcW w:w="1760" w:type="dxa"/>
            <w:vAlign w:val="bottom"/>
          </w:tcPr>
          <w:p>
            <w:pPr>
              <w:spacing w:after="0"/>
              <w:rPr>
                <w:sz w:val="14"/>
                <w:szCs w:val="14"/>
                <w:color w:val="auto"/>
              </w:rPr>
            </w:pPr>
          </w:p>
        </w:tc>
        <w:tc>
          <w:tcPr>
            <w:tcW w:w="86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of</w:t>
            </w:r>
          </w:p>
        </w:tc>
        <w:tc>
          <w:tcPr>
            <w:tcW w:w="10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3020" w:type="dxa"/>
            <w:vAlign w:val="bottom"/>
          </w:tcPr>
          <w:p>
            <w:pPr>
              <w:spacing w:after="0"/>
              <w:rPr>
                <w:sz w:val="17"/>
                <w:szCs w:val="17"/>
                <w:color w:val="auto"/>
              </w:rPr>
            </w:pPr>
          </w:p>
        </w:tc>
        <w:tc>
          <w:tcPr>
            <w:tcW w:w="100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88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760" w:type="dxa"/>
            <w:vAlign w:val="bottom"/>
          </w:tcPr>
          <w:p>
            <w:pPr>
              <w:ind w:left="80"/>
              <w:spacing w:after="0"/>
              <w:rPr>
                <w:sz w:val="20"/>
                <w:szCs w:val="20"/>
                <w:color w:val="auto"/>
              </w:rPr>
            </w:pPr>
            <w:r>
              <w:rPr>
                <w:rFonts w:ascii="Arial" w:cs="Arial" w:eastAsia="Arial" w:hAnsi="Arial"/>
                <w:sz w:val="15"/>
                <w:szCs w:val="15"/>
                <w:b w:val="1"/>
                <w:bCs w:val="1"/>
                <w:color w:val="auto"/>
              </w:rPr>
              <w:t>Title</w:t>
            </w:r>
          </w:p>
        </w:tc>
        <w:tc>
          <w:tcPr>
            <w:tcW w:w="860" w:type="dxa"/>
            <w:vAlign w:val="bottom"/>
          </w:tcPr>
          <w:p>
            <w:pPr>
              <w:ind w:left="140"/>
              <w:spacing w:after="0"/>
              <w:rPr>
                <w:sz w:val="20"/>
                <w:szCs w:val="20"/>
                <w:color w:val="auto"/>
              </w:rPr>
            </w:pPr>
            <w:r>
              <w:rPr>
                <w:rFonts w:ascii="Arial" w:cs="Arial" w:eastAsia="Arial" w:hAnsi="Arial"/>
                <w:sz w:val="15"/>
                <w:szCs w:val="15"/>
                <w:b w:val="1"/>
                <w:bCs w:val="1"/>
                <w:color w:val="auto"/>
              </w:rPr>
              <w:t>Shares</w:t>
            </w:r>
          </w:p>
        </w:tc>
        <w:tc>
          <w:tcPr>
            <w:tcW w:w="10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302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7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84"/>
        </w:trPr>
        <w:tc>
          <w:tcPr>
            <w:tcW w:w="302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Share Option (right to buy)</w:t>
            </w:r>
          </w:p>
        </w:tc>
        <w:tc>
          <w:tcPr>
            <w:tcW w:w="1000" w:type="dxa"/>
            <w:vAlign w:val="bottom"/>
            <w:vMerge w:val="restart"/>
          </w:tcPr>
          <w:p>
            <w:pPr>
              <w:ind w:left="420"/>
              <w:spacing w:after="0"/>
              <w:rPr>
                <w:sz w:val="20"/>
                <w:szCs w:val="20"/>
                <w:color w:val="auto"/>
              </w:rPr>
            </w:pPr>
            <w:r>
              <w:rPr>
                <w:rFonts w:ascii="Times New Roman" w:cs="Times New Roman" w:eastAsia="Times New Roman" w:hAnsi="Times New Roman"/>
                <w:sz w:val="13"/>
                <w:szCs w:val="13"/>
                <w:color w:val="008000"/>
              </w:rPr>
              <w:t>(1)</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color w:val="0000FF"/>
                <w:w w:val="99"/>
              </w:rPr>
              <w:t>08/01/2031</w:t>
            </w:r>
          </w:p>
        </w:tc>
        <w:tc>
          <w:tcPr>
            <w:tcW w:w="176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7"/>
              </w:rPr>
              <w:t>Class A Ordinary</w:t>
            </w:r>
          </w:p>
        </w:tc>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5"/>
              </w:rPr>
              <w:t>300,300</w:t>
            </w: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5"/>
              </w:rPr>
              <w:t>3.5</w:t>
            </w:r>
          </w:p>
        </w:tc>
        <w:tc>
          <w:tcPr>
            <w:tcW w:w="920" w:type="dxa"/>
            <w:vAlign w:val="bottom"/>
            <w:vMerge w:val="restart"/>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3020" w:type="dxa"/>
            <w:vAlign w:val="bottom"/>
            <w:vMerge w:val="continue"/>
          </w:tcPr>
          <w:p>
            <w:pPr>
              <w:spacing w:after="0"/>
              <w:rPr>
                <w:sz w:val="11"/>
                <w:szCs w:val="11"/>
                <w:color w:val="auto"/>
              </w:rPr>
            </w:pPr>
          </w:p>
        </w:tc>
        <w:tc>
          <w:tcPr>
            <w:tcW w:w="1000" w:type="dxa"/>
            <w:vAlign w:val="bottom"/>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176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7"/>
              </w:rPr>
              <w:t>Shares</w:t>
            </w:r>
          </w:p>
        </w:tc>
        <w:tc>
          <w:tcPr>
            <w:tcW w:w="860" w:type="dxa"/>
            <w:vAlign w:val="bottom"/>
            <w:vMerge w:val="continue"/>
          </w:tcPr>
          <w:p>
            <w:pPr>
              <w:spacing w:after="0"/>
              <w:rPr>
                <w:sz w:val="11"/>
                <w:szCs w:val="11"/>
                <w:color w:val="auto"/>
              </w:rPr>
            </w:pPr>
          </w:p>
        </w:tc>
        <w:tc>
          <w:tcPr>
            <w:tcW w:w="1000" w:type="dxa"/>
            <w:vAlign w:val="bottom"/>
            <w:vMerge w:val="continue"/>
          </w:tcPr>
          <w:p>
            <w:pPr>
              <w:spacing w:after="0"/>
              <w:rPr>
                <w:sz w:val="11"/>
                <w:szCs w:val="11"/>
                <w:color w:val="auto"/>
              </w:rPr>
            </w:pPr>
          </w:p>
        </w:tc>
        <w:tc>
          <w:tcPr>
            <w:tcW w:w="920" w:type="dxa"/>
            <w:vAlign w:val="bottom"/>
            <w:vMerge w:val="continue"/>
          </w:tcPr>
          <w:p>
            <w:pPr>
              <w:spacing w:after="0"/>
              <w:rPr>
                <w:sz w:val="11"/>
                <w:szCs w:val="11"/>
                <w:color w:val="auto"/>
              </w:rPr>
            </w:pPr>
          </w:p>
        </w:tc>
        <w:tc>
          <w:tcPr>
            <w:tcW w:w="1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30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760" w:type="dxa"/>
            <w:vAlign w:val="bottom"/>
            <w:vMerge w:val="continue"/>
          </w:tcPr>
          <w:p>
            <w:pPr>
              <w:spacing w:after="0"/>
              <w:rPr>
                <w:sz w:val="10"/>
                <w:szCs w:val="10"/>
                <w:color w:val="auto"/>
              </w:rPr>
            </w:pPr>
          </w:p>
        </w:tc>
        <w:tc>
          <w:tcPr>
            <w:tcW w:w="8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302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760" w:type="dxa"/>
            <w:vAlign w:val="bottom"/>
            <w:tcBorders>
              <w:bottom w:val="single" w:sz="8" w:color="2C2C2C"/>
            </w:tcBorders>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302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Share Option (right to buy)</w:t>
            </w:r>
          </w:p>
        </w:tc>
        <w:tc>
          <w:tcPr>
            <w:tcW w:w="1000" w:type="dxa"/>
            <w:vAlign w:val="bottom"/>
            <w:vMerge w:val="restart"/>
          </w:tcPr>
          <w:p>
            <w:pPr>
              <w:ind w:left="420"/>
              <w:spacing w:after="0"/>
              <w:rPr>
                <w:sz w:val="20"/>
                <w:szCs w:val="20"/>
                <w:color w:val="auto"/>
              </w:rPr>
            </w:pPr>
            <w:r>
              <w:rPr>
                <w:rFonts w:ascii="Times New Roman" w:cs="Times New Roman" w:eastAsia="Times New Roman" w:hAnsi="Times New Roman"/>
                <w:sz w:val="13"/>
                <w:szCs w:val="13"/>
                <w:color w:val="008000"/>
              </w:rPr>
              <w:t>(2)</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color w:val="0000FF"/>
                <w:w w:val="99"/>
              </w:rPr>
              <w:t>01/01/2032</w:t>
            </w:r>
          </w:p>
        </w:tc>
        <w:tc>
          <w:tcPr>
            <w:tcW w:w="176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7"/>
              </w:rPr>
              <w:t>Class A Ordinary</w:t>
            </w:r>
          </w:p>
        </w:tc>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8"/>
              </w:rPr>
              <w:t>25,740</w:t>
            </w: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5"/>
              </w:rPr>
              <w:t>3.5</w:t>
            </w:r>
          </w:p>
        </w:tc>
        <w:tc>
          <w:tcPr>
            <w:tcW w:w="920" w:type="dxa"/>
            <w:vAlign w:val="bottom"/>
            <w:vMerge w:val="restart"/>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3020" w:type="dxa"/>
            <w:vAlign w:val="bottom"/>
            <w:vMerge w:val="continue"/>
          </w:tcPr>
          <w:p>
            <w:pPr>
              <w:spacing w:after="0"/>
              <w:rPr>
                <w:sz w:val="11"/>
                <w:szCs w:val="11"/>
                <w:color w:val="auto"/>
              </w:rPr>
            </w:pPr>
          </w:p>
        </w:tc>
        <w:tc>
          <w:tcPr>
            <w:tcW w:w="1000" w:type="dxa"/>
            <w:vAlign w:val="bottom"/>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176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7"/>
              </w:rPr>
              <w:t>Shares</w:t>
            </w:r>
          </w:p>
        </w:tc>
        <w:tc>
          <w:tcPr>
            <w:tcW w:w="860" w:type="dxa"/>
            <w:vAlign w:val="bottom"/>
            <w:vMerge w:val="continue"/>
          </w:tcPr>
          <w:p>
            <w:pPr>
              <w:spacing w:after="0"/>
              <w:rPr>
                <w:sz w:val="11"/>
                <w:szCs w:val="11"/>
                <w:color w:val="auto"/>
              </w:rPr>
            </w:pPr>
          </w:p>
        </w:tc>
        <w:tc>
          <w:tcPr>
            <w:tcW w:w="1000" w:type="dxa"/>
            <w:vAlign w:val="bottom"/>
            <w:vMerge w:val="continue"/>
          </w:tcPr>
          <w:p>
            <w:pPr>
              <w:spacing w:after="0"/>
              <w:rPr>
                <w:sz w:val="11"/>
                <w:szCs w:val="11"/>
                <w:color w:val="auto"/>
              </w:rPr>
            </w:pPr>
          </w:p>
        </w:tc>
        <w:tc>
          <w:tcPr>
            <w:tcW w:w="920" w:type="dxa"/>
            <w:vAlign w:val="bottom"/>
            <w:vMerge w:val="continue"/>
          </w:tcPr>
          <w:p>
            <w:pPr>
              <w:spacing w:after="0"/>
              <w:rPr>
                <w:sz w:val="11"/>
                <w:szCs w:val="11"/>
                <w:color w:val="auto"/>
              </w:rPr>
            </w:pPr>
          </w:p>
        </w:tc>
        <w:tc>
          <w:tcPr>
            <w:tcW w:w="1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30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760" w:type="dxa"/>
            <w:vAlign w:val="bottom"/>
            <w:vMerge w:val="continue"/>
          </w:tcPr>
          <w:p>
            <w:pPr>
              <w:spacing w:after="0"/>
              <w:rPr>
                <w:sz w:val="10"/>
                <w:szCs w:val="10"/>
                <w:color w:val="auto"/>
              </w:rPr>
            </w:pPr>
          </w:p>
        </w:tc>
        <w:tc>
          <w:tcPr>
            <w:tcW w:w="8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302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760" w:type="dxa"/>
            <w:vAlign w:val="bottom"/>
            <w:tcBorders>
              <w:bottom w:val="single" w:sz="8" w:color="2C2C2C"/>
            </w:tcBorders>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302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Share Option (right to buy)</w:t>
            </w:r>
          </w:p>
        </w:tc>
        <w:tc>
          <w:tcPr>
            <w:tcW w:w="1000" w:type="dxa"/>
            <w:vAlign w:val="bottom"/>
            <w:vMerge w:val="restart"/>
          </w:tcPr>
          <w:p>
            <w:pPr>
              <w:ind w:left="420"/>
              <w:spacing w:after="0"/>
              <w:rPr>
                <w:sz w:val="20"/>
                <w:szCs w:val="20"/>
                <w:color w:val="auto"/>
              </w:rPr>
            </w:pPr>
            <w:r>
              <w:rPr>
                <w:rFonts w:ascii="Times New Roman" w:cs="Times New Roman" w:eastAsia="Times New Roman" w:hAnsi="Times New Roman"/>
                <w:sz w:val="13"/>
                <w:szCs w:val="13"/>
                <w:color w:val="008000"/>
              </w:rPr>
              <w:t>(2)</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color w:val="0000FF"/>
                <w:w w:val="99"/>
              </w:rPr>
              <w:t>01/01/2033</w:t>
            </w:r>
          </w:p>
        </w:tc>
        <w:tc>
          <w:tcPr>
            <w:tcW w:w="176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7"/>
              </w:rPr>
              <w:t>Class A Ordinary</w:t>
            </w:r>
          </w:p>
        </w:tc>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8"/>
              </w:rPr>
              <w:t>20,592</w:t>
            </w: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5"/>
              </w:rPr>
              <w:t>3.5</w:t>
            </w:r>
          </w:p>
        </w:tc>
        <w:tc>
          <w:tcPr>
            <w:tcW w:w="920" w:type="dxa"/>
            <w:vAlign w:val="bottom"/>
            <w:vMerge w:val="restart"/>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3020" w:type="dxa"/>
            <w:vAlign w:val="bottom"/>
            <w:vMerge w:val="continue"/>
          </w:tcPr>
          <w:p>
            <w:pPr>
              <w:spacing w:after="0"/>
              <w:rPr>
                <w:sz w:val="11"/>
                <w:szCs w:val="11"/>
                <w:color w:val="auto"/>
              </w:rPr>
            </w:pPr>
          </w:p>
        </w:tc>
        <w:tc>
          <w:tcPr>
            <w:tcW w:w="1000" w:type="dxa"/>
            <w:vAlign w:val="bottom"/>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176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7"/>
              </w:rPr>
              <w:t>Shares</w:t>
            </w:r>
          </w:p>
        </w:tc>
        <w:tc>
          <w:tcPr>
            <w:tcW w:w="860" w:type="dxa"/>
            <w:vAlign w:val="bottom"/>
            <w:vMerge w:val="continue"/>
          </w:tcPr>
          <w:p>
            <w:pPr>
              <w:spacing w:after="0"/>
              <w:rPr>
                <w:sz w:val="11"/>
                <w:szCs w:val="11"/>
                <w:color w:val="auto"/>
              </w:rPr>
            </w:pPr>
          </w:p>
        </w:tc>
        <w:tc>
          <w:tcPr>
            <w:tcW w:w="1000" w:type="dxa"/>
            <w:vAlign w:val="bottom"/>
            <w:vMerge w:val="continue"/>
          </w:tcPr>
          <w:p>
            <w:pPr>
              <w:spacing w:after="0"/>
              <w:rPr>
                <w:sz w:val="11"/>
                <w:szCs w:val="11"/>
                <w:color w:val="auto"/>
              </w:rPr>
            </w:pPr>
          </w:p>
        </w:tc>
        <w:tc>
          <w:tcPr>
            <w:tcW w:w="920" w:type="dxa"/>
            <w:vAlign w:val="bottom"/>
            <w:vMerge w:val="continue"/>
          </w:tcPr>
          <w:p>
            <w:pPr>
              <w:spacing w:after="0"/>
              <w:rPr>
                <w:sz w:val="11"/>
                <w:szCs w:val="11"/>
                <w:color w:val="auto"/>
              </w:rPr>
            </w:pPr>
          </w:p>
        </w:tc>
        <w:tc>
          <w:tcPr>
            <w:tcW w:w="1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30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760" w:type="dxa"/>
            <w:vAlign w:val="bottom"/>
            <w:vMerge w:val="continue"/>
          </w:tcPr>
          <w:p>
            <w:pPr>
              <w:spacing w:after="0"/>
              <w:rPr>
                <w:sz w:val="10"/>
                <w:szCs w:val="10"/>
                <w:color w:val="auto"/>
              </w:rPr>
            </w:pPr>
          </w:p>
        </w:tc>
        <w:tc>
          <w:tcPr>
            <w:tcW w:w="8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302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760" w:type="dxa"/>
            <w:vAlign w:val="bottom"/>
            <w:tcBorders>
              <w:bottom w:val="single" w:sz="8" w:color="2C2C2C"/>
            </w:tcBorders>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302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Share Option (right to buy)</w:t>
            </w:r>
          </w:p>
        </w:tc>
        <w:tc>
          <w:tcPr>
            <w:tcW w:w="1000" w:type="dxa"/>
            <w:vAlign w:val="bottom"/>
            <w:vMerge w:val="restart"/>
          </w:tcPr>
          <w:p>
            <w:pPr>
              <w:ind w:left="420"/>
              <w:spacing w:after="0"/>
              <w:rPr>
                <w:sz w:val="20"/>
                <w:szCs w:val="20"/>
                <w:color w:val="auto"/>
              </w:rPr>
            </w:pPr>
            <w:r>
              <w:rPr>
                <w:rFonts w:ascii="Times New Roman" w:cs="Times New Roman" w:eastAsia="Times New Roman" w:hAnsi="Times New Roman"/>
                <w:sz w:val="13"/>
                <w:szCs w:val="13"/>
                <w:color w:val="008000"/>
              </w:rPr>
              <w:t>(3)</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color w:val="0000FF"/>
                <w:w w:val="99"/>
              </w:rPr>
              <w:t>04/01/2034</w:t>
            </w:r>
          </w:p>
        </w:tc>
        <w:tc>
          <w:tcPr>
            <w:tcW w:w="176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7"/>
              </w:rPr>
              <w:t>Class A Ordinary</w:t>
            </w:r>
          </w:p>
        </w:tc>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5"/>
              </w:rPr>
              <w:t>150,000</w:t>
            </w: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7"/>
              </w:rPr>
              <w:t>6.96</w:t>
            </w:r>
          </w:p>
        </w:tc>
        <w:tc>
          <w:tcPr>
            <w:tcW w:w="920" w:type="dxa"/>
            <w:vAlign w:val="bottom"/>
            <w:vMerge w:val="restart"/>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3020" w:type="dxa"/>
            <w:vAlign w:val="bottom"/>
            <w:vMerge w:val="continue"/>
          </w:tcPr>
          <w:p>
            <w:pPr>
              <w:spacing w:after="0"/>
              <w:rPr>
                <w:sz w:val="11"/>
                <w:szCs w:val="11"/>
                <w:color w:val="auto"/>
              </w:rPr>
            </w:pPr>
          </w:p>
        </w:tc>
        <w:tc>
          <w:tcPr>
            <w:tcW w:w="1000" w:type="dxa"/>
            <w:vAlign w:val="bottom"/>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176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7"/>
              </w:rPr>
              <w:t>Shares</w:t>
            </w:r>
          </w:p>
        </w:tc>
        <w:tc>
          <w:tcPr>
            <w:tcW w:w="860" w:type="dxa"/>
            <w:vAlign w:val="bottom"/>
            <w:vMerge w:val="continue"/>
          </w:tcPr>
          <w:p>
            <w:pPr>
              <w:spacing w:after="0"/>
              <w:rPr>
                <w:sz w:val="11"/>
                <w:szCs w:val="11"/>
                <w:color w:val="auto"/>
              </w:rPr>
            </w:pPr>
          </w:p>
        </w:tc>
        <w:tc>
          <w:tcPr>
            <w:tcW w:w="1000" w:type="dxa"/>
            <w:vAlign w:val="bottom"/>
            <w:vMerge w:val="continue"/>
          </w:tcPr>
          <w:p>
            <w:pPr>
              <w:spacing w:after="0"/>
              <w:rPr>
                <w:sz w:val="11"/>
                <w:szCs w:val="11"/>
                <w:color w:val="auto"/>
              </w:rPr>
            </w:pPr>
          </w:p>
        </w:tc>
        <w:tc>
          <w:tcPr>
            <w:tcW w:w="920" w:type="dxa"/>
            <w:vAlign w:val="bottom"/>
            <w:vMerge w:val="continue"/>
          </w:tcPr>
          <w:p>
            <w:pPr>
              <w:spacing w:after="0"/>
              <w:rPr>
                <w:sz w:val="11"/>
                <w:szCs w:val="11"/>
                <w:color w:val="auto"/>
              </w:rPr>
            </w:pPr>
          </w:p>
        </w:tc>
        <w:tc>
          <w:tcPr>
            <w:tcW w:w="1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30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760" w:type="dxa"/>
            <w:vAlign w:val="bottom"/>
            <w:vMerge w:val="continue"/>
          </w:tcPr>
          <w:p>
            <w:pPr>
              <w:spacing w:after="0"/>
              <w:rPr>
                <w:sz w:val="10"/>
                <w:szCs w:val="10"/>
                <w:color w:val="auto"/>
              </w:rPr>
            </w:pPr>
          </w:p>
        </w:tc>
        <w:tc>
          <w:tcPr>
            <w:tcW w:w="8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22"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3" w:lineRule="exact"/>
        <w:rPr>
          <w:sz w:val="24"/>
          <w:szCs w:val="24"/>
          <w:color w:val="auto"/>
        </w:rPr>
      </w:pPr>
    </w:p>
    <w:p>
      <w:pPr>
        <w:ind w:left="40" w:right="200" w:firstLine="5"/>
        <w:spacing w:after="0" w:line="259" w:lineRule="auto"/>
        <w:tabs>
          <w:tab w:leader="none" w:pos="19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252,252 of the total shares subject to the option have become vested and exercisable as of the date hereof, and 48,048 of the shares subject to the option shall become vested on January 1, 2027, subject to the Reporting Person's continued service with the Issuer on such vesting date.</w:t>
      </w:r>
    </w:p>
    <w:p>
      <w:pPr>
        <w:spacing w:after="0" w:line="17" w:lineRule="exact"/>
        <w:rPr>
          <w:rFonts w:ascii="Times New Roman" w:cs="Times New Roman" w:eastAsia="Times New Roman" w:hAnsi="Times New Roman"/>
          <w:sz w:val="15"/>
          <w:szCs w:val="15"/>
          <w:color w:val="008000"/>
        </w:rPr>
      </w:pPr>
    </w:p>
    <w:p>
      <w:pPr>
        <w:ind w:left="200" w:hanging="155"/>
        <w:spacing w:after="0"/>
        <w:tabs>
          <w:tab w:leader="none" w:pos="20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All shares subject to the option have become vested and exercisable.</w:t>
      </w:r>
    </w:p>
    <w:p>
      <w:pPr>
        <w:spacing w:after="0" w:line="52" w:lineRule="exact"/>
        <w:rPr>
          <w:rFonts w:ascii="Times New Roman" w:cs="Times New Roman" w:eastAsia="Times New Roman" w:hAnsi="Times New Roman"/>
          <w:sz w:val="15"/>
          <w:szCs w:val="15"/>
          <w:color w:val="008000"/>
        </w:rPr>
      </w:pPr>
    </w:p>
    <w:p>
      <w:pPr>
        <w:ind w:left="40" w:right="300" w:firstLine="5"/>
        <w:spacing w:after="0" w:line="259" w:lineRule="auto"/>
        <w:tabs>
          <w:tab w:leader="none" w:pos="19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20% of the total shares subject to the option have become vested and exercisable on April 1, 2025, and remaining shares subject to the option shall become vested annually in equal installments of 20% on April 1st of each of the four subsequent years, subject to the Reporting Person's continued service with the Issuer on each such vesting date.</w:t>
      </w:r>
    </w:p>
    <w:p>
      <w:pPr>
        <w:spacing w:after="0" w:line="28"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1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0000FF"/>
                <w:w w:val="95"/>
              </w:rPr>
              <w:t>/s/ Chao Suo</w:t>
            </w:r>
          </w:p>
        </w:tc>
        <w:tc>
          <w:tcPr>
            <w:tcW w:w="1180" w:type="dxa"/>
            <w:vAlign w:val="bottom"/>
          </w:tcPr>
          <w:p>
            <w:pPr>
              <w:spacing w:after="0"/>
              <w:rPr>
                <w:sz w:val="19"/>
                <w:szCs w:val="19"/>
                <w:color w:val="auto"/>
              </w:rPr>
            </w:pPr>
          </w:p>
        </w:tc>
        <w:tc>
          <w:tcPr>
            <w:tcW w:w="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0000FF"/>
                <w:w w:val="96"/>
              </w:rPr>
              <w:t>03/31/2026</w:t>
            </w:r>
          </w:p>
        </w:tc>
        <w:tc>
          <w:tcPr>
            <w:tcW w:w="0" w:type="dxa"/>
            <w:vAlign w:val="bottom"/>
          </w:tcPr>
          <w:p>
            <w:pPr>
              <w:spacing w:after="0"/>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2"/>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2"/>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2"/>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3"/>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3"/>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940"/>
      </w:cols>
      <w:pgMar w:left="480" w:top="230" w:right="479" w:bottom="565"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4"/>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2001849" TargetMode="External"/><Relationship Id="rId11" Type="http://schemas.openxmlformats.org/officeDocument/2006/relationships/hyperlink" Target="http://www.sec.gov/cgi-bin/browse-edgar?action=getcompany&amp;CIK=00018991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2026-03-31T06:37:39Z</dcterms:created>
  <dcterms:modified xsi:type="dcterms:W3CDTF">2026-03-31T06:37:39Z</dcterms:modified>
</cp:coreProperties>
</file>