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2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 Bitdeer Announces February 2026 Production and Operations Update</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180" w:type="dxa"/>
            <w:vAlign w:val="bottom"/>
            <w:tcBorders>
              <w:top w:val="single" w:sz="8" w:color="0000EE"/>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color w:val="auto"/>
              </w:rPr>
              <w:t>1</w:t>
            </w:r>
          </w:p>
        </w:tc>
        <w:tc>
          <w:tcPr>
            <w:tcW w:w="39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Announces February 2026 Production and Operations Update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Monthly Highlights</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production increased 541% Year on Year to 705 Bitcoin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Colocation: Continued management focus on colocation lease agreements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Cloud: demonstrating strong Month on Month performance in ARR and utilization rates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SINGAPORE, March 16, 2026 (GLOBE NEWSWIRE) </w:t>
      </w:r>
      <w:r>
        <w:rPr>
          <w:rFonts w:ascii="Times New Roman" w:cs="Times New Roman" w:eastAsia="Times New Roman" w:hAnsi="Times New Roman"/>
          <w:sz w:val="18"/>
          <w:szCs w:val="18"/>
          <w:color w:val="auto"/>
        </w:rPr>
        <w:t>-- 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world-leading technology company for AI and Bitcoin mining infrastructure, today announced its unaudited mining and operations updates for February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significant capital investments in late 2025 continues to drive momentum in our self-mining hashrate reaching 68 EH/s in February, 2026, reflecting the continued deployment of SEALMINER rigs coming fully online,” said Matt Kong, Chief Business Officer of Bitdeer. “In parallel, we further strengthened our balance sheet through the successful completion of a $375 million senior convertible note offering, providing the financial flexibility to continue accelerating our AI and colocation strategy, which represents the most significant long-term value creation opportunity in our portfolio. We are advancing active negotiations with prospective colocation clients across our portfolio and remain confident in our ability to execute a significant lease agreement very soon. The combination of a strengthened capital structure and our differentiated 3.0 GW power portfolio positions Bitdeer to move decisively as demand for high-performance computing capacity continues to intensify.”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Update</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Self-mining:</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Mined 705 Bitcoins, an increase of approximately 541% year over year.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Self-mining hashrate reached 68 EH/s. Bitdeer remains one of the largest publicly listed Bitcoin miners by total hash rate under management.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Bitdeer expects hashrate to continue to grow for the next several months.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SEALMINER Manufacturing:</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4520" w:type="dxa"/>
            <w:vAlign w:val="bottom"/>
            <w:tcBorders>
              <w:top w:val="single" w:sz="8" w:color="auto"/>
              <w:left w:val="single" w:sz="8" w:color="auto"/>
              <w:bottom w:val="single" w:sz="8" w:color="auto"/>
              <w:right w:val="single" w:sz="8" w:color="auto"/>
            </w:tcBorders>
            <w:shd w:val="clear" w:color="auto" w:fill="1F3764"/>
          </w:tcPr>
          <w:p>
            <w:pPr>
              <w:ind w:left="60"/>
              <w:spacing w:after="0"/>
              <w:rPr>
                <w:sz w:val="20"/>
                <w:szCs w:val="20"/>
                <w:color w:val="auto"/>
              </w:rPr>
            </w:pPr>
            <w:r>
              <w:rPr>
                <w:rFonts w:ascii="Times New Roman" w:cs="Times New Roman" w:eastAsia="Times New Roman" w:hAnsi="Times New Roman"/>
                <w:sz w:val="18"/>
                <w:szCs w:val="18"/>
                <w:b w:val="1"/>
                <w:bCs w:val="1"/>
                <w:color w:val="FFFFFF"/>
              </w:rPr>
              <w:t>Mining Rig Model (EH/s)</w:t>
            </w:r>
          </w:p>
        </w:tc>
        <w:tc>
          <w:tcPr>
            <w:tcW w:w="3820" w:type="dxa"/>
            <w:vAlign w:val="bottom"/>
            <w:tcBorders>
              <w:top w:val="single" w:sz="8" w:color="auto"/>
              <w:bottom w:val="single" w:sz="8" w:color="auto"/>
              <w:right w:val="single" w:sz="8" w:color="auto"/>
            </w:tcBorders>
            <w:shd w:val="clear" w:color="auto" w:fill="1F3764"/>
          </w:tcPr>
          <w:p>
            <w:pPr>
              <w:ind w:left="40"/>
              <w:spacing w:after="0"/>
              <w:rPr>
                <w:sz w:val="20"/>
                <w:szCs w:val="20"/>
                <w:color w:val="auto"/>
              </w:rPr>
            </w:pPr>
            <w:r>
              <w:rPr>
                <w:rFonts w:ascii="Times New Roman" w:cs="Times New Roman" w:eastAsia="Times New Roman" w:hAnsi="Times New Roman"/>
                <w:sz w:val="18"/>
                <w:szCs w:val="18"/>
                <w:b w:val="1"/>
                <w:bCs w:val="1"/>
                <w:color w:val="FFFFFF"/>
              </w:rPr>
              <w:t>Stage</w:t>
            </w:r>
          </w:p>
        </w:tc>
        <w:tc>
          <w:tcPr>
            <w:tcW w:w="1440" w:type="dxa"/>
            <w:vAlign w:val="bottom"/>
            <w:tcBorders>
              <w:top w:val="single" w:sz="8" w:color="auto"/>
              <w:bottom w:val="single" w:sz="8" w:color="auto"/>
              <w:right w:val="single" w:sz="8" w:color="auto"/>
            </w:tcBorders>
            <w:shd w:val="clear" w:color="auto" w:fill="1F3764"/>
          </w:tcPr>
          <w:p>
            <w:pPr>
              <w:ind w:left="20"/>
              <w:spacing w:after="0"/>
              <w:rPr>
                <w:sz w:val="20"/>
                <w:szCs w:val="20"/>
                <w:color w:val="auto"/>
              </w:rPr>
            </w:pPr>
            <w:r>
              <w:rPr>
                <w:rFonts w:ascii="Times New Roman" w:cs="Times New Roman" w:eastAsia="Times New Roman" w:hAnsi="Times New Roman"/>
                <w:sz w:val="18"/>
                <w:szCs w:val="18"/>
                <w:b w:val="1"/>
                <w:bCs w:val="1"/>
                <w:color w:val="FFFFFF"/>
              </w:rPr>
              <w:t>February 2026</w:t>
            </w:r>
          </w:p>
        </w:tc>
        <w:tc>
          <w:tcPr>
            <w:tcW w:w="1460" w:type="dxa"/>
            <w:vAlign w:val="bottom"/>
            <w:tcBorders>
              <w:top w:val="single" w:sz="8" w:color="auto"/>
              <w:bottom w:val="single" w:sz="8" w:color="auto"/>
              <w:right w:val="single" w:sz="8" w:color="auto"/>
            </w:tcBorders>
            <w:shd w:val="clear" w:color="auto" w:fill="1F3764"/>
          </w:tcPr>
          <w:p>
            <w:pPr>
              <w:ind w:left="40"/>
              <w:spacing w:after="0"/>
              <w:rPr>
                <w:sz w:val="20"/>
                <w:szCs w:val="20"/>
                <w:color w:val="auto"/>
              </w:rPr>
            </w:pPr>
            <w:r>
              <w:rPr>
                <w:rFonts w:ascii="Times New Roman" w:cs="Times New Roman" w:eastAsia="Times New Roman" w:hAnsi="Times New Roman"/>
                <w:sz w:val="18"/>
                <w:szCs w:val="18"/>
                <w:b w:val="1"/>
                <w:bCs w:val="1"/>
                <w:color w:val="FFFFFF"/>
              </w:rPr>
              <w:t>January 2026</w:t>
            </w:r>
          </w:p>
        </w:tc>
      </w:tr>
      <w:tr>
        <w:trPr>
          <w:trHeight w:val="237"/>
        </w:trPr>
        <w:tc>
          <w:tcPr>
            <w:tcW w:w="45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SEALMINER A3</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 final assembly</w:t>
            </w:r>
          </w:p>
        </w:tc>
        <w:tc>
          <w:tcPr>
            <w:tcW w:w="1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452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Ready for shipping</w:t>
            </w:r>
          </w:p>
        </w:tc>
        <w:tc>
          <w:tcPr>
            <w:tcW w:w="1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0.4</w:t>
            </w:r>
          </w:p>
        </w:tc>
        <w:tc>
          <w:tcPr>
            <w:tcW w:w="1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52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 transit</w:t>
            </w:r>
          </w:p>
        </w:tc>
        <w:tc>
          <w:tcPr>
            <w:tcW w:w="1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w:t>
            </w:r>
          </w:p>
        </w:tc>
        <w:tc>
          <w:tcPr>
            <w:tcW w:w="1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0.4</w:t>
            </w:r>
          </w:p>
        </w:tc>
      </w:tr>
      <w:tr>
        <w:trPr>
          <w:trHeight w:val="238"/>
        </w:trPr>
        <w:tc>
          <w:tcPr>
            <w:tcW w:w="452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xml:space="preserve">Cumulative </w:t>
            </w:r>
            <w:r>
              <w:rPr>
                <w:rFonts w:ascii="Times New Roman" w:cs="Times New Roman" w:eastAsia="Times New Roman" w:hAnsi="Times New Roman"/>
                <w:sz w:val="18"/>
                <w:szCs w:val="18"/>
                <w:b w:val="1"/>
                <w:bCs w:val="1"/>
                <w:color w:val="auto"/>
              </w:rPr>
              <w:t>A3</w:t>
            </w:r>
            <w:r>
              <w:rPr>
                <w:rFonts w:ascii="Times New Roman" w:cs="Times New Roman" w:eastAsia="Times New Roman" w:hAnsi="Times New Roman"/>
                <w:sz w:val="18"/>
                <w:szCs w:val="18"/>
                <w:color w:val="auto"/>
              </w:rPr>
              <w:t xml:space="preserve"> Deployed</w:t>
            </w:r>
          </w:p>
        </w:tc>
        <w:tc>
          <w:tcPr>
            <w:tcW w:w="1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11.4</w:t>
            </w:r>
          </w:p>
        </w:tc>
        <w:tc>
          <w:tcPr>
            <w:tcW w:w="1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8.7</w:t>
            </w:r>
          </w:p>
        </w:tc>
      </w:tr>
      <w:tr>
        <w:trPr>
          <w:trHeight w:val="237"/>
        </w:trPr>
        <w:tc>
          <w:tcPr>
            <w:tcW w:w="45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SEALMINER A2</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 final assembly</w:t>
            </w:r>
          </w:p>
        </w:tc>
        <w:tc>
          <w:tcPr>
            <w:tcW w:w="1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452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Ready for shipping</w:t>
            </w:r>
          </w:p>
        </w:tc>
        <w:tc>
          <w:tcPr>
            <w:tcW w:w="1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0.1</w:t>
            </w:r>
          </w:p>
        </w:tc>
      </w:tr>
      <w:tr>
        <w:trPr>
          <w:trHeight w:val="237"/>
        </w:trPr>
        <w:tc>
          <w:tcPr>
            <w:tcW w:w="452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 transit</w:t>
            </w:r>
          </w:p>
        </w:tc>
        <w:tc>
          <w:tcPr>
            <w:tcW w:w="1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1.4</w:t>
            </w:r>
          </w:p>
        </w:tc>
        <w:tc>
          <w:tcPr>
            <w:tcW w:w="1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2.6</w:t>
            </w:r>
          </w:p>
        </w:tc>
      </w:tr>
      <w:tr>
        <w:trPr>
          <w:trHeight w:val="237"/>
        </w:trPr>
        <w:tc>
          <w:tcPr>
            <w:tcW w:w="452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Cumulative A2 external sales</w:t>
            </w:r>
          </w:p>
        </w:tc>
        <w:tc>
          <w:tcPr>
            <w:tcW w:w="1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8.1</w:t>
            </w:r>
          </w:p>
        </w:tc>
        <w:tc>
          <w:tcPr>
            <w:tcW w:w="1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8.1</w:t>
            </w:r>
          </w:p>
        </w:tc>
      </w:tr>
      <w:tr>
        <w:trPr>
          <w:trHeight w:val="238"/>
        </w:trPr>
        <w:tc>
          <w:tcPr>
            <w:tcW w:w="452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xml:space="preserve">Cumulative </w:t>
            </w:r>
            <w:r>
              <w:rPr>
                <w:rFonts w:ascii="Times New Roman" w:cs="Times New Roman" w:eastAsia="Times New Roman" w:hAnsi="Times New Roman"/>
                <w:sz w:val="18"/>
                <w:szCs w:val="18"/>
                <w:b w:val="1"/>
                <w:bCs w:val="1"/>
                <w:color w:val="auto"/>
              </w:rPr>
              <w:t>A2</w:t>
            </w:r>
            <w:r>
              <w:rPr>
                <w:rFonts w:ascii="Times New Roman" w:cs="Times New Roman" w:eastAsia="Times New Roman" w:hAnsi="Times New Roman"/>
                <w:sz w:val="18"/>
                <w:szCs w:val="18"/>
                <w:color w:val="auto"/>
              </w:rPr>
              <w:t xml:space="preserve"> Deployed</w:t>
            </w:r>
          </w:p>
        </w:tc>
        <w:tc>
          <w:tcPr>
            <w:tcW w:w="1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48.4</w:t>
            </w:r>
          </w:p>
        </w:tc>
        <w:tc>
          <w:tcPr>
            <w:tcW w:w="1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44.1</w:t>
            </w:r>
          </w:p>
        </w:tc>
      </w:tr>
      <w:tr>
        <w:trPr>
          <w:trHeight w:val="237"/>
        </w:trPr>
        <w:tc>
          <w:tcPr>
            <w:tcW w:w="45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SEALMINER A1</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xml:space="preserve">Cumulative </w:t>
            </w:r>
            <w:r>
              <w:rPr>
                <w:rFonts w:ascii="Times New Roman" w:cs="Times New Roman" w:eastAsia="Times New Roman" w:hAnsi="Times New Roman"/>
                <w:sz w:val="18"/>
                <w:szCs w:val="18"/>
                <w:b w:val="1"/>
                <w:bCs w:val="1"/>
                <w:color w:val="auto"/>
              </w:rPr>
              <w:t>A1</w:t>
            </w:r>
            <w:r>
              <w:rPr>
                <w:rFonts w:ascii="Times New Roman" w:cs="Times New Roman" w:eastAsia="Times New Roman" w:hAnsi="Times New Roman"/>
                <w:sz w:val="18"/>
                <w:szCs w:val="18"/>
                <w:color w:val="auto"/>
              </w:rPr>
              <w:t xml:space="preserve"> Deployed</w:t>
            </w:r>
          </w:p>
        </w:tc>
        <w:tc>
          <w:tcPr>
            <w:tcW w:w="1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4.2</w:t>
            </w:r>
          </w:p>
        </w:tc>
        <w:tc>
          <w:tcPr>
            <w:tcW w:w="1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236"/>
        </w:trPr>
        <w:tc>
          <w:tcPr>
            <w:tcW w:w="45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2"/>
                <w:szCs w:val="12"/>
                <w:b w:val="1"/>
                <w:bCs w:val="1"/>
                <w:color w:val="auto"/>
              </w:rPr>
              <w:t>rd</w:t>
            </w:r>
            <w:r>
              <w:rPr>
                <w:rFonts w:ascii="Times New Roman" w:cs="Times New Roman" w:eastAsia="Times New Roman" w:hAnsi="Times New Roman"/>
                <w:sz w:val="18"/>
                <w:szCs w:val="18"/>
                <w:b w:val="1"/>
                <w:bCs w:val="1"/>
                <w:color w:val="auto"/>
              </w:rPr>
              <w:t xml:space="preserve"> Party Miners</w:t>
            </w:r>
          </w:p>
        </w:tc>
        <w:tc>
          <w:tcPr>
            <w:tcW w:w="38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Cumulative Deployed</w:t>
            </w:r>
          </w:p>
        </w:tc>
        <w:tc>
          <w:tcPr>
            <w:tcW w:w="1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6.1</w:t>
            </w:r>
          </w:p>
        </w:tc>
        <w:tc>
          <w:tcPr>
            <w:tcW w:w="1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8.1</w:t>
            </w:r>
          </w:p>
        </w:tc>
      </w:tr>
      <w:tr>
        <w:trPr>
          <w:trHeight w:val="237"/>
        </w:trPr>
        <w:tc>
          <w:tcPr>
            <w:tcW w:w="4520" w:type="dxa"/>
            <w:vAlign w:val="bottom"/>
            <w:tcBorders>
              <w:left w:val="single" w:sz="8" w:color="auto"/>
              <w:bottom w:val="single" w:sz="8" w:color="auto"/>
              <w:right w:val="single" w:sz="8" w:color="auto"/>
            </w:tcBorders>
            <w:shd w:val="clear" w:color="auto" w:fill="1F3764"/>
          </w:tcPr>
          <w:p>
            <w:pPr>
              <w:ind w:left="60"/>
              <w:spacing w:after="0"/>
              <w:rPr>
                <w:sz w:val="20"/>
                <w:szCs w:val="20"/>
                <w:color w:val="auto"/>
              </w:rPr>
            </w:pPr>
            <w:r>
              <w:rPr>
                <w:rFonts w:ascii="Times New Roman" w:cs="Times New Roman" w:eastAsia="Times New Roman" w:hAnsi="Times New Roman"/>
                <w:sz w:val="18"/>
                <w:szCs w:val="18"/>
                <w:b w:val="1"/>
                <w:bCs w:val="1"/>
                <w:color w:val="FFFFFF"/>
              </w:rPr>
              <w:t>Total Proprietary Hash Rate</w:t>
            </w:r>
          </w:p>
        </w:tc>
        <w:tc>
          <w:tcPr>
            <w:tcW w:w="3820" w:type="dxa"/>
            <w:vAlign w:val="bottom"/>
            <w:tcBorders>
              <w:bottom w:val="single" w:sz="8" w:color="auto"/>
              <w:right w:val="single" w:sz="8" w:color="auto"/>
            </w:tcBorders>
            <w:shd w:val="clear" w:color="auto" w:fill="1F3764"/>
          </w:tcPr>
          <w:p>
            <w:pPr>
              <w:ind w:left="40"/>
              <w:spacing w:after="0"/>
              <w:rPr>
                <w:sz w:val="20"/>
                <w:szCs w:val="20"/>
                <w:color w:val="auto"/>
              </w:rPr>
            </w:pPr>
            <w:r>
              <w:rPr>
                <w:rFonts w:ascii="Times New Roman" w:cs="Times New Roman" w:eastAsia="Times New Roman" w:hAnsi="Times New Roman"/>
                <w:sz w:val="18"/>
                <w:szCs w:val="18"/>
                <w:b w:val="1"/>
                <w:bCs w:val="1"/>
                <w:color w:val="FFFFFF"/>
              </w:rPr>
              <w:t>Deployed</w:t>
            </w:r>
          </w:p>
        </w:tc>
        <w:tc>
          <w:tcPr>
            <w:tcW w:w="1440" w:type="dxa"/>
            <w:vAlign w:val="bottom"/>
            <w:tcBorders>
              <w:bottom w:val="single" w:sz="8" w:color="auto"/>
              <w:right w:val="single" w:sz="8" w:color="auto"/>
            </w:tcBorders>
            <w:shd w:val="clear" w:color="auto" w:fill="1F3764"/>
          </w:tcPr>
          <w:p>
            <w:pPr>
              <w:ind w:left="20"/>
              <w:spacing w:after="0"/>
              <w:rPr>
                <w:sz w:val="20"/>
                <w:szCs w:val="20"/>
                <w:color w:val="auto"/>
              </w:rPr>
            </w:pPr>
            <w:r>
              <w:rPr>
                <w:rFonts w:ascii="Times New Roman" w:cs="Times New Roman" w:eastAsia="Times New Roman" w:hAnsi="Times New Roman"/>
                <w:sz w:val="18"/>
                <w:szCs w:val="18"/>
                <w:b w:val="1"/>
                <w:bCs w:val="1"/>
                <w:color w:val="FFFFFF"/>
              </w:rPr>
              <w:t>70.1</w:t>
            </w:r>
          </w:p>
        </w:tc>
        <w:tc>
          <w:tcPr>
            <w:tcW w:w="1460" w:type="dxa"/>
            <w:vAlign w:val="bottom"/>
            <w:tcBorders>
              <w:bottom w:val="single" w:sz="8" w:color="auto"/>
              <w:right w:val="single" w:sz="8" w:color="auto"/>
            </w:tcBorders>
            <w:shd w:val="clear" w:color="auto" w:fill="1F3764"/>
          </w:tcPr>
          <w:p>
            <w:pPr>
              <w:ind w:left="40"/>
              <w:spacing w:after="0"/>
              <w:rPr>
                <w:sz w:val="20"/>
                <w:szCs w:val="20"/>
                <w:color w:val="auto"/>
              </w:rPr>
            </w:pPr>
            <w:r>
              <w:rPr>
                <w:rFonts w:ascii="Times New Roman" w:cs="Times New Roman" w:eastAsia="Times New Roman" w:hAnsi="Times New Roman"/>
                <w:sz w:val="18"/>
                <w:szCs w:val="18"/>
                <w:b w:val="1"/>
                <w:bCs w:val="1"/>
                <w:color w:val="FFFFFF"/>
              </w:rPr>
              <w:t>65.1</w:t>
            </w:r>
          </w:p>
        </w:tc>
      </w:tr>
    </w:tbl>
    <w:p>
      <w:pPr>
        <w:spacing w:after="0" w:line="19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SEALMINER R&amp;D:</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SEALMINER DL1 for DOGE and Litecoin mining is on track and will launch in Q1 2026.</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SEALMINER A4-1 for Bitcoin mining is on track to start mass production in March 2026.</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SEAL04-2 chip development continues.</w:t>
      </w:r>
    </w:p>
    <w:p>
      <w:pPr>
        <w:spacing w:after="0" w:line="248"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 SEALMINER Manufacturing: </w:t>
      </w:r>
      <w:r>
        <w:rPr>
          <w:rFonts w:ascii="Times New Roman" w:cs="Times New Roman" w:eastAsia="Times New Roman" w:hAnsi="Times New Roman"/>
          <w:sz w:val="18"/>
          <w:szCs w:val="18"/>
          <w:color w:val="auto"/>
        </w:rPr>
        <w:t>Preparations for Bitdeer’s U.S. SEALMINER factory are progressing, with the lease signed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construction permit application submitted to local municipal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HPC colocation arrangements:</w:t>
      </w:r>
    </w:p>
    <w:p>
      <w:pPr>
        <w:spacing w:after="0" w:line="229"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Bitdeer is in advanced stages of negotiations with potential colocation tenants for Tydal, Norway &amp; Clarington, Ohio and various other sites.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GPU Cloud as of 2/28/2026:</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3400" w:type="dxa"/>
            <w:vAlign w:val="bottom"/>
            <w:tcBorders>
              <w:top w:val="single" w:sz="8" w:color="auto"/>
              <w:left w:val="single" w:sz="8" w:color="auto"/>
              <w:right w:val="single" w:sz="8" w:color="auto"/>
            </w:tcBorders>
            <w:vMerge w:val="restart"/>
            <w:shd w:val="clear" w:color="auto" w:fill="1F376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GPU Amount Deployed</w:t>
            </w:r>
          </w:p>
        </w:tc>
        <w:tc>
          <w:tcPr>
            <w:tcW w:w="1920" w:type="dxa"/>
            <w:vAlign w:val="bottom"/>
            <w:tcBorders>
              <w:top w:val="single" w:sz="8" w:color="auto"/>
              <w:right w:val="single" w:sz="8" w:color="auto"/>
            </w:tcBorders>
            <w:vMerge w:val="restart"/>
            <w:shd w:val="clear" w:color="auto" w:fill="1F3764"/>
          </w:tcPr>
          <w:p>
            <w:pPr>
              <w:ind w:left="540"/>
              <w:spacing w:after="0"/>
              <w:rPr>
                <w:sz w:val="20"/>
                <w:szCs w:val="20"/>
                <w:color w:val="auto"/>
              </w:rPr>
            </w:pPr>
            <w:r>
              <w:rPr>
                <w:rFonts w:ascii="Times New Roman" w:cs="Times New Roman" w:eastAsia="Times New Roman" w:hAnsi="Times New Roman"/>
                <w:sz w:val="18"/>
                <w:szCs w:val="18"/>
                <w:b w:val="1"/>
                <w:bCs w:val="1"/>
                <w:color w:val="FFFFFF"/>
              </w:rPr>
              <w:t>GPU Types</w:t>
            </w:r>
          </w:p>
        </w:tc>
        <w:tc>
          <w:tcPr>
            <w:tcW w:w="1680" w:type="dxa"/>
            <w:vAlign w:val="bottom"/>
            <w:tcBorders>
              <w:top w:val="single" w:sz="8" w:color="auto"/>
              <w:right w:val="single" w:sz="8" w:color="auto"/>
            </w:tcBorders>
            <w:vMerge w:val="restart"/>
            <w:shd w:val="clear" w:color="auto" w:fill="1F3764"/>
          </w:tcPr>
          <w:p>
            <w:pPr>
              <w:jc w:val="center"/>
              <w:spacing w:after="0"/>
              <w:rPr>
                <w:sz w:val="20"/>
                <w:szCs w:val="20"/>
                <w:color w:val="auto"/>
              </w:rPr>
            </w:pPr>
            <w:r>
              <w:rPr>
                <w:rFonts w:ascii="Times New Roman" w:cs="Times New Roman" w:eastAsia="Times New Roman" w:hAnsi="Times New Roman"/>
                <w:sz w:val="18"/>
                <w:szCs w:val="18"/>
                <w:b w:val="1"/>
                <w:bCs w:val="1"/>
                <w:color w:val="FFFFFF"/>
              </w:rPr>
              <w:t>Utilization Rate</w:t>
            </w:r>
          </w:p>
        </w:tc>
        <w:tc>
          <w:tcPr>
            <w:tcW w:w="1780" w:type="dxa"/>
            <w:vAlign w:val="bottom"/>
            <w:tcBorders>
              <w:top w:val="single" w:sz="8" w:color="auto"/>
              <w:right w:val="single" w:sz="8" w:color="auto"/>
            </w:tcBorders>
            <w:shd w:val="clear" w:color="auto" w:fill="1F3764"/>
          </w:tcPr>
          <w:p>
            <w:pPr>
              <w:jc w:val="center"/>
              <w:spacing w:after="0"/>
              <w:rPr>
                <w:sz w:val="20"/>
                <w:szCs w:val="20"/>
                <w:color w:val="auto"/>
              </w:rPr>
            </w:pPr>
            <w:r>
              <w:rPr>
                <w:rFonts w:ascii="Times New Roman" w:cs="Times New Roman" w:eastAsia="Times New Roman" w:hAnsi="Times New Roman"/>
                <w:sz w:val="18"/>
                <w:szCs w:val="18"/>
                <w:b w:val="1"/>
                <w:bCs w:val="1"/>
                <w:color w:val="FFFFFF"/>
              </w:rPr>
              <w:t>Under External</w:t>
            </w:r>
          </w:p>
        </w:tc>
        <w:tc>
          <w:tcPr>
            <w:tcW w:w="2460" w:type="dxa"/>
            <w:vAlign w:val="bottom"/>
            <w:tcBorders>
              <w:top w:val="single" w:sz="8" w:color="auto"/>
              <w:right w:val="single" w:sz="8" w:color="auto"/>
            </w:tcBorders>
            <w:vMerge w:val="restart"/>
            <w:shd w:val="clear" w:color="auto" w:fill="1F3764"/>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ARR</w:t>
            </w:r>
          </w:p>
        </w:tc>
        <w:tc>
          <w:tcPr>
            <w:tcW w:w="0" w:type="dxa"/>
            <w:vAlign w:val="bottom"/>
          </w:tcPr>
          <w:p>
            <w:pPr>
              <w:spacing w:after="0"/>
              <w:rPr>
                <w:sz w:val="1"/>
                <w:szCs w:val="1"/>
                <w:color w:val="auto"/>
              </w:rPr>
            </w:pPr>
          </w:p>
        </w:tc>
      </w:tr>
      <w:tr>
        <w:trPr>
          <w:trHeight w:val="130"/>
        </w:trPr>
        <w:tc>
          <w:tcPr>
            <w:tcW w:w="3400" w:type="dxa"/>
            <w:vAlign w:val="bottom"/>
            <w:tcBorders>
              <w:left w:val="single" w:sz="8" w:color="auto"/>
              <w:right w:val="single" w:sz="8" w:color="auto"/>
            </w:tcBorders>
            <w:vMerge w:val="continue"/>
            <w:shd w:val="clear" w:color="auto" w:fill="1F3764"/>
          </w:tcPr>
          <w:p>
            <w:pPr>
              <w:spacing w:after="0"/>
              <w:rPr>
                <w:sz w:val="11"/>
                <w:szCs w:val="11"/>
                <w:color w:val="auto"/>
              </w:rPr>
            </w:pPr>
          </w:p>
        </w:tc>
        <w:tc>
          <w:tcPr>
            <w:tcW w:w="1920" w:type="dxa"/>
            <w:vAlign w:val="bottom"/>
            <w:tcBorders>
              <w:right w:val="single" w:sz="8" w:color="auto"/>
            </w:tcBorders>
            <w:vMerge w:val="continue"/>
            <w:shd w:val="clear" w:color="auto" w:fill="1F3764"/>
          </w:tcPr>
          <w:p>
            <w:pPr>
              <w:spacing w:after="0"/>
              <w:rPr>
                <w:sz w:val="11"/>
                <w:szCs w:val="11"/>
                <w:color w:val="auto"/>
              </w:rPr>
            </w:pPr>
          </w:p>
        </w:tc>
        <w:tc>
          <w:tcPr>
            <w:tcW w:w="1680" w:type="dxa"/>
            <w:vAlign w:val="bottom"/>
            <w:tcBorders>
              <w:right w:val="single" w:sz="8" w:color="auto"/>
            </w:tcBorders>
            <w:vMerge w:val="continue"/>
            <w:shd w:val="clear" w:color="auto" w:fill="1F3764"/>
          </w:tcPr>
          <w:p>
            <w:pPr>
              <w:spacing w:after="0"/>
              <w:rPr>
                <w:sz w:val="11"/>
                <w:szCs w:val="11"/>
                <w:color w:val="auto"/>
              </w:rPr>
            </w:pPr>
          </w:p>
        </w:tc>
        <w:tc>
          <w:tcPr>
            <w:tcW w:w="1780" w:type="dxa"/>
            <w:vAlign w:val="bottom"/>
            <w:tcBorders>
              <w:right w:val="single" w:sz="8" w:color="auto"/>
            </w:tcBorders>
            <w:vMerge w:val="restart"/>
            <w:shd w:val="clear" w:color="auto" w:fill="1F376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Subscription</w:t>
            </w:r>
          </w:p>
        </w:tc>
        <w:tc>
          <w:tcPr>
            <w:tcW w:w="2460" w:type="dxa"/>
            <w:vAlign w:val="bottom"/>
            <w:tcBorders>
              <w:right w:val="single" w:sz="8" w:color="auto"/>
            </w:tcBorders>
            <w:vMerge w:val="continue"/>
            <w:shd w:val="clear" w:color="auto" w:fill="1F3764"/>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400" w:type="dxa"/>
            <w:vAlign w:val="bottom"/>
            <w:tcBorders>
              <w:left w:val="single" w:sz="8" w:color="auto"/>
              <w:bottom w:val="single" w:sz="8" w:color="auto"/>
              <w:right w:val="single" w:sz="8" w:color="auto"/>
            </w:tcBorders>
            <w:shd w:val="clear" w:color="auto" w:fill="1F3764"/>
          </w:tcPr>
          <w:p>
            <w:pPr>
              <w:spacing w:after="0"/>
              <w:rPr>
                <w:sz w:val="10"/>
                <w:szCs w:val="10"/>
                <w:color w:val="auto"/>
              </w:rPr>
            </w:pPr>
          </w:p>
        </w:tc>
        <w:tc>
          <w:tcPr>
            <w:tcW w:w="1920" w:type="dxa"/>
            <w:vAlign w:val="bottom"/>
            <w:tcBorders>
              <w:bottom w:val="single" w:sz="8" w:color="auto"/>
              <w:right w:val="single" w:sz="8" w:color="auto"/>
            </w:tcBorders>
            <w:shd w:val="clear" w:color="auto" w:fill="1F3764"/>
          </w:tcPr>
          <w:p>
            <w:pPr>
              <w:spacing w:after="0"/>
              <w:rPr>
                <w:sz w:val="10"/>
                <w:szCs w:val="10"/>
                <w:color w:val="auto"/>
              </w:rPr>
            </w:pPr>
          </w:p>
        </w:tc>
        <w:tc>
          <w:tcPr>
            <w:tcW w:w="1680" w:type="dxa"/>
            <w:vAlign w:val="bottom"/>
            <w:tcBorders>
              <w:bottom w:val="single" w:sz="8" w:color="auto"/>
              <w:right w:val="single" w:sz="8" w:color="auto"/>
            </w:tcBorders>
            <w:shd w:val="clear" w:color="auto" w:fill="1F3764"/>
          </w:tcPr>
          <w:p>
            <w:pPr>
              <w:spacing w:after="0"/>
              <w:rPr>
                <w:sz w:val="10"/>
                <w:szCs w:val="10"/>
                <w:color w:val="auto"/>
              </w:rPr>
            </w:pPr>
          </w:p>
        </w:tc>
        <w:tc>
          <w:tcPr>
            <w:tcW w:w="1780" w:type="dxa"/>
            <w:vAlign w:val="bottom"/>
            <w:tcBorders>
              <w:bottom w:val="single" w:sz="8" w:color="auto"/>
              <w:right w:val="single" w:sz="8" w:color="auto"/>
            </w:tcBorders>
            <w:vMerge w:val="continue"/>
            <w:shd w:val="clear" w:color="auto" w:fill="1F3764"/>
          </w:tcPr>
          <w:p>
            <w:pPr>
              <w:spacing w:after="0"/>
              <w:rPr>
                <w:sz w:val="10"/>
                <w:szCs w:val="10"/>
                <w:color w:val="auto"/>
              </w:rPr>
            </w:pPr>
          </w:p>
        </w:tc>
        <w:tc>
          <w:tcPr>
            <w:tcW w:w="2460" w:type="dxa"/>
            <w:vAlign w:val="bottom"/>
            <w:tcBorders>
              <w:bottom w:val="single" w:sz="8" w:color="auto"/>
              <w:right w:val="single" w:sz="8" w:color="auto"/>
            </w:tcBorders>
            <w:shd w:val="clear" w:color="auto" w:fill="1F3764"/>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3400" w:type="dxa"/>
            <w:vAlign w:val="bottom"/>
            <w:tcBorders>
              <w:left w:val="single" w:sz="8" w:color="auto"/>
              <w:right w:val="single" w:sz="8" w:color="auto"/>
            </w:tcBorders>
            <w:vMerge w:val="restart"/>
            <w:shd w:val="clear" w:color="auto" w:fill="F1F1F1"/>
          </w:tcPr>
          <w:p>
            <w:pPr>
              <w:jc w:val="right"/>
              <w:ind w:right="1390"/>
              <w:spacing w:after="0"/>
              <w:rPr>
                <w:sz w:val="20"/>
                <w:szCs w:val="20"/>
                <w:color w:val="auto"/>
              </w:rPr>
            </w:pPr>
            <w:r>
              <w:rPr>
                <w:rFonts w:ascii="Times New Roman" w:cs="Times New Roman" w:eastAsia="Times New Roman" w:hAnsi="Times New Roman"/>
                <w:sz w:val="18"/>
                <w:szCs w:val="18"/>
                <w:color w:val="auto"/>
              </w:rPr>
              <w:t>2,096</w:t>
            </w:r>
          </w:p>
        </w:tc>
        <w:tc>
          <w:tcPr>
            <w:tcW w:w="1920" w:type="dxa"/>
            <w:vAlign w:val="bottom"/>
            <w:tcBorders>
              <w:right w:val="single" w:sz="8" w:color="auto"/>
            </w:tcBorders>
            <w:shd w:val="clear" w:color="auto" w:fill="F1F1F1"/>
          </w:tcPr>
          <w:p>
            <w:pPr>
              <w:jc w:val="center"/>
              <w:spacing w:after="0"/>
              <w:rPr>
                <w:sz w:val="20"/>
                <w:szCs w:val="20"/>
                <w:color w:val="auto"/>
              </w:rPr>
            </w:pPr>
            <w:r>
              <w:rPr>
                <w:rFonts w:ascii="Times New Roman" w:cs="Times New Roman" w:eastAsia="Times New Roman" w:hAnsi="Times New Roman"/>
                <w:sz w:val="18"/>
                <w:szCs w:val="18"/>
                <w:color w:val="auto"/>
              </w:rPr>
              <w:t>H100, H200, B200,</w:t>
            </w:r>
          </w:p>
        </w:tc>
        <w:tc>
          <w:tcPr>
            <w:tcW w:w="1680" w:type="dxa"/>
            <w:vAlign w:val="bottom"/>
            <w:tcBorders>
              <w:right w:val="single" w:sz="8" w:color="auto"/>
            </w:tcBorders>
            <w:vMerge w:val="restart"/>
            <w:shd w:val="clear" w:color="auto" w:fill="F1F1F1"/>
          </w:tcPr>
          <w:p>
            <w:pPr>
              <w:jc w:val="right"/>
              <w:ind w:right="570"/>
              <w:spacing w:after="0"/>
              <w:rPr>
                <w:sz w:val="20"/>
                <w:szCs w:val="20"/>
                <w:color w:val="auto"/>
              </w:rPr>
            </w:pPr>
            <w:r>
              <w:rPr>
                <w:rFonts w:ascii="Times New Roman" w:cs="Times New Roman" w:eastAsia="Times New Roman" w:hAnsi="Times New Roman"/>
                <w:sz w:val="18"/>
                <w:szCs w:val="18"/>
                <w:color w:val="auto"/>
              </w:rPr>
              <w:t>64%</w:t>
            </w:r>
          </w:p>
        </w:tc>
        <w:tc>
          <w:tcPr>
            <w:tcW w:w="1780" w:type="dxa"/>
            <w:vAlign w:val="bottom"/>
            <w:tcBorders>
              <w:right w:val="single" w:sz="8" w:color="auto"/>
            </w:tcBorders>
            <w:vMerge w:val="restart"/>
            <w:shd w:val="clear" w:color="auto" w:fill="F1F1F1"/>
          </w:tcPr>
          <w:p>
            <w:pPr>
              <w:jc w:val="center"/>
              <w:spacing w:after="0"/>
              <w:rPr>
                <w:sz w:val="20"/>
                <w:szCs w:val="20"/>
                <w:color w:val="auto"/>
              </w:rPr>
            </w:pPr>
            <w:r>
              <w:rPr>
                <w:rFonts w:ascii="Times New Roman" w:cs="Times New Roman" w:eastAsia="Times New Roman" w:hAnsi="Times New Roman"/>
                <w:sz w:val="18"/>
                <w:szCs w:val="18"/>
                <w:color w:val="auto"/>
              </w:rPr>
              <w:t>1,240</w:t>
            </w:r>
          </w:p>
        </w:tc>
        <w:tc>
          <w:tcPr>
            <w:tcW w:w="2460" w:type="dxa"/>
            <w:vAlign w:val="bottom"/>
            <w:tcBorders>
              <w:right w:val="single" w:sz="8" w:color="auto"/>
            </w:tcBorders>
            <w:vMerge w:val="restart"/>
            <w:shd w:val="clear" w:color="auto" w:fill="F1F1F1"/>
          </w:tcPr>
          <w:p>
            <w:pPr>
              <w:jc w:val="center"/>
              <w:spacing w:after="0"/>
              <w:rPr>
                <w:sz w:val="20"/>
                <w:szCs w:val="20"/>
                <w:color w:val="auto"/>
              </w:rPr>
            </w:pPr>
            <w:r>
              <w:rPr>
                <w:rFonts w:ascii="Times New Roman" w:cs="Times New Roman" w:eastAsia="Times New Roman" w:hAnsi="Times New Roman"/>
                <w:sz w:val="18"/>
                <w:szCs w:val="18"/>
                <w:color w:val="auto"/>
              </w:rPr>
              <w:t>~$21 million</w:t>
            </w:r>
          </w:p>
        </w:tc>
        <w:tc>
          <w:tcPr>
            <w:tcW w:w="0" w:type="dxa"/>
            <w:vAlign w:val="bottom"/>
          </w:tcPr>
          <w:p>
            <w:pPr>
              <w:spacing w:after="0"/>
              <w:rPr>
                <w:sz w:val="1"/>
                <w:szCs w:val="1"/>
                <w:color w:val="auto"/>
              </w:rPr>
            </w:pPr>
          </w:p>
        </w:tc>
      </w:tr>
      <w:tr>
        <w:trPr>
          <w:trHeight w:val="126"/>
        </w:trPr>
        <w:tc>
          <w:tcPr>
            <w:tcW w:w="3400" w:type="dxa"/>
            <w:vAlign w:val="bottom"/>
            <w:tcBorders>
              <w:left w:val="single" w:sz="8" w:color="auto"/>
              <w:right w:val="single" w:sz="8" w:color="auto"/>
            </w:tcBorders>
            <w:vMerge w:val="continue"/>
            <w:shd w:val="clear" w:color="auto" w:fill="F1F1F1"/>
          </w:tcPr>
          <w:p>
            <w:pPr>
              <w:spacing w:after="0"/>
              <w:rPr>
                <w:sz w:val="10"/>
                <w:szCs w:val="10"/>
                <w:color w:val="auto"/>
              </w:rPr>
            </w:pPr>
          </w:p>
        </w:tc>
        <w:tc>
          <w:tcPr>
            <w:tcW w:w="1920" w:type="dxa"/>
            <w:vAlign w:val="bottom"/>
            <w:tcBorders>
              <w:right w:val="single" w:sz="8" w:color="auto"/>
            </w:tcBorders>
            <w:vMerge w:val="restart"/>
            <w:shd w:val="clear" w:color="auto" w:fill="F1F1F1"/>
          </w:tcPr>
          <w:p>
            <w:pPr>
              <w:jc w:val="center"/>
              <w:spacing w:after="0"/>
              <w:rPr>
                <w:sz w:val="20"/>
                <w:szCs w:val="20"/>
                <w:color w:val="auto"/>
              </w:rPr>
            </w:pPr>
            <w:r>
              <w:rPr>
                <w:rFonts w:ascii="Times New Roman" w:cs="Times New Roman" w:eastAsia="Times New Roman" w:hAnsi="Times New Roman"/>
                <w:sz w:val="18"/>
                <w:szCs w:val="18"/>
                <w:color w:val="auto"/>
                <w:w w:val="99"/>
              </w:rPr>
              <w:t>GB200</w:t>
            </w:r>
          </w:p>
        </w:tc>
        <w:tc>
          <w:tcPr>
            <w:tcW w:w="1680" w:type="dxa"/>
            <w:vAlign w:val="bottom"/>
            <w:tcBorders>
              <w:right w:val="single" w:sz="8" w:color="auto"/>
            </w:tcBorders>
            <w:vMerge w:val="continue"/>
            <w:shd w:val="clear" w:color="auto" w:fill="F1F1F1"/>
          </w:tcPr>
          <w:p>
            <w:pPr>
              <w:spacing w:after="0"/>
              <w:rPr>
                <w:sz w:val="10"/>
                <w:szCs w:val="10"/>
                <w:color w:val="auto"/>
              </w:rPr>
            </w:pPr>
          </w:p>
        </w:tc>
        <w:tc>
          <w:tcPr>
            <w:tcW w:w="1780" w:type="dxa"/>
            <w:vAlign w:val="bottom"/>
            <w:tcBorders>
              <w:right w:val="single" w:sz="8" w:color="auto"/>
            </w:tcBorders>
            <w:vMerge w:val="continue"/>
            <w:shd w:val="clear" w:color="auto" w:fill="F1F1F1"/>
          </w:tcPr>
          <w:p>
            <w:pPr>
              <w:spacing w:after="0"/>
              <w:rPr>
                <w:sz w:val="10"/>
                <w:szCs w:val="10"/>
                <w:color w:val="auto"/>
              </w:rPr>
            </w:pPr>
          </w:p>
        </w:tc>
        <w:tc>
          <w:tcPr>
            <w:tcW w:w="2460" w:type="dxa"/>
            <w:vAlign w:val="bottom"/>
            <w:tcBorders>
              <w:right w:val="single" w:sz="8" w:color="auto"/>
            </w:tcBorders>
            <w:vMerge w:val="continue"/>
            <w:shd w:val="clear" w:color="auto" w:fill="F1F1F1"/>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400" w:type="dxa"/>
            <w:vAlign w:val="bottom"/>
            <w:tcBorders>
              <w:left w:val="single" w:sz="8" w:color="auto"/>
              <w:bottom w:val="single" w:sz="8" w:color="auto"/>
              <w:right w:val="single" w:sz="8" w:color="auto"/>
            </w:tcBorders>
            <w:shd w:val="clear" w:color="auto" w:fill="F1F1F1"/>
          </w:tcPr>
          <w:p>
            <w:pPr>
              <w:spacing w:after="0"/>
              <w:rPr>
                <w:sz w:val="10"/>
                <w:szCs w:val="10"/>
                <w:color w:val="auto"/>
              </w:rPr>
            </w:pPr>
          </w:p>
        </w:tc>
        <w:tc>
          <w:tcPr>
            <w:tcW w:w="1920" w:type="dxa"/>
            <w:vAlign w:val="bottom"/>
            <w:tcBorders>
              <w:bottom w:val="single" w:sz="8" w:color="auto"/>
              <w:right w:val="single" w:sz="8" w:color="auto"/>
            </w:tcBorders>
            <w:vMerge w:val="continue"/>
            <w:shd w:val="clear" w:color="auto" w:fill="F1F1F1"/>
          </w:tcPr>
          <w:p>
            <w:pPr>
              <w:spacing w:after="0"/>
              <w:rPr>
                <w:sz w:val="10"/>
                <w:szCs w:val="10"/>
                <w:color w:val="auto"/>
              </w:rPr>
            </w:pPr>
          </w:p>
        </w:tc>
        <w:tc>
          <w:tcPr>
            <w:tcW w:w="1680" w:type="dxa"/>
            <w:vAlign w:val="bottom"/>
            <w:tcBorders>
              <w:bottom w:val="single" w:sz="8" w:color="auto"/>
              <w:right w:val="single" w:sz="8" w:color="auto"/>
            </w:tcBorders>
            <w:shd w:val="clear" w:color="auto" w:fill="F1F1F1"/>
          </w:tcPr>
          <w:p>
            <w:pPr>
              <w:spacing w:after="0"/>
              <w:rPr>
                <w:sz w:val="10"/>
                <w:szCs w:val="10"/>
                <w:color w:val="auto"/>
              </w:rPr>
            </w:pPr>
          </w:p>
        </w:tc>
        <w:tc>
          <w:tcPr>
            <w:tcW w:w="1780" w:type="dxa"/>
            <w:vAlign w:val="bottom"/>
            <w:tcBorders>
              <w:bottom w:val="single" w:sz="8" w:color="auto"/>
              <w:right w:val="single" w:sz="8" w:color="auto"/>
            </w:tcBorders>
            <w:shd w:val="clear" w:color="auto" w:fill="F1F1F1"/>
          </w:tcPr>
          <w:p>
            <w:pPr>
              <w:spacing w:after="0"/>
              <w:rPr>
                <w:sz w:val="10"/>
                <w:szCs w:val="10"/>
                <w:color w:val="auto"/>
              </w:rPr>
            </w:pPr>
          </w:p>
        </w:tc>
        <w:tc>
          <w:tcPr>
            <w:tcW w:w="2460" w:type="dxa"/>
            <w:vAlign w:val="bottom"/>
            <w:tcBorders>
              <w:bottom w:val="single" w:sz="8" w:color="auto"/>
              <w:right w:val="single" w:sz="8" w:color="auto"/>
            </w:tcBorders>
            <w:shd w:val="clear" w:color="auto" w:fill="F1F1F1"/>
          </w:tcPr>
          <w:p>
            <w:pPr>
              <w:spacing w:after="0"/>
              <w:rPr>
                <w:sz w:val="10"/>
                <w:szCs w:val="1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300" w:hanging="320"/>
        <w:spacing w:after="0" w:line="266"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customer adoption and expanding enterprise AI demand led to a significant increase in customer orders and revenue. We expect to achieve full utilization within March, and we need to increase our deployment of GPUs further to meet the strong demand environment. Clients are willing to commit to long term leases in recent business discussions.</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raise the hourly rate of H100 within March due to the strong demand from clients.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Actively evaluating U.S. data center leasing opportunities. Deployment of GPUs and AI cloud services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customers are expected to be online in Q2 2026.</w:t>
      </w:r>
    </w:p>
    <w:p>
      <w:pPr>
        <w:spacing w:after="0" w:line="225"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managed Kubernetes (K8s) service with GPU-native orchestration, supporting scalable deployment of AI training and inference workloads. The platform includes integrated GPU management, intelligent job scheduling, and an AI application marketplace to streamline cluster operations and accelerate AI development.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Infrastructure Summary:</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3400" w:type="dxa"/>
            <w:vAlign w:val="bottom"/>
            <w:tcBorders>
              <w:top w:val="single" w:sz="8" w:color="auto"/>
              <w:left w:val="single" w:sz="8" w:color="auto"/>
              <w:right w:val="single" w:sz="8" w:color="auto"/>
            </w:tcBorders>
            <w:vMerge w:val="restart"/>
            <w:shd w:val="clear" w:color="auto" w:fill="1F3764"/>
          </w:tcPr>
          <w:p>
            <w:pPr>
              <w:ind w:left="60"/>
              <w:spacing w:after="0"/>
              <w:rPr>
                <w:sz w:val="20"/>
                <w:szCs w:val="20"/>
                <w:color w:val="auto"/>
              </w:rPr>
            </w:pPr>
            <w:r>
              <w:rPr>
                <w:rFonts w:ascii="Times New Roman" w:cs="Times New Roman" w:eastAsia="Times New Roman" w:hAnsi="Times New Roman"/>
                <w:sz w:val="18"/>
                <w:szCs w:val="18"/>
                <w:b w:val="1"/>
                <w:bCs w:val="1"/>
                <w:color w:val="FFFFFF"/>
              </w:rPr>
              <w:t>Site / Location</w:t>
            </w:r>
          </w:p>
        </w:tc>
        <w:tc>
          <w:tcPr>
            <w:tcW w:w="1480" w:type="dxa"/>
            <w:vAlign w:val="bottom"/>
            <w:tcBorders>
              <w:top w:val="single" w:sz="8" w:color="auto"/>
              <w:right w:val="single" w:sz="8" w:color="auto"/>
            </w:tcBorders>
            <w:vMerge w:val="restart"/>
            <w:shd w:val="clear" w:color="auto" w:fill="1F3764"/>
          </w:tcPr>
          <w:p>
            <w:pPr>
              <w:ind w:left="140"/>
              <w:spacing w:after="0"/>
              <w:rPr>
                <w:sz w:val="20"/>
                <w:szCs w:val="20"/>
                <w:color w:val="auto"/>
              </w:rPr>
            </w:pPr>
            <w:r>
              <w:rPr>
                <w:rFonts w:ascii="Times New Roman" w:cs="Times New Roman" w:eastAsia="Times New Roman" w:hAnsi="Times New Roman"/>
                <w:sz w:val="18"/>
                <w:szCs w:val="18"/>
                <w:b w:val="1"/>
                <w:bCs w:val="1"/>
                <w:color w:val="FFFFFF"/>
              </w:rPr>
              <w:t>(MW) Capacity</w:t>
            </w:r>
          </w:p>
        </w:tc>
        <w:tc>
          <w:tcPr>
            <w:tcW w:w="1340" w:type="dxa"/>
            <w:vAlign w:val="bottom"/>
            <w:tcBorders>
              <w:top w:val="single" w:sz="8" w:color="auto"/>
              <w:right w:val="single" w:sz="8" w:color="auto"/>
            </w:tcBorders>
            <w:vMerge w:val="restart"/>
            <w:shd w:val="clear" w:color="auto" w:fill="1F3764"/>
          </w:tcPr>
          <w:p>
            <w:pPr>
              <w:ind w:left="440"/>
              <w:spacing w:after="0"/>
              <w:rPr>
                <w:sz w:val="20"/>
                <w:szCs w:val="20"/>
                <w:color w:val="auto"/>
              </w:rPr>
            </w:pPr>
            <w:r>
              <w:rPr>
                <w:rFonts w:ascii="Times New Roman" w:cs="Times New Roman" w:eastAsia="Times New Roman" w:hAnsi="Times New Roman"/>
                <w:sz w:val="18"/>
                <w:szCs w:val="18"/>
                <w:b w:val="1"/>
                <w:bCs w:val="1"/>
                <w:color w:val="FFFFFF"/>
              </w:rPr>
              <w:t>Status</w:t>
            </w:r>
          </w:p>
        </w:tc>
        <w:tc>
          <w:tcPr>
            <w:tcW w:w="280" w:type="dxa"/>
            <w:vAlign w:val="bottom"/>
            <w:tcBorders>
              <w:top w:val="single" w:sz="8" w:color="auto"/>
            </w:tcBorders>
            <w:shd w:val="clear" w:color="auto" w:fill="1F3764"/>
          </w:tcPr>
          <w:p>
            <w:pPr>
              <w:spacing w:after="0"/>
              <w:rPr>
                <w:sz w:val="19"/>
                <w:szCs w:val="19"/>
                <w:color w:val="auto"/>
              </w:rPr>
            </w:pPr>
          </w:p>
        </w:tc>
        <w:tc>
          <w:tcPr>
            <w:tcW w:w="1720" w:type="dxa"/>
            <w:vAlign w:val="bottom"/>
            <w:tcBorders>
              <w:top w:val="single" w:sz="8" w:color="auto"/>
              <w:right w:val="single" w:sz="8" w:color="auto"/>
            </w:tcBorders>
            <w:shd w:val="clear" w:color="auto" w:fill="1F3764"/>
          </w:tcPr>
          <w:p>
            <w:pPr>
              <w:ind w:left="200"/>
              <w:spacing w:after="0"/>
              <w:rPr>
                <w:sz w:val="20"/>
                <w:szCs w:val="20"/>
                <w:color w:val="auto"/>
              </w:rPr>
            </w:pPr>
            <w:r>
              <w:rPr>
                <w:rFonts w:ascii="Times New Roman" w:cs="Times New Roman" w:eastAsia="Times New Roman" w:hAnsi="Times New Roman"/>
                <w:sz w:val="18"/>
                <w:szCs w:val="18"/>
                <w:b w:val="1"/>
                <w:bCs w:val="1"/>
                <w:color w:val="FFFFFF"/>
              </w:rPr>
              <w:t>Energization</w:t>
            </w:r>
          </w:p>
        </w:tc>
        <w:tc>
          <w:tcPr>
            <w:tcW w:w="3020" w:type="dxa"/>
            <w:vAlign w:val="bottom"/>
            <w:tcBorders>
              <w:top w:val="single" w:sz="8" w:color="auto"/>
              <w:right w:val="single" w:sz="8" w:color="auto"/>
            </w:tcBorders>
            <w:vMerge w:val="restart"/>
            <w:shd w:val="clear" w:color="auto" w:fill="1F3764"/>
          </w:tcPr>
          <w:p>
            <w:pPr>
              <w:ind w:left="840"/>
              <w:spacing w:after="0"/>
              <w:rPr>
                <w:sz w:val="20"/>
                <w:szCs w:val="20"/>
                <w:color w:val="auto"/>
              </w:rPr>
            </w:pPr>
            <w:r>
              <w:rPr>
                <w:rFonts w:ascii="Times New Roman" w:cs="Times New Roman" w:eastAsia="Times New Roman" w:hAnsi="Times New Roman"/>
                <w:sz w:val="18"/>
                <w:szCs w:val="18"/>
                <w:b w:val="1"/>
                <w:bCs w:val="1"/>
                <w:color w:val="FFFFFF"/>
              </w:rPr>
              <w:t>Datacenter Usage</w:t>
            </w:r>
          </w:p>
        </w:tc>
        <w:tc>
          <w:tcPr>
            <w:tcW w:w="0" w:type="dxa"/>
            <w:vAlign w:val="bottom"/>
          </w:tcPr>
          <w:p>
            <w:pPr>
              <w:spacing w:after="0"/>
              <w:rPr>
                <w:sz w:val="1"/>
                <w:szCs w:val="1"/>
                <w:color w:val="auto"/>
              </w:rPr>
            </w:pPr>
          </w:p>
        </w:tc>
      </w:tr>
      <w:tr>
        <w:trPr>
          <w:trHeight w:val="130"/>
        </w:trPr>
        <w:tc>
          <w:tcPr>
            <w:tcW w:w="3400" w:type="dxa"/>
            <w:vAlign w:val="bottom"/>
            <w:tcBorders>
              <w:left w:val="single" w:sz="8" w:color="auto"/>
              <w:right w:val="single" w:sz="8" w:color="auto"/>
            </w:tcBorders>
            <w:vMerge w:val="continue"/>
            <w:shd w:val="clear" w:color="auto" w:fill="1F3764"/>
          </w:tcPr>
          <w:p>
            <w:pPr>
              <w:spacing w:after="0"/>
              <w:rPr>
                <w:sz w:val="11"/>
                <w:szCs w:val="11"/>
                <w:color w:val="auto"/>
              </w:rPr>
            </w:pPr>
          </w:p>
        </w:tc>
        <w:tc>
          <w:tcPr>
            <w:tcW w:w="1480" w:type="dxa"/>
            <w:vAlign w:val="bottom"/>
            <w:tcBorders>
              <w:right w:val="single" w:sz="8" w:color="auto"/>
            </w:tcBorders>
            <w:vMerge w:val="continue"/>
            <w:shd w:val="clear" w:color="auto" w:fill="1F3764"/>
          </w:tcPr>
          <w:p>
            <w:pPr>
              <w:spacing w:after="0"/>
              <w:rPr>
                <w:sz w:val="11"/>
                <w:szCs w:val="11"/>
                <w:color w:val="auto"/>
              </w:rPr>
            </w:pPr>
          </w:p>
        </w:tc>
        <w:tc>
          <w:tcPr>
            <w:tcW w:w="1340" w:type="dxa"/>
            <w:vAlign w:val="bottom"/>
            <w:tcBorders>
              <w:right w:val="single" w:sz="8" w:color="auto"/>
            </w:tcBorders>
            <w:vMerge w:val="continue"/>
            <w:shd w:val="clear" w:color="auto" w:fill="1F3764"/>
          </w:tcPr>
          <w:p>
            <w:pPr>
              <w:spacing w:after="0"/>
              <w:rPr>
                <w:sz w:val="11"/>
                <w:szCs w:val="11"/>
                <w:color w:val="auto"/>
              </w:rPr>
            </w:pPr>
          </w:p>
        </w:tc>
        <w:tc>
          <w:tcPr>
            <w:tcW w:w="280" w:type="dxa"/>
            <w:vAlign w:val="bottom"/>
            <w:shd w:val="clear" w:color="auto" w:fill="1F3764"/>
          </w:tcPr>
          <w:p>
            <w:pPr>
              <w:spacing w:after="0"/>
              <w:rPr>
                <w:sz w:val="11"/>
                <w:szCs w:val="11"/>
                <w:color w:val="auto"/>
              </w:rPr>
            </w:pPr>
          </w:p>
        </w:tc>
        <w:tc>
          <w:tcPr>
            <w:tcW w:w="1720" w:type="dxa"/>
            <w:vAlign w:val="bottom"/>
            <w:tcBorders>
              <w:right w:val="single" w:sz="8" w:color="auto"/>
            </w:tcBorders>
            <w:vMerge w:val="restart"/>
            <w:shd w:val="clear" w:color="auto" w:fill="1F3764"/>
          </w:tcPr>
          <w:p>
            <w:pPr>
              <w:ind w:left="400"/>
              <w:spacing w:after="0"/>
              <w:rPr>
                <w:sz w:val="20"/>
                <w:szCs w:val="20"/>
                <w:color w:val="auto"/>
              </w:rPr>
            </w:pPr>
            <w:r>
              <w:rPr>
                <w:rFonts w:ascii="Times New Roman" w:cs="Times New Roman" w:eastAsia="Times New Roman" w:hAnsi="Times New Roman"/>
                <w:sz w:val="18"/>
                <w:szCs w:val="18"/>
                <w:b w:val="1"/>
                <w:bCs w:val="1"/>
                <w:color w:val="FFFFFF"/>
              </w:rPr>
              <w:t>Timing1</w:t>
            </w:r>
          </w:p>
        </w:tc>
        <w:tc>
          <w:tcPr>
            <w:tcW w:w="3020" w:type="dxa"/>
            <w:vAlign w:val="bottom"/>
            <w:tcBorders>
              <w:right w:val="single" w:sz="8" w:color="auto"/>
            </w:tcBorders>
            <w:vMerge w:val="continue"/>
            <w:shd w:val="clear" w:color="auto" w:fill="1F3764"/>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400" w:type="dxa"/>
            <w:vAlign w:val="bottom"/>
            <w:tcBorders>
              <w:left w:val="single" w:sz="8" w:color="auto"/>
              <w:bottom w:val="single" w:sz="8" w:color="auto"/>
              <w:right w:val="single" w:sz="8" w:color="auto"/>
            </w:tcBorders>
            <w:shd w:val="clear" w:color="auto" w:fill="1F3764"/>
          </w:tcPr>
          <w:p>
            <w:pPr>
              <w:spacing w:after="0"/>
              <w:rPr>
                <w:sz w:val="10"/>
                <w:szCs w:val="10"/>
                <w:color w:val="auto"/>
              </w:rPr>
            </w:pPr>
          </w:p>
        </w:tc>
        <w:tc>
          <w:tcPr>
            <w:tcW w:w="1480" w:type="dxa"/>
            <w:vAlign w:val="bottom"/>
            <w:tcBorders>
              <w:bottom w:val="single" w:sz="8" w:color="auto"/>
              <w:right w:val="single" w:sz="8" w:color="auto"/>
            </w:tcBorders>
            <w:shd w:val="clear" w:color="auto" w:fill="1F3764"/>
          </w:tcPr>
          <w:p>
            <w:pPr>
              <w:spacing w:after="0"/>
              <w:rPr>
                <w:sz w:val="10"/>
                <w:szCs w:val="10"/>
                <w:color w:val="auto"/>
              </w:rPr>
            </w:pPr>
          </w:p>
        </w:tc>
        <w:tc>
          <w:tcPr>
            <w:tcW w:w="1340" w:type="dxa"/>
            <w:vAlign w:val="bottom"/>
            <w:tcBorders>
              <w:bottom w:val="single" w:sz="8" w:color="auto"/>
              <w:right w:val="single" w:sz="8" w:color="auto"/>
            </w:tcBorders>
            <w:shd w:val="clear" w:color="auto" w:fill="1F3764"/>
          </w:tcPr>
          <w:p>
            <w:pPr>
              <w:spacing w:after="0"/>
              <w:rPr>
                <w:sz w:val="10"/>
                <w:szCs w:val="10"/>
                <w:color w:val="auto"/>
              </w:rPr>
            </w:pPr>
          </w:p>
        </w:tc>
        <w:tc>
          <w:tcPr>
            <w:tcW w:w="280" w:type="dxa"/>
            <w:vAlign w:val="bottom"/>
            <w:tcBorders>
              <w:bottom w:val="single" w:sz="8" w:color="auto"/>
            </w:tcBorders>
            <w:shd w:val="clear" w:color="auto" w:fill="1F3764"/>
          </w:tcPr>
          <w:p>
            <w:pPr>
              <w:spacing w:after="0"/>
              <w:rPr>
                <w:sz w:val="10"/>
                <w:szCs w:val="10"/>
                <w:color w:val="auto"/>
              </w:rPr>
            </w:pPr>
          </w:p>
        </w:tc>
        <w:tc>
          <w:tcPr>
            <w:tcW w:w="1720" w:type="dxa"/>
            <w:vAlign w:val="bottom"/>
            <w:tcBorders>
              <w:bottom w:val="single" w:sz="8" w:color="auto"/>
              <w:right w:val="single" w:sz="8" w:color="auto"/>
            </w:tcBorders>
            <w:vMerge w:val="continue"/>
            <w:shd w:val="clear" w:color="auto" w:fill="1F3764"/>
          </w:tcPr>
          <w:p>
            <w:pPr>
              <w:spacing w:after="0"/>
              <w:rPr>
                <w:sz w:val="10"/>
                <w:szCs w:val="10"/>
                <w:color w:val="auto"/>
              </w:rPr>
            </w:pPr>
          </w:p>
        </w:tc>
        <w:tc>
          <w:tcPr>
            <w:tcW w:w="3020" w:type="dxa"/>
            <w:vAlign w:val="bottom"/>
            <w:tcBorders>
              <w:bottom w:val="single" w:sz="8" w:color="auto"/>
              <w:right w:val="single" w:sz="8" w:color="auto"/>
            </w:tcBorders>
            <w:shd w:val="clear" w:color="auto" w:fill="1F3764"/>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3400" w:type="dxa"/>
            <w:vAlign w:val="bottom"/>
            <w:tcBorders>
              <w:left w:val="single" w:sz="8" w:color="auto"/>
              <w:bottom w:val="single" w:sz="8" w:color="auto"/>
              <w:right w:val="single" w:sz="8" w:color="auto"/>
            </w:tcBorders>
            <w:shd w:val="clear" w:color="auto" w:fill="F1F1F1"/>
          </w:tcPr>
          <w:p>
            <w:pPr>
              <w:ind w:left="60"/>
              <w:spacing w:after="0"/>
              <w:rPr>
                <w:sz w:val="20"/>
                <w:szCs w:val="20"/>
                <w:color w:val="auto"/>
              </w:rPr>
            </w:pPr>
            <w:r>
              <w:rPr>
                <w:rFonts w:ascii="Times New Roman" w:cs="Times New Roman" w:eastAsia="Times New Roman" w:hAnsi="Times New Roman"/>
                <w:sz w:val="18"/>
                <w:szCs w:val="18"/>
                <w:b w:val="1"/>
                <w:bCs w:val="1"/>
                <w:color w:val="auto"/>
              </w:rPr>
              <w:t>Electrical capacity</w:t>
            </w:r>
          </w:p>
        </w:tc>
        <w:tc>
          <w:tcPr>
            <w:tcW w:w="1480" w:type="dxa"/>
            <w:vAlign w:val="bottom"/>
            <w:tcBorders>
              <w:bottom w:val="single" w:sz="8" w:color="auto"/>
              <w:right w:val="single" w:sz="8" w:color="auto"/>
            </w:tcBorders>
            <w:shd w:val="clear" w:color="auto" w:fill="F1F1F1"/>
          </w:tcPr>
          <w:p>
            <w:pPr>
              <w:spacing w:after="0"/>
              <w:rPr>
                <w:sz w:val="20"/>
                <w:szCs w:val="20"/>
                <w:color w:val="auto"/>
              </w:rPr>
            </w:pPr>
          </w:p>
        </w:tc>
        <w:tc>
          <w:tcPr>
            <w:tcW w:w="1340" w:type="dxa"/>
            <w:vAlign w:val="bottom"/>
            <w:tcBorders>
              <w:bottom w:val="single" w:sz="8" w:color="auto"/>
              <w:right w:val="single" w:sz="8" w:color="auto"/>
            </w:tcBorders>
            <w:shd w:val="clear" w:color="auto" w:fill="F1F1F1"/>
          </w:tcPr>
          <w:p>
            <w:pPr>
              <w:spacing w:after="0"/>
              <w:rPr>
                <w:sz w:val="20"/>
                <w:szCs w:val="20"/>
                <w:color w:val="auto"/>
              </w:rPr>
            </w:pPr>
          </w:p>
        </w:tc>
        <w:tc>
          <w:tcPr>
            <w:tcW w:w="280" w:type="dxa"/>
            <w:vAlign w:val="bottom"/>
            <w:tcBorders>
              <w:bottom w:val="single" w:sz="8" w:color="auto"/>
            </w:tcBorders>
            <w:shd w:val="clear" w:color="auto" w:fill="F1F1F1"/>
          </w:tcPr>
          <w:p>
            <w:pPr>
              <w:spacing w:after="0"/>
              <w:rPr>
                <w:sz w:val="20"/>
                <w:szCs w:val="20"/>
                <w:color w:val="auto"/>
              </w:rPr>
            </w:pPr>
          </w:p>
        </w:tc>
        <w:tc>
          <w:tcPr>
            <w:tcW w:w="1720" w:type="dxa"/>
            <w:vAlign w:val="bottom"/>
            <w:tcBorders>
              <w:bottom w:val="single" w:sz="8" w:color="auto"/>
              <w:right w:val="single" w:sz="8" w:color="auto"/>
            </w:tcBorders>
            <w:shd w:val="clear" w:color="auto" w:fill="F1F1F1"/>
          </w:tcPr>
          <w:p>
            <w:pPr>
              <w:spacing w:after="0"/>
              <w:rPr>
                <w:sz w:val="20"/>
                <w:szCs w:val="20"/>
                <w:color w:val="auto"/>
              </w:rPr>
            </w:pPr>
          </w:p>
        </w:tc>
        <w:tc>
          <w:tcPr>
            <w:tcW w:w="3020" w:type="dxa"/>
            <w:vAlign w:val="bottom"/>
            <w:tcBorders>
              <w:bottom w:val="single" w:sz="8" w:color="auto"/>
              <w:right w:val="single" w:sz="8" w:color="auto"/>
            </w:tcBorders>
            <w:shd w:val="clear" w:color="auto" w:fill="F1F1F1"/>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40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 Rockdale, Texas</w:t>
            </w:r>
          </w:p>
        </w:tc>
        <w:tc>
          <w:tcPr>
            <w:tcW w:w="14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563</w:t>
            </w:r>
          </w:p>
        </w:tc>
        <w:tc>
          <w:tcPr>
            <w:tcW w:w="13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Online</w:t>
            </w:r>
          </w:p>
        </w:tc>
        <w:tc>
          <w:tcPr>
            <w:tcW w:w="200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Completed</w:t>
            </w:r>
          </w:p>
        </w:tc>
        <w:tc>
          <w:tcPr>
            <w:tcW w:w="3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Crypto / Evaluating converting to</w:t>
            </w:r>
          </w:p>
        </w:tc>
        <w:tc>
          <w:tcPr>
            <w:tcW w:w="0" w:type="dxa"/>
            <w:vAlign w:val="bottom"/>
          </w:tcPr>
          <w:p>
            <w:pPr>
              <w:spacing w:after="0"/>
              <w:rPr>
                <w:sz w:val="1"/>
                <w:szCs w:val="1"/>
                <w:color w:val="auto"/>
              </w:rPr>
            </w:pPr>
          </w:p>
        </w:tc>
      </w:tr>
      <w:tr>
        <w:trPr>
          <w:trHeight w:val="126"/>
        </w:trPr>
        <w:tc>
          <w:tcPr>
            <w:tcW w:w="3400" w:type="dxa"/>
            <w:vAlign w:val="bottom"/>
            <w:tcBorders>
              <w:left w:val="single" w:sz="8" w:color="auto"/>
              <w:right w:val="single" w:sz="8" w:color="auto"/>
            </w:tcBorders>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2000" w:type="dxa"/>
            <w:vAlign w:val="bottom"/>
            <w:tcBorders>
              <w:right w:val="single" w:sz="8" w:color="auto"/>
            </w:tcBorders>
            <w:gridSpan w:val="2"/>
            <w:vMerge w:val="continue"/>
          </w:tcPr>
          <w:p>
            <w:pPr>
              <w:spacing w:after="0"/>
              <w:rPr>
                <w:sz w:val="10"/>
                <w:szCs w:val="10"/>
                <w:color w:val="auto"/>
              </w:rPr>
            </w:pPr>
          </w:p>
        </w:tc>
        <w:tc>
          <w:tcPr>
            <w:tcW w:w="30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Colocation or AI Cloud</w:t>
            </w:r>
          </w:p>
        </w:tc>
        <w:tc>
          <w:tcPr>
            <w:tcW w:w="0" w:type="dxa"/>
            <w:vAlign w:val="bottom"/>
          </w:tcPr>
          <w:p>
            <w:pPr>
              <w:spacing w:after="0"/>
              <w:rPr>
                <w:sz w:val="1"/>
                <w:szCs w:val="1"/>
                <w:color w:val="auto"/>
              </w:rPr>
            </w:pPr>
          </w:p>
        </w:tc>
      </w:tr>
      <w:tr>
        <w:trPr>
          <w:trHeight w:val="115"/>
        </w:trPr>
        <w:tc>
          <w:tcPr>
            <w:tcW w:w="3400" w:type="dxa"/>
            <w:vAlign w:val="bottom"/>
            <w:tcBorders>
              <w:left w:val="single" w:sz="8" w:color="auto"/>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30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3400" w:type="dxa"/>
            <w:vAlign w:val="bottom"/>
            <w:tcBorders>
              <w:left w:val="single" w:sz="8" w:color="auto"/>
              <w:bottom w:val="single" w:sz="8" w:color="auto"/>
              <w:right w:val="single" w:sz="8" w:color="auto"/>
            </w:tcBorders>
            <w:shd w:val="clear" w:color="auto" w:fill="F1F1F1"/>
          </w:tcPr>
          <w:p>
            <w:pPr>
              <w:ind w:left="60"/>
              <w:spacing w:after="0"/>
              <w:rPr>
                <w:sz w:val="20"/>
                <w:szCs w:val="20"/>
                <w:color w:val="auto"/>
              </w:rPr>
            </w:pPr>
            <w:r>
              <w:rPr>
                <w:rFonts w:ascii="Times New Roman" w:cs="Times New Roman" w:eastAsia="Times New Roman" w:hAnsi="Times New Roman"/>
                <w:sz w:val="18"/>
                <w:szCs w:val="18"/>
                <w:color w:val="auto"/>
              </w:rPr>
              <w:t>- Knoxville, Tennessee – phase 1</w:t>
            </w:r>
          </w:p>
        </w:tc>
        <w:tc>
          <w:tcPr>
            <w:tcW w:w="148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color w:val="auto"/>
              </w:rPr>
              <w:t>37</w:t>
            </w:r>
          </w:p>
        </w:tc>
        <w:tc>
          <w:tcPr>
            <w:tcW w:w="134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color w:val="auto"/>
              </w:rPr>
              <w:t>Online</w:t>
            </w:r>
          </w:p>
        </w:tc>
        <w:tc>
          <w:tcPr>
            <w:tcW w:w="280" w:type="dxa"/>
            <w:vAlign w:val="bottom"/>
            <w:tcBorders>
              <w:bottom w:val="single" w:sz="8" w:color="auto"/>
            </w:tcBorders>
            <w:shd w:val="clear" w:color="auto" w:fill="F1F1F1"/>
          </w:tcPr>
          <w:p>
            <w:pPr>
              <w:ind w:left="20"/>
              <w:spacing w:after="0"/>
              <w:rPr>
                <w:sz w:val="20"/>
                <w:szCs w:val="20"/>
                <w:color w:val="auto"/>
              </w:rPr>
            </w:pPr>
            <w:r>
              <w:rPr>
                <w:rFonts w:ascii="Times New Roman" w:cs="Times New Roman" w:eastAsia="Times New Roman" w:hAnsi="Times New Roman"/>
                <w:sz w:val="18"/>
                <w:szCs w:val="18"/>
                <w:color w:val="auto"/>
              </w:rPr>
              <w:t>Q4</w:t>
            </w:r>
          </w:p>
        </w:tc>
        <w:tc>
          <w:tcPr>
            <w:tcW w:w="1720" w:type="dxa"/>
            <w:vAlign w:val="bottom"/>
            <w:tcBorders>
              <w:bottom w:val="single" w:sz="8" w:color="auto"/>
              <w:right w:val="single" w:sz="8" w:color="auto"/>
            </w:tcBorders>
            <w:shd w:val="clear" w:color="auto" w:fill="F1F1F1"/>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2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color w:val="auto"/>
              </w:rPr>
              <w:t>Crypto converting to AI Cloud</w:t>
            </w:r>
          </w:p>
        </w:tc>
        <w:tc>
          <w:tcPr>
            <w:tcW w:w="0" w:type="dxa"/>
            <w:vAlign w:val="bottom"/>
          </w:tcPr>
          <w:p>
            <w:pPr>
              <w:spacing w:after="0"/>
              <w:rPr>
                <w:sz w:val="1"/>
                <w:szCs w:val="1"/>
                <w:color w:val="auto"/>
              </w:rPr>
            </w:pPr>
          </w:p>
        </w:tc>
      </w:tr>
      <w:tr>
        <w:trPr>
          <w:trHeight w:val="237"/>
        </w:trPr>
        <w:tc>
          <w:tcPr>
            <w:tcW w:w="34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Knoxville, Tennessee – phase 2</w:t>
            </w:r>
          </w:p>
        </w:tc>
        <w:tc>
          <w:tcPr>
            <w:tcW w:w="1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49</w:t>
            </w:r>
          </w:p>
        </w:tc>
        <w:tc>
          <w:tcPr>
            <w:tcW w:w="1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Online</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Q1</w:t>
            </w:r>
          </w:p>
        </w:tc>
        <w:tc>
          <w:tcPr>
            <w:tcW w:w="17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Crypto converting to AI Cloud</w:t>
            </w:r>
          </w:p>
        </w:tc>
        <w:tc>
          <w:tcPr>
            <w:tcW w:w="0" w:type="dxa"/>
            <w:vAlign w:val="bottom"/>
          </w:tcPr>
          <w:p>
            <w:pPr>
              <w:spacing w:after="0"/>
              <w:rPr>
                <w:sz w:val="1"/>
                <w:szCs w:val="1"/>
                <w:color w:val="auto"/>
              </w:rPr>
            </w:pPr>
          </w:p>
        </w:tc>
      </w:tr>
      <w:tr>
        <w:trPr>
          <w:trHeight w:val="236"/>
        </w:trPr>
        <w:tc>
          <w:tcPr>
            <w:tcW w:w="3400" w:type="dxa"/>
            <w:vAlign w:val="bottom"/>
            <w:tcBorders>
              <w:left w:val="single" w:sz="8" w:color="auto"/>
              <w:bottom w:val="single" w:sz="8" w:color="auto"/>
              <w:right w:val="single" w:sz="8" w:color="auto"/>
            </w:tcBorders>
            <w:shd w:val="clear" w:color="auto" w:fill="F1F1F1"/>
          </w:tcPr>
          <w:p>
            <w:pPr>
              <w:ind w:left="60"/>
              <w:spacing w:after="0"/>
              <w:rPr>
                <w:sz w:val="20"/>
                <w:szCs w:val="20"/>
                <w:color w:val="auto"/>
              </w:rPr>
            </w:pPr>
            <w:r>
              <w:rPr>
                <w:rFonts w:ascii="Times New Roman" w:cs="Times New Roman" w:eastAsia="Times New Roman" w:hAnsi="Times New Roman"/>
                <w:sz w:val="18"/>
                <w:szCs w:val="18"/>
                <w:color w:val="auto"/>
              </w:rPr>
              <w:t>- Wenatchee, Washington</w:t>
            </w:r>
          </w:p>
        </w:tc>
        <w:tc>
          <w:tcPr>
            <w:tcW w:w="148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color w:val="auto"/>
              </w:rPr>
              <w:t>13</w:t>
            </w:r>
          </w:p>
        </w:tc>
        <w:tc>
          <w:tcPr>
            <w:tcW w:w="134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color w:val="auto"/>
              </w:rPr>
              <w:t>Online</w:t>
            </w:r>
          </w:p>
        </w:tc>
        <w:tc>
          <w:tcPr>
            <w:tcW w:w="280" w:type="dxa"/>
            <w:vAlign w:val="bottom"/>
            <w:tcBorders>
              <w:bottom w:val="single" w:sz="8" w:color="auto"/>
            </w:tcBorders>
            <w:shd w:val="clear" w:color="auto" w:fill="F1F1F1"/>
          </w:tcPr>
          <w:p>
            <w:pPr>
              <w:ind w:left="20"/>
              <w:spacing w:after="0"/>
              <w:rPr>
                <w:sz w:val="20"/>
                <w:szCs w:val="20"/>
                <w:color w:val="auto"/>
              </w:rPr>
            </w:pPr>
            <w:r>
              <w:rPr>
                <w:rFonts w:ascii="Times New Roman" w:cs="Times New Roman" w:eastAsia="Times New Roman" w:hAnsi="Times New Roman"/>
                <w:sz w:val="18"/>
                <w:szCs w:val="18"/>
                <w:color w:val="auto"/>
              </w:rPr>
              <w:t>Q4</w:t>
            </w:r>
          </w:p>
        </w:tc>
        <w:tc>
          <w:tcPr>
            <w:tcW w:w="1720" w:type="dxa"/>
            <w:vAlign w:val="bottom"/>
            <w:tcBorders>
              <w:bottom w:val="single" w:sz="8" w:color="auto"/>
              <w:right w:val="single" w:sz="8" w:color="auto"/>
            </w:tcBorders>
            <w:shd w:val="clear" w:color="auto" w:fill="F1F1F1"/>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2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color w:val="auto"/>
              </w:rPr>
              <w:t>Crypto converting to AI Cloud</w:t>
            </w: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 Molde, Norway</w:t>
            </w:r>
          </w:p>
        </w:tc>
        <w:tc>
          <w:tcPr>
            <w:tcW w:w="14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84</w:t>
            </w:r>
          </w:p>
        </w:tc>
        <w:tc>
          <w:tcPr>
            <w:tcW w:w="13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Online</w:t>
            </w:r>
          </w:p>
        </w:tc>
        <w:tc>
          <w:tcPr>
            <w:tcW w:w="200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Completed</w:t>
            </w:r>
          </w:p>
        </w:tc>
        <w:tc>
          <w:tcPr>
            <w:tcW w:w="3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Crypto and in early assessment of</w:t>
            </w:r>
          </w:p>
        </w:tc>
        <w:tc>
          <w:tcPr>
            <w:tcW w:w="0" w:type="dxa"/>
            <w:vAlign w:val="bottom"/>
          </w:tcPr>
          <w:p>
            <w:pPr>
              <w:spacing w:after="0"/>
              <w:rPr>
                <w:sz w:val="1"/>
                <w:szCs w:val="1"/>
                <w:color w:val="auto"/>
              </w:rPr>
            </w:pPr>
          </w:p>
        </w:tc>
      </w:tr>
      <w:tr>
        <w:trPr>
          <w:trHeight w:val="126"/>
        </w:trPr>
        <w:tc>
          <w:tcPr>
            <w:tcW w:w="3400" w:type="dxa"/>
            <w:vAlign w:val="bottom"/>
            <w:tcBorders>
              <w:left w:val="single" w:sz="8" w:color="auto"/>
              <w:right w:val="single" w:sz="8" w:color="auto"/>
            </w:tcBorders>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2000" w:type="dxa"/>
            <w:vAlign w:val="bottom"/>
            <w:tcBorders>
              <w:right w:val="single" w:sz="8" w:color="auto"/>
            </w:tcBorders>
            <w:gridSpan w:val="2"/>
            <w:vMerge w:val="continue"/>
          </w:tcPr>
          <w:p>
            <w:pPr>
              <w:spacing w:after="0"/>
              <w:rPr>
                <w:sz w:val="10"/>
                <w:szCs w:val="10"/>
                <w:color w:val="auto"/>
              </w:rPr>
            </w:pPr>
          </w:p>
        </w:tc>
        <w:tc>
          <w:tcPr>
            <w:tcW w:w="30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converting to AI Cloud</w:t>
            </w:r>
          </w:p>
        </w:tc>
        <w:tc>
          <w:tcPr>
            <w:tcW w:w="0" w:type="dxa"/>
            <w:vAlign w:val="bottom"/>
          </w:tcPr>
          <w:p>
            <w:pPr>
              <w:spacing w:after="0"/>
              <w:rPr>
                <w:sz w:val="1"/>
                <w:szCs w:val="1"/>
                <w:color w:val="auto"/>
              </w:rPr>
            </w:pPr>
          </w:p>
        </w:tc>
      </w:tr>
      <w:tr>
        <w:trPr>
          <w:trHeight w:val="155"/>
        </w:trPr>
        <w:tc>
          <w:tcPr>
            <w:tcW w:w="3400" w:type="dxa"/>
            <w:vAlign w:val="bottom"/>
            <w:tcBorders>
              <w:left w:val="single" w:sz="8" w:color="auto"/>
              <w:bottom w:val="single" w:sz="8" w:color="auto"/>
              <w:right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302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3400" w:type="dxa"/>
            <w:vAlign w:val="bottom"/>
            <w:tcBorders>
              <w:left w:val="single" w:sz="8" w:color="auto"/>
              <w:bottom w:val="single" w:sz="8" w:color="auto"/>
              <w:right w:val="single" w:sz="8" w:color="auto"/>
            </w:tcBorders>
            <w:shd w:val="clear" w:color="auto" w:fill="F1F1F1"/>
          </w:tcPr>
          <w:p>
            <w:pPr>
              <w:ind w:left="60"/>
              <w:spacing w:after="0"/>
              <w:rPr>
                <w:sz w:val="20"/>
                <w:szCs w:val="20"/>
                <w:color w:val="auto"/>
              </w:rPr>
            </w:pPr>
            <w:r>
              <w:rPr>
                <w:rFonts w:ascii="Times New Roman" w:cs="Times New Roman" w:eastAsia="Times New Roman" w:hAnsi="Times New Roman"/>
                <w:sz w:val="18"/>
                <w:szCs w:val="18"/>
                <w:color w:val="auto"/>
              </w:rPr>
              <w:t>- Tydal - 1, Norway</w:t>
            </w:r>
          </w:p>
        </w:tc>
        <w:tc>
          <w:tcPr>
            <w:tcW w:w="148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color w:val="auto"/>
              </w:rPr>
              <w:t>50</w:t>
            </w:r>
          </w:p>
        </w:tc>
        <w:tc>
          <w:tcPr>
            <w:tcW w:w="134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color w:val="auto"/>
              </w:rPr>
              <w:t>Online</w:t>
            </w:r>
          </w:p>
        </w:tc>
        <w:tc>
          <w:tcPr>
            <w:tcW w:w="280" w:type="dxa"/>
            <w:vAlign w:val="bottom"/>
            <w:tcBorders>
              <w:bottom w:val="single" w:sz="8" w:color="auto"/>
            </w:tcBorders>
            <w:shd w:val="clear" w:color="auto" w:fill="F1F1F1"/>
          </w:tcPr>
          <w:p>
            <w:pPr>
              <w:ind w:left="20"/>
              <w:spacing w:after="0"/>
              <w:rPr>
                <w:sz w:val="20"/>
                <w:szCs w:val="20"/>
                <w:color w:val="auto"/>
              </w:rPr>
            </w:pPr>
            <w:r>
              <w:rPr>
                <w:rFonts w:ascii="Times New Roman" w:cs="Times New Roman" w:eastAsia="Times New Roman" w:hAnsi="Times New Roman"/>
                <w:sz w:val="18"/>
                <w:szCs w:val="18"/>
                <w:color w:val="auto"/>
              </w:rPr>
              <w:t>Q4</w:t>
            </w:r>
          </w:p>
        </w:tc>
        <w:tc>
          <w:tcPr>
            <w:tcW w:w="1720" w:type="dxa"/>
            <w:vAlign w:val="bottom"/>
            <w:tcBorders>
              <w:bottom w:val="single" w:sz="8" w:color="auto"/>
              <w:right w:val="single" w:sz="8" w:color="auto"/>
            </w:tcBorders>
            <w:shd w:val="clear" w:color="auto" w:fill="F1F1F1"/>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2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color w:val="auto"/>
              </w:rPr>
              <w:t>Crypto converting to Colocation</w:t>
            </w:r>
          </w:p>
        </w:tc>
        <w:tc>
          <w:tcPr>
            <w:tcW w:w="0" w:type="dxa"/>
            <w:vAlign w:val="bottom"/>
          </w:tcPr>
          <w:p>
            <w:pPr>
              <w:spacing w:after="0"/>
              <w:rPr>
                <w:sz w:val="1"/>
                <w:szCs w:val="1"/>
                <w:color w:val="auto"/>
              </w:rPr>
            </w:pPr>
          </w:p>
        </w:tc>
      </w:tr>
      <w:tr>
        <w:trPr>
          <w:trHeight w:val="237"/>
        </w:trPr>
        <w:tc>
          <w:tcPr>
            <w:tcW w:w="34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Tydal - 2, Norway</w:t>
            </w:r>
          </w:p>
        </w:tc>
        <w:tc>
          <w:tcPr>
            <w:tcW w:w="1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175</w:t>
            </w:r>
          </w:p>
        </w:tc>
        <w:tc>
          <w:tcPr>
            <w:tcW w:w="1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Online</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Q4</w:t>
            </w:r>
          </w:p>
        </w:tc>
        <w:tc>
          <w:tcPr>
            <w:tcW w:w="17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Crypto converting to Colocation</w:t>
            </w:r>
          </w:p>
        </w:tc>
        <w:tc>
          <w:tcPr>
            <w:tcW w:w="0" w:type="dxa"/>
            <w:vAlign w:val="bottom"/>
          </w:tcPr>
          <w:p>
            <w:pPr>
              <w:spacing w:after="0"/>
              <w:rPr>
                <w:sz w:val="1"/>
                <w:szCs w:val="1"/>
                <w:color w:val="auto"/>
              </w:rPr>
            </w:pPr>
          </w:p>
        </w:tc>
      </w:tr>
      <w:tr>
        <w:trPr>
          <w:trHeight w:val="237"/>
        </w:trPr>
        <w:tc>
          <w:tcPr>
            <w:tcW w:w="3400" w:type="dxa"/>
            <w:vAlign w:val="bottom"/>
            <w:tcBorders>
              <w:left w:val="single" w:sz="8" w:color="auto"/>
              <w:bottom w:val="single" w:sz="8" w:color="auto"/>
              <w:right w:val="single" w:sz="8" w:color="auto"/>
            </w:tcBorders>
            <w:shd w:val="clear" w:color="auto" w:fill="F1F1F1"/>
          </w:tcPr>
          <w:p>
            <w:pPr>
              <w:ind w:left="60"/>
              <w:spacing w:after="0"/>
              <w:rPr>
                <w:sz w:val="20"/>
                <w:szCs w:val="20"/>
                <w:color w:val="auto"/>
              </w:rPr>
            </w:pPr>
            <w:r>
              <w:rPr>
                <w:rFonts w:ascii="Times New Roman" w:cs="Times New Roman" w:eastAsia="Times New Roman" w:hAnsi="Times New Roman"/>
                <w:sz w:val="18"/>
                <w:szCs w:val="18"/>
                <w:color w:val="auto"/>
              </w:rPr>
              <w:t>- Gedu, Bhutan</w:t>
            </w:r>
          </w:p>
        </w:tc>
        <w:tc>
          <w:tcPr>
            <w:tcW w:w="148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color w:val="auto"/>
              </w:rPr>
              <w:t>Online</w:t>
            </w:r>
          </w:p>
        </w:tc>
        <w:tc>
          <w:tcPr>
            <w:tcW w:w="2000" w:type="dxa"/>
            <w:vAlign w:val="bottom"/>
            <w:tcBorders>
              <w:bottom w:val="single" w:sz="8" w:color="auto"/>
              <w:right w:val="single" w:sz="8" w:color="auto"/>
            </w:tcBorders>
            <w:gridSpan w:val="2"/>
            <w:shd w:val="clear" w:color="auto" w:fill="F1F1F1"/>
          </w:tcPr>
          <w:p>
            <w:pPr>
              <w:ind w:left="20"/>
              <w:spacing w:after="0"/>
              <w:rPr>
                <w:sz w:val="20"/>
                <w:szCs w:val="20"/>
                <w:color w:val="auto"/>
              </w:rPr>
            </w:pPr>
            <w:r>
              <w:rPr>
                <w:rFonts w:ascii="Times New Roman" w:cs="Times New Roman" w:eastAsia="Times New Roman" w:hAnsi="Times New Roman"/>
                <w:sz w:val="18"/>
                <w:szCs w:val="18"/>
                <w:color w:val="auto"/>
              </w:rPr>
              <w:t>Completed</w:t>
            </w:r>
          </w:p>
        </w:tc>
        <w:tc>
          <w:tcPr>
            <w:tcW w:w="302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color w:val="auto"/>
              </w:rPr>
              <w:t>Crypto</w:t>
            </w:r>
          </w:p>
        </w:tc>
        <w:tc>
          <w:tcPr>
            <w:tcW w:w="0" w:type="dxa"/>
            <w:vAlign w:val="bottom"/>
          </w:tcPr>
          <w:p>
            <w:pPr>
              <w:spacing w:after="0"/>
              <w:rPr>
                <w:sz w:val="1"/>
                <w:szCs w:val="1"/>
                <w:color w:val="auto"/>
              </w:rPr>
            </w:pPr>
          </w:p>
        </w:tc>
      </w:tr>
      <w:tr>
        <w:trPr>
          <w:trHeight w:val="236"/>
        </w:trPr>
        <w:tc>
          <w:tcPr>
            <w:tcW w:w="34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Jigmeling, Bhutan</w:t>
            </w:r>
          </w:p>
        </w:tc>
        <w:tc>
          <w:tcPr>
            <w:tcW w:w="1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500</w:t>
            </w:r>
          </w:p>
        </w:tc>
        <w:tc>
          <w:tcPr>
            <w:tcW w:w="1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Online</w:t>
            </w:r>
          </w:p>
        </w:tc>
        <w:tc>
          <w:tcPr>
            <w:tcW w:w="200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Completed</w:t>
            </w:r>
          </w:p>
        </w:tc>
        <w:tc>
          <w:tcPr>
            <w:tcW w:w="3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Crypto</w:t>
            </w:r>
          </w:p>
        </w:tc>
        <w:tc>
          <w:tcPr>
            <w:tcW w:w="0" w:type="dxa"/>
            <w:vAlign w:val="bottom"/>
          </w:tcPr>
          <w:p>
            <w:pPr>
              <w:spacing w:after="0"/>
              <w:rPr>
                <w:sz w:val="1"/>
                <w:szCs w:val="1"/>
                <w:color w:val="auto"/>
              </w:rPr>
            </w:pPr>
          </w:p>
        </w:tc>
      </w:tr>
      <w:tr>
        <w:trPr>
          <w:trHeight w:val="237"/>
        </w:trPr>
        <w:tc>
          <w:tcPr>
            <w:tcW w:w="3400" w:type="dxa"/>
            <w:vAlign w:val="bottom"/>
            <w:tcBorders>
              <w:left w:val="single" w:sz="8" w:color="auto"/>
              <w:bottom w:val="single" w:sz="8" w:color="auto"/>
              <w:right w:val="single" w:sz="8" w:color="auto"/>
            </w:tcBorders>
            <w:shd w:val="clear" w:color="auto" w:fill="F1F1F1"/>
          </w:tcPr>
          <w:p>
            <w:pPr>
              <w:ind w:left="60"/>
              <w:spacing w:after="0"/>
              <w:rPr>
                <w:sz w:val="20"/>
                <w:szCs w:val="20"/>
                <w:color w:val="auto"/>
              </w:rPr>
            </w:pPr>
            <w:r>
              <w:rPr>
                <w:rFonts w:ascii="Times New Roman" w:cs="Times New Roman" w:eastAsia="Times New Roman" w:hAnsi="Times New Roman"/>
                <w:sz w:val="18"/>
                <w:szCs w:val="18"/>
                <w:color w:val="auto"/>
              </w:rPr>
              <w:t>- Oromia Region, Ethiopia</w:t>
            </w:r>
          </w:p>
        </w:tc>
        <w:tc>
          <w:tcPr>
            <w:tcW w:w="148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color w:val="auto"/>
              </w:rPr>
              <w:t>40</w:t>
            </w:r>
          </w:p>
        </w:tc>
        <w:tc>
          <w:tcPr>
            <w:tcW w:w="134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color w:val="auto"/>
              </w:rPr>
              <w:t>Online</w:t>
            </w:r>
          </w:p>
        </w:tc>
        <w:tc>
          <w:tcPr>
            <w:tcW w:w="2000" w:type="dxa"/>
            <w:vAlign w:val="bottom"/>
            <w:tcBorders>
              <w:bottom w:val="single" w:sz="8" w:color="auto"/>
              <w:right w:val="single" w:sz="8" w:color="auto"/>
            </w:tcBorders>
            <w:gridSpan w:val="2"/>
            <w:shd w:val="clear" w:color="auto" w:fill="F1F1F1"/>
          </w:tcPr>
          <w:p>
            <w:pPr>
              <w:ind w:left="20"/>
              <w:spacing w:after="0"/>
              <w:rPr>
                <w:sz w:val="20"/>
                <w:szCs w:val="20"/>
                <w:color w:val="auto"/>
              </w:rPr>
            </w:pPr>
            <w:r>
              <w:rPr>
                <w:rFonts w:ascii="Times New Roman" w:cs="Times New Roman" w:eastAsia="Times New Roman" w:hAnsi="Times New Roman"/>
                <w:sz w:val="18"/>
                <w:szCs w:val="18"/>
                <w:color w:val="auto"/>
              </w:rPr>
              <w:t>Completed</w:t>
            </w:r>
          </w:p>
        </w:tc>
        <w:tc>
          <w:tcPr>
            <w:tcW w:w="302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color w:val="auto"/>
              </w:rPr>
              <w:t>Crypto</w:t>
            </w:r>
          </w:p>
        </w:tc>
        <w:tc>
          <w:tcPr>
            <w:tcW w:w="0" w:type="dxa"/>
            <w:vAlign w:val="bottom"/>
          </w:tcPr>
          <w:p>
            <w:pPr>
              <w:spacing w:after="0"/>
              <w:rPr>
                <w:sz w:val="1"/>
                <w:szCs w:val="1"/>
                <w:color w:val="auto"/>
              </w:rPr>
            </w:pPr>
          </w:p>
        </w:tc>
      </w:tr>
      <w:tr>
        <w:trPr>
          <w:trHeight w:val="236"/>
        </w:trPr>
        <w:tc>
          <w:tcPr>
            <w:tcW w:w="34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Massillon, Ohio</w:t>
            </w:r>
          </w:p>
        </w:tc>
        <w:tc>
          <w:tcPr>
            <w:tcW w:w="1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Online</w:t>
            </w:r>
          </w:p>
        </w:tc>
        <w:tc>
          <w:tcPr>
            <w:tcW w:w="200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Completed</w:t>
            </w:r>
          </w:p>
        </w:tc>
        <w:tc>
          <w:tcPr>
            <w:tcW w:w="3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Crypto</w:t>
            </w:r>
          </w:p>
        </w:tc>
        <w:tc>
          <w:tcPr>
            <w:tcW w:w="0" w:type="dxa"/>
            <w:vAlign w:val="bottom"/>
          </w:tcPr>
          <w:p>
            <w:pPr>
              <w:spacing w:after="0"/>
              <w:rPr>
                <w:sz w:val="1"/>
                <w:szCs w:val="1"/>
                <w:color w:val="auto"/>
              </w:rPr>
            </w:pPr>
          </w:p>
        </w:tc>
      </w:tr>
      <w:tr>
        <w:trPr>
          <w:trHeight w:val="281"/>
        </w:trPr>
        <w:tc>
          <w:tcPr>
            <w:tcW w:w="3400" w:type="dxa"/>
            <w:vAlign w:val="bottom"/>
            <w:tcBorders>
              <w:left w:val="single" w:sz="8" w:color="auto"/>
              <w:bottom w:val="single" w:sz="8" w:color="auto"/>
              <w:right w:val="single" w:sz="8" w:color="auto"/>
            </w:tcBorders>
          </w:tcPr>
          <w:p>
            <w:pPr>
              <w:ind w:left="60"/>
              <w:spacing w:after="0" w:line="281" w:lineRule="exact"/>
              <w:rPr>
                <w:sz w:val="20"/>
                <w:szCs w:val="20"/>
                <w:color w:val="auto"/>
              </w:rPr>
            </w:pPr>
            <w:r>
              <w:rPr>
                <w:rFonts w:ascii="Times New Roman" w:cs="Times New Roman" w:eastAsia="Times New Roman" w:hAnsi="Times New Roman"/>
                <w:sz w:val="18"/>
                <w:szCs w:val="18"/>
                <w:b w:val="1"/>
                <w:bCs w:val="1"/>
                <w:color w:val="auto"/>
              </w:rPr>
              <w:t>- Cyberjaya, Malaysia</w:t>
            </w:r>
            <w:r>
              <w:rPr>
                <w:rFonts w:ascii="Times New Roman" w:cs="Times New Roman" w:eastAsia="Times New Roman" w:hAnsi="Times New Roman"/>
                <w:sz w:val="29"/>
                <w:szCs w:val="29"/>
                <w:b w:val="1"/>
                <w:bCs w:val="1"/>
                <w:color w:val="auto"/>
                <w:vertAlign w:val="superscript"/>
              </w:rPr>
              <w:t>2</w:t>
            </w:r>
          </w:p>
        </w:tc>
        <w:tc>
          <w:tcPr>
            <w:tcW w:w="1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color w:val="auto"/>
              </w:rPr>
              <w:t>Online</w:t>
            </w:r>
          </w:p>
        </w:tc>
        <w:tc>
          <w:tcPr>
            <w:tcW w:w="2000" w:type="dxa"/>
            <w:vAlign w:val="bottom"/>
            <w:tcBorders>
              <w:bottom w:val="single" w:sz="8" w:color="auto"/>
              <w:right w:val="single" w:sz="8" w:color="auto"/>
            </w:tcBorders>
            <w:gridSpan w:val="2"/>
            <w:shd w:val="clear" w:color="auto" w:fill="F1F1F1"/>
          </w:tcPr>
          <w:p>
            <w:pPr>
              <w:ind w:left="20"/>
              <w:spacing w:after="0"/>
              <w:rPr>
                <w:sz w:val="20"/>
                <w:szCs w:val="20"/>
                <w:color w:val="auto"/>
              </w:rPr>
            </w:pPr>
            <w:r>
              <w:rPr>
                <w:rFonts w:ascii="Times New Roman" w:cs="Times New Roman" w:eastAsia="Times New Roman" w:hAnsi="Times New Roman"/>
                <w:sz w:val="18"/>
                <w:szCs w:val="18"/>
                <w:color w:val="auto"/>
              </w:rPr>
              <w:t>Completed</w:t>
            </w:r>
          </w:p>
        </w:tc>
        <w:tc>
          <w:tcPr>
            <w:tcW w:w="302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color w:val="auto"/>
              </w:rPr>
              <w:t>AI Cloud</w:t>
            </w:r>
          </w:p>
        </w:tc>
        <w:tc>
          <w:tcPr>
            <w:tcW w:w="0" w:type="dxa"/>
            <w:vAlign w:val="bottom"/>
          </w:tcPr>
          <w:p>
            <w:pPr>
              <w:spacing w:after="0"/>
              <w:rPr>
                <w:sz w:val="1"/>
                <w:szCs w:val="1"/>
                <w:color w:val="auto"/>
              </w:rPr>
            </w:pPr>
          </w:p>
        </w:tc>
      </w:tr>
      <w:tr>
        <w:trPr>
          <w:trHeight w:val="277"/>
        </w:trPr>
        <w:tc>
          <w:tcPr>
            <w:tcW w:w="3400" w:type="dxa"/>
            <w:vAlign w:val="bottom"/>
            <w:tcBorders>
              <w:left w:val="single" w:sz="8" w:color="auto"/>
              <w:bottom w:val="single" w:sz="8" w:color="auto"/>
              <w:right w:val="single" w:sz="8" w:color="auto"/>
            </w:tcBorders>
            <w:shd w:val="clear" w:color="auto" w:fill="1F3764"/>
          </w:tcPr>
          <w:p>
            <w:pPr>
              <w:ind w:left="60"/>
              <w:spacing w:after="0"/>
              <w:rPr>
                <w:sz w:val="20"/>
                <w:szCs w:val="20"/>
                <w:color w:val="auto"/>
              </w:rPr>
            </w:pPr>
            <w:r>
              <w:rPr>
                <w:rFonts w:ascii="Times New Roman" w:cs="Times New Roman" w:eastAsia="Times New Roman" w:hAnsi="Times New Roman"/>
                <w:sz w:val="18"/>
                <w:szCs w:val="18"/>
                <w:b w:val="1"/>
                <w:bCs w:val="1"/>
                <w:color w:val="FFFFFF"/>
              </w:rPr>
              <w:t>Total electrical capacity</w:t>
            </w:r>
          </w:p>
        </w:tc>
        <w:tc>
          <w:tcPr>
            <w:tcW w:w="1480" w:type="dxa"/>
            <w:vAlign w:val="bottom"/>
            <w:tcBorders>
              <w:bottom w:val="single" w:sz="8" w:color="auto"/>
              <w:right w:val="single" w:sz="8" w:color="auto"/>
            </w:tcBorders>
            <w:shd w:val="clear" w:color="auto" w:fill="1F3764"/>
          </w:tcPr>
          <w:p>
            <w:pPr>
              <w:ind w:left="40"/>
              <w:spacing w:after="0" w:line="277" w:lineRule="exact"/>
              <w:rPr>
                <w:sz w:val="20"/>
                <w:szCs w:val="20"/>
                <w:color w:val="auto"/>
              </w:rPr>
            </w:pPr>
            <w:r>
              <w:rPr>
                <w:rFonts w:ascii="Times New Roman" w:cs="Times New Roman" w:eastAsia="Times New Roman" w:hAnsi="Times New Roman"/>
                <w:sz w:val="18"/>
                <w:szCs w:val="18"/>
                <w:b w:val="1"/>
                <w:bCs w:val="1"/>
                <w:color w:val="FFFFFF"/>
              </w:rPr>
              <w:t>1,713</w:t>
            </w:r>
            <w:r>
              <w:rPr>
                <w:rFonts w:ascii="Times New Roman" w:cs="Times New Roman" w:eastAsia="Times New Roman" w:hAnsi="Times New Roman"/>
                <w:sz w:val="29"/>
                <w:szCs w:val="29"/>
                <w:b w:val="1"/>
                <w:bCs w:val="1"/>
                <w:color w:val="FFFFFF"/>
                <w:vertAlign w:val="superscript"/>
              </w:rPr>
              <w:t>2</w:t>
            </w:r>
          </w:p>
        </w:tc>
        <w:tc>
          <w:tcPr>
            <w:tcW w:w="1340" w:type="dxa"/>
            <w:vAlign w:val="bottom"/>
            <w:tcBorders>
              <w:bottom w:val="single" w:sz="8" w:color="auto"/>
              <w:right w:val="single" w:sz="8" w:color="auto"/>
            </w:tcBorders>
            <w:shd w:val="clear" w:color="auto" w:fill="1F3764"/>
          </w:tcPr>
          <w:p>
            <w:pPr>
              <w:spacing w:after="0"/>
              <w:rPr>
                <w:sz w:val="24"/>
                <w:szCs w:val="24"/>
                <w:color w:val="auto"/>
              </w:rPr>
            </w:pPr>
          </w:p>
        </w:tc>
        <w:tc>
          <w:tcPr>
            <w:tcW w:w="280" w:type="dxa"/>
            <w:vAlign w:val="bottom"/>
            <w:tcBorders>
              <w:bottom w:val="single" w:sz="8" w:color="auto"/>
            </w:tcBorders>
            <w:shd w:val="clear" w:color="auto" w:fill="1F3764"/>
          </w:tcPr>
          <w:p>
            <w:pPr>
              <w:spacing w:after="0"/>
              <w:rPr>
                <w:sz w:val="24"/>
                <w:szCs w:val="24"/>
                <w:color w:val="auto"/>
              </w:rPr>
            </w:pPr>
          </w:p>
        </w:tc>
        <w:tc>
          <w:tcPr>
            <w:tcW w:w="1720" w:type="dxa"/>
            <w:vAlign w:val="bottom"/>
            <w:tcBorders>
              <w:bottom w:val="single" w:sz="8" w:color="auto"/>
              <w:right w:val="single" w:sz="8" w:color="auto"/>
            </w:tcBorders>
            <w:shd w:val="clear" w:color="auto" w:fill="1F3764"/>
          </w:tcPr>
          <w:p>
            <w:pPr>
              <w:spacing w:after="0"/>
              <w:rPr>
                <w:sz w:val="24"/>
                <w:szCs w:val="24"/>
                <w:color w:val="auto"/>
              </w:rPr>
            </w:pPr>
          </w:p>
        </w:tc>
        <w:tc>
          <w:tcPr>
            <w:tcW w:w="3020" w:type="dxa"/>
            <w:vAlign w:val="bottom"/>
            <w:tcBorders>
              <w:bottom w:val="single" w:sz="8" w:color="auto"/>
              <w:right w:val="single" w:sz="8" w:color="auto"/>
            </w:tcBorders>
            <w:shd w:val="clear" w:color="auto" w:fill="1F3764"/>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bottom w:val="single" w:sz="8" w:color="auto"/>
              <w:right w:val="single" w:sz="8" w:color="auto"/>
            </w:tcBorders>
            <w:shd w:val="clear" w:color="auto" w:fill="F1F1F1"/>
          </w:tcPr>
          <w:p>
            <w:pPr>
              <w:ind w:left="60"/>
              <w:spacing w:after="0"/>
              <w:rPr>
                <w:sz w:val="20"/>
                <w:szCs w:val="20"/>
                <w:color w:val="auto"/>
              </w:rPr>
            </w:pPr>
            <w:r>
              <w:rPr>
                <w:rFonts w:ascii="Times New Roman" w:cs="Times New Roman" w:eastAsia="Times New Roman" w:hAnsi="Times New Roman"/>
                <w:sz w:val="18"/>
                <w:szCs w:val="18"/>
                <w:b w:val="1"/>
                <w:bCs w:val="1"/>
                <w:color w:val="auto"/>
              </w:rPr>
              <w:t>Pipeline capacity</w:t>
            </w:r>
          </w:p>
        </w:tc>
        <w:tc>
          <w:tcPr>
            <w:tcW w:w="1480" w:type="dxa"/>
            <w:vAlign w:val="bottom"/>
            <w:tcBorders>
              <w:bottom w:val="single" w:sz="8" w:color="auto"/>
              <w:right w:val="single" w:sz="8" w:color="auto"/>
            </w:tcBorders>
            <w:shd w:val="clear" w:color="auto" w:fill="F1F1F1"/>
          </w:tcPr>
          <w:p>
            <w:pPr>
              <w:spacing w:after="0"/>
              <w:rPr>
                <w:sz w:val="20"/>
                <w:szCs w:val="20"/>
                <w:color w:val="auto"/>
              </w:rPr>
            </w:pPr>
          </w:p>
        </w:tc>
        <w:tc>
          <w:tcPr>
            <w:tcW w:w="1340" w:type="dxa"/>
            <w:vAlign w:val="bottom"/>
            <w:tcBorders>
              <w:bottom w:val="single" w:sz="8" w:color="auto"/>
              <w:right w:val="single" w:sz="8" w:color="auto"/>
            </w:tcBorders>
            <w:shd w:val="clear" w:color="auto" w:fill="F1F1F1"/>
          </w:tcPr>
          <w:p>
            <w:pPr>
              <w:spacing w:after="0"/>
              <w:rPr>
                <w:sz w:val="20"/>
                <w:szCs w:val="20"/>
                <w:color w:val="auto"/>
              </w:rPr>
            </w:pPr>
          </w:p>
        </w:tc>
        <w:tc>
          <w:tcPr>
            <w:tcW w:w="280" w:type="dxa"/>
            <w:vAlign w:val="bottom"/>
            <w:tcBorders>
              <w:bottom w:val="single" w:sz="8" w:color="auto"/>
            </w:tcBorders>
            <w:shd w:val="clear" w:color="auto" w:fill="F1F1F1"/>
          </w:tcPr>
          <w:p>
            <w:pPr>
              <w:spacing w:after="0"/>
              <w:rPr>
                <w:sz w:val="20"/>
                <w:szCs w:val="20"/>
                <w:color w:val="auto"/>
              </w:rPr>
            </w:pPr>
          </w:p>
        </w:tc>
        <w:tc>
          <w:tcPr>
            <w:tcW w:w="1720" w:type="dxa"/>
            <w:vAlign w:val="bottom"/>
            <w:tcBorders>
              <w:bottom w:val="single" w:sz="8" w:color="auto"/>
              <w:right w:val="single" w:sz="8" w:color="auto"/>
            </w:tcBorders>
            <w:shd w:val="clear" w:color="auto" w:fill="F1F1F1"/>
          </w:tcPr>
          <w:p>
            <w:pPr>
              <w:spacing w:after="0"/>
              <w:rPr>
                <w:sz w:val="20"/>
                <w:szCs w:val="20"/>
                <w:color w:val="auto"/>
              </w:rPr>
            </w:pPr>
          </w:p>
        </w:tc>
        <w:tc>
          <w:tcPr>
            <w:tcW w:w="3020" w:type="dxa"/>
            <w:vAlign w:val="bottom"/>
            <w:tcBorders>
              <w:bottom w:val="single" w:sz="8" w:color="auto"/>
              <w:right w:val="single" w:sz="8" w:color="auto"/>
            </w:tcBorders>
            <w:shd w:val="clear" w:color="auto" w:fill="F1F1F1"/>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4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Oromia Region, Ethiopia</w:t>
            </w:r>
          </w:p>
        </w:tc>
        <w:tc>
          <w:tcPr>
            <w:tcW w:w="1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w:t>
            </w:r>
          </w:p>
        </w:tc>
        <w:tc>
          <w:tcPr>
            <w:tcW w:w="1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 progress</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Q1</w:t>
            </w:r>
          </w:p>
        </w:tc>
        <w:tc>
          <w:tcPr>
            <w:tcW w:w="17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Crypto</w:t>
            </w:r>
          </w:p>
        </w:tc>
        <w:tc>
          <w:tcPr>
            <w:tcW w:w="0" w:type="dxa"/>
            <w:vAlign w:val="bottom"/>
          </w:tcPr>
          <w:p>
            <w:pPr>
              <w:spacing w:after="0"/>
              <w:rPr>
                <w:sz w:val="1"/>
                <w:szCs w:val="1"/>
                <w:color w:val="auto"/>
              </w:rPr>
            </w:pPr>
          </w:p>
        </w:tc>
      </w:tr>
      <w:tr>
        <w:trPr>
          <w:trHeight w:val="236"/>
        </w:trPr>
        <w:tc>
          <w:tcPr>
            <w:tcW w:w="3400" w:type="dxa"/>
            <w:vAlign w:val="bottom"/>
            <w:tcBorders>
              <w:left w:val="single" w:sz="8" w:color="auto"/>
              <w:bottom w:val="single" w:sz="8" w:color="auto"/>
              <w:right w:val="single" w:sz="8" w:color="auto"/>
            </w:tcBorders>
            <w:shd w:val="clear" w:color="auto" w:fill="F1F1F1"/>
          </w:tcPr>
          <w:p>
            <w:pPr>
              <w:ind w:left="60"/>
              <w:spacing w:after="0"/>
              <w:rPr>
                <w:sz w:val="20"/>
                <w:szCs w:val="20"/>
                <w:color w:val="auto"/>
              </w:rPr>
            </w:pPr>
            <w:r>
              <w:rPr>
                <w:rFonts w:ascii="Times New Roman" w:cs="Times New Roman" w:eastAsia="Times New Roman" w:hAnsi="Times New Roman"/>
                <w:sz w:val="18"/>
                <w:szCs w:val="18"/>
                <w:color w:val="auto"/>
              </w:rPr>
              <w:t>- Massillon, Ohio</w:t>
            </w:r>
          </w:p>
        </w:tc>
        <w:tc>
          <w:tcPr>
            <w:tcW w:w="148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color w:val="auto"/>
              </w:rPr>
              <w:t>95 / 26</w:t>
            </w:r>
          </w:p>
        </w:tc>
        <w:tc>
          <w:tcPr>
            <w:tcW w:w="134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color w:val="auto"/>
              </w:rPr>
              <w:t>In progress</w:t>
            </w:r>
          </w:p>
        </w:tc>
        <w:tc>
          <w:tcPr>
            <w:tcW w:w="280" w:type="dxa"/>
            <w:vAlign w:val="bottom"/>
            <w:tcBorders>
              <w:bottom w:val="single" w:sz="8" w:color="auto"/>
            </w:tcBorders>
            <w:shd w:val="clear" w:color="auto" w:fill="F1F1F1"/>
          </w:tcPr>
          <w:p>
            <w:pPr>
              <w:ind w:left="20"/>
              <w:spacing w:after="0"/>
              <w:rPr>
                <w:sz w:val="20"/>
                <w:szCs w:val="20"/>
                <w:color w:val="auto"/>
              </w:rPr>
            </w:pPr>
            <w:r>
              <w:rPr>
                <w:rFonts w:ascii="Times New Roman" w:cs="Times New Roman" w:eastAsia="Times New Roman" w:hAnsi="Times New Roman"/>
                <w:sz w:val="18"/>
                <w:szCs w:val="18"/>
                <w:color w:val="auto"/>
              </w:rPr>
              <w:t>Q2</w:t>
            </w:r>
          </w:p>
        </w:tc>
        <w:tc>
          <w:tcPr>
            <w:tcW w:w="1720" w:type="dxa"/>
            <w:vAlign w:val="bottom"/>
            <w:tcBorders>
              <w:bottom w:val="single" w:sz="8" w:color="auto"/>
              <w:right w:val="single" w:sz="8" w:color="auto"/>
            </w:tcBorders>
            <w:shd w:val="clear" w:color="auto" w:fill="F1F1F1"/>
          </w:tcPr>
          <w:p>
            <w:pPr>
              <w:ind w:left="20"/>
              <w:spacing w:after="0"/>
              <w:rPr>
                <w:sz w:val="20"/>
                <w:szCs w:val="20"/>
                <w:color w:val="auto"/>
              </w:rPr>
            </w:pPr>
            <w:r>
              <w:rPr>
                <w:rFonts w:ascii="Times New Roman" w:cs="Times New Roman" w:eastAsia="Times New Roman" w:hAnsi="Times New Roman"/>
                <w:sz w:val="18"/>
                <w:szCs w:val="18"/>
                <w:color w:val="auto"/>
              </w:rPr>
              <w:t>2026/TBD</w:t>
            </w:r>
          </w:p>
        </w:tc>
        <w:tc>
          <w:tcPr>
            <w:tcW w:w="302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color w:val="auto"/>
              </w:rPr>
              <w:t>Crypto</w:t>
            </w:r>
          </w:p>
        </w:tc>
        <w:tc>
          <w:tcPr>
            <w:tcW w:w="0" w:type="dxa"/>
            <w:vAlign w:val="bottom"/>
          </w:tcPr>
          <w:p>
            <w:pPr>
              <w:spacing w:after="0"/>
              <w:rPr>
                <w:sz w:val="1"/>
                <w:szCs w:val="1"/>
                <w:color w:val="auto"/>
              </w:rPr>
            </w:pPr>
          </w:p>
        </w:tc>
      </w:tr>
      <w:tr>
        <w:trPr>
          <w:trHeight w:val="236"/>
        </w:trPr>
        <w:tc>
          <w:tcPr>
            <w:tcW w:w="34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Clarington, Ohio</w:t>
            </w:r>
          </w:p>
        </w:tc>
        <w:tc>
          <w:tcPr>
            <w:tcW w:w="1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570</w:t>
            </w:r>
          </w:p>
        </w:tc>
        <w:tc>
          <w:tcPr>
            <w:tcW w:w="1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 progress</w:t>
            </w:r>
          </w:p>
        </w:tc>
        <w:tc>
          <w:tcPr>
            <w:tcW w:w="200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 be updated</w:t>
            </w:r>
          </w:p>
        </w:tc>
        <w:tc>
          <w:tcPr>
            <w:tcW w:w="3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Colocation</w:t>
            </w:r>
          </w:p>
        </w:tc>
        <w:tc>
          <w:tcPr>
            <w:tcW w:w="0" w:type="dxa"/>
            <w:vAlign w:val="bottom"/>
          </w:tcPr>
          <w:p>
            <w:pPr>
              <w:spacing w:after="0"/>
              <w:rPr>
                <w:sz w:val="1"/>
                <w:szCs w:val="1"/>
                <w:color w:val="auto"/>
              </w:rPr>
            </w:pPr>
          </w:p>
        </w:tc>
      </w:tr>
      <w:tr>
        <w:trPr>
          <w:trHeight w:val="236"/>
        </w:trPr>
        <w:tc>
          <w:tcPr>
            <w:tcW w:w="3400" w:type="dxa"/>
            <w:vAlign w:val="bottom"/>
            <w:tcBorders>
              <w:left w:val="single" w:sz="8" w:color="auto"/>
              <w:bottom w:val="single" w:sz="8" w:color="auto"/>
              <w:right w:val="single" w:sz="8" w:color="auto"/>
            </w:tcBorders>
            <w:shd w:val="clear" w:color="auto" w:fill="F1F1F1"/>
          </w:tcPr>
          <w:p>
            <w:pPr>
              <w:ind w:left="60"/>
              <w:spacing w:after="0"/>
              <w:rPr>
                <w:sz w:val="20"/>
                <w:szCs w:val="20"/>
                <w:color w:val="auto"/>
              </w:rPr>
            </w:pPr>
            <w:r>
              <w:rPr>
                <w:rFonts w:ascii="Times New Roman" w:cs="Times New Roman" w:eastAsia="Times New Roman" w:hAnsi="Times New Roman"/>
                <w:sz w:val="18"/>
                <w:szCs w:val="18"/>
                <w:color w:val="auto"/>
              </w:rPr>
              <w:t>- Niles, Ohio</w:t>
            </w:r>
          </w:p>
        </w:tc>
        <w:tc>
          <w:tcPr>
            <w:tcW w:w="148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color w:val="auto"/>
              </w:rPr>
              <w:t>300</w:t>
            </w:r>
          </w:p>
        </w:tc>
        <w:tc>
          <w:tcPr>
            <w:tcW w:w="134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color w:val="auto"/>
              </w:rPr>
              <w:t>In progress</w:t>
            </w:r>
          </w:p>
        </w:tc>
        <w:tc>
          <w:tcPr>
            <w:tcW w:w="280" w:type="dxa"/>
            <w:vAlign w:val="bottom"/>
            <w:tcBorders>
              <w:bottom w:val="single" w:sz="8" w:color="auto"/>
            </w:tcBorders>
            <w:shd w:val="clear" w:color="auto" w:fill="F1F1F1"/>
          </w:tcPr>
          <w:p>
            <w:pPr>
              <w:ind w:left="20"/>
              <w:spacing w:after="0"/>
              <w:rPr>
                <w:sz w:val="20"/>
                <w:szCs w:val="20"/>
                <w:color w:val="auto"/>
              </w:rPr>
            </w:pPr>
            <w:r>
              <w:rPr>
                <w:rFonts w:ascii="Times New Roman" w:cs="Times New Roman" w:eastAsia="Times New Roman" w:hAnsi="Times New Roman"/>
                <w:sz w:val="18"/>
                <w:szCs w:val="18"/>
                <w:color w:val="auto"/>
              </w:rPr>
              <w:t>Q4</w:t>
            </w:r>
          </w:p>
        </w:tc>
        <w:tc>
          <w:tcPr>
            <w:tcW w:w="1720" w:type="dxa"/>
            <w:vAlign w:val="bottom"/>
            <w:tcBorders>
              <w:bottom w:val="single" w:sz="8" w:color="auto"/>
              <w:right w:val="single" w:sz="8" w:color="auto"/>
            </w:tcBorders>
            <w:shd w:val="clear" w:color="auto" w:fill="F1F1F1"/>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2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color w:val="auto"/>
              </w:rPr>
              <w:t>Colocation or AI Cloud</w:t>
            </w:r>
          </w:p>
        </w:tc>
        <w:tc>
          <w:tcPr>
            <w:tcW w:w="0" w:type="dxa"/>
            <w:vAlign w:val="bottom"/>
          </w:tcPr>
          <w:p>
            <w:pPr>
              <w:spacing w:after="0"/>
              <w:rPr>
                <w:sz w:val="1"/>
                <w:szCs w:val="1"/>
                <w:color w:val="auto"/>
              </w:rPr>
            </w:pP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4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Rockdale, Texas</w:t>
            </w:r>
          </w:p>
        </w:tc>
        <w:tc>
          <w:tcPr>
            <w:tcW w:w="14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179</w:t>
            </w:r>
          </w:p>
        </w:tc>
        <w:tc>
          <w:tcPr>
            <w:tcW w:w="13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In planning</w:t>
            </w:r>
          </w:p>
        </w:tc>
        <w:tc>
          <w:tcPr>
            <w:tcW w:w="200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Estimate 2026</w:t>
            </w:r>
          </w:p>
        </w:tc>
        <w:tc>
          <w:tcPr>
            <w:tcW w:w="3020" w:type="dxa"/>
            <w:vAlign w:val="bottom"/>
            <w:tcBorders>
              <w:right w:val="single" w:sz="8" w:color="auto"/>
            </w:tcBorders>
          </w:tcPr>
          <w:p>
            <w:pPr>
              <w:ind w:left="40"/>
              <w:spacing w:after="0" w:line="205" w:lineRule="exact"/>
              <w:rPr>
                <w:sz w:val="20"/>
                <w:szCs w:val="20"/>
                <w:color w:val="auto"/>
              </w:rPr>
            </w:pPr>
            <w:r>
              <w:rPr>
                <w:rFonts w:ascii="Times New Roman" w:cs="Times New Roman" w:eastAsia="Times New Roman" w:hAnsi="Times New Roman"/>
                <w:sz w:val="18"/>
                <w:szCs w:val="18"/>
                <w:color w:val="auto"/>
              </w:rPr>
              <w:t>Evaluating converting to Colocation or</w:t>
            </w:r>
          </w:p>
        </w:tc>
        <w:tc>
          <w:tcPr>
            <w:tcW w:w="0" w:type="dxa"/>
            <w:vAlign w:val="bottom"/>
          </w:tcPr>
          <w:p>
            <w:pPr>
              <w:spacing w:after="0"/>
              <w:rPr>
                <w:sz w:val="1"/>
                <w:szCs w:val="1"/>
                <w:color w:val="auto"/>
              </w:rPr>
            </w:pPr>
          </w:p>
        </w:tc>
      </w:tr>
      <w:tr>
        <w:trPr>
          <w:trHeight w:val="126"/>
        </w:trPr>
        <w:tc>
          <w:tcPr>
            <w:tcW w:w="3400" w:type="dxa"/>
            <w:vAlign w:val="bottom"/>
            <w:tcBorders>
              <w:left w:val="single" w:sz="8" w:color="auto"/>
              <w:right w:val="single" w:sz="8" w:color="auto"/>
            </w:tcBorders>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2000" w:type="dxa"/>
            <w:vAlign w:val="bottom"/>
            <w:tcBorders>
              <w:right w:val="single" w:sz="8" w:color="auto"/>
            </w:tcBorders>
            <w:gridSpan w:val="2"/>
            <w:vMerge w:val="continue"/>
          </w:tcPr>
          <w:p>
            <w:pPr>
              <w:spacing w:after="0"/>
              <w:rPr>
                <w:sz w:val="10"/>
                <w:szCs w:val="10"/>
                <w:color w:val="auto"/>
              </w:rPr>
            </w:pPr>
          </w:p>
        </w:tc>
        <w:tc>
          <w:tcPr>
            <w:tcW w:w="30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AI Cloud</w:t>
            </w:r>
          </w:p>
        </w:tc>
        <w:tc>
          <w:tcPr>
            <w:tcW w:w="0" w:type="dxa"/>
            <w:vAlign w:val="bottom"/>
          </w:tcPr>
          <w:p>
            <w:pPr>
              <w:spacing w:after="0"/>
              <w:rPr>
                <w:sz w:val="1"/>
                <w:szCs w:val="1"/>
                <w:color w:val="auto"/>
              </w:rPr>
            </w:pPr>
          </w:p>
        </w:tc>
      </w:tr>
      <w:tr>
        <w:trPr>
          <w:trHeight w:val="115"/>
        </w:trPr>
        <w:tc>
          <w:tcPr>
            <w:tcW w:w="3400" w:type="dxa"/>
            <w:vAlign w:val="bottom"/>
            <w:tcBorders>
              <w:left w:val="single" w:sz="8" w:color="auto"/>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30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3400" w:type="dxa"/>
            <w:vAlign w:val="bottom"/>
            <w:tcBorders>
              <w:left w:val="single" w:sz="8" w:color="auto"/>
              <w:bottom w:val="single" w:sz="8" w:color="auto"/>
              <w:right w:val="single" w:sz="8" w:color="auto"/>
            </w:tcBorders>
            <w:shd w:val="clear" w:color="auto" w:fill="F1F1F1"/>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Alberta, Canada</w:t>
            </w:r>
          </w:p>
        </w:tc>
        <w:tc>
          <w:tcPr>
            <w:tcW w:w="148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34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color w:val="auto"/>
              </w:rPr>
              <w:t>In planning</w:t>
            </w:r>
          </w:p>
        </w:tc>
        <w:tc>
          <w:tcPr>
            <w:tcW w:w="280" w:type="dxa"/>
            <w:vAlign w:val="bottom"/>
            <w:tcBorders>
              <w:bottom w:val="single" w:sz="8" w:color="auto"/>
            </w:tcBorders>
            <w:shd w:val="clear" w:color="auto" w:fill="F1F1F1"/>
          </w:tcPr>
          <w:p>
            <w:pPr>
              <w:ind w:left="20"/>
              <w:spacing w:after="0"/>
              <w:rPr>
                <w:sz w:val="20"/>
                <w:szCs w:val="20"/>
                <w:color w:val="auto"/>
              </w:rPr>
            </w:pPr>
            <w:r>
              <w:rPr>
                <w:rFonts w:ascii="Times New Roman" w:cs="Times New Roman" w:eastAsia="Times New Roman" w:hAnsi="Times New Roman"/>
                <w:sz w:val="18"/>
                <w:szCs w:val="18"/>
                <w:color w:val="auto"/>
              </w:rPr>
              <w:t>Q2</w:t>
            </w:r>
          </w:p>
        </w:tc>
        <w:tc>
          <w:tcPr>
            <w:tcW w:w="1720" w:type="dxa"/>
            <w:vAlign w:val="bottom"/>
            <w:tcBorders>
              <w:bottom w:val="single" w:sz="8" w:color="auto"/>
              <w:right w:val="single" w:sz="8" w:color="auto"/>
            </w:tcBorders>
            <w:shd w:val="clear" w:color="auto" w:fill="F1F1F1"/>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2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color w:val="auto"/>
              </w:rPr>
              <w:t>Crypto</w:t>
            </w:r>
          </w:p>
        </w:tc>
        <w:tc>
          <w:tcPr>
            <w:tcW w:w="0" w:type="dxa"/>
            <w:vAlign w:val="bottom"/>
          </w:tcPr>
          <w:p>
            <w:pPr>
              <w:spacing w:after="0"/>
              <w:rPr>
                <w:sz w:val="1"/>
                <w:szCs w:val="1"/>
                <w:color w:val="auto"/>
              </w:rPr>
            </w:pPr>
          </w:p>
        </w:tc>
      </w:tr>
      <w:tr>
        <w:trPr>
          <w:trHeight w:val="279"/>
        </w:trPr>
        <w:tc>
          <w:tcPr>
            <w:tcW w:w="3400" w:type="dxa"/>
            <w:vAlign w:val="bottom"/>
            <w:tcBorders>
              <w:left w:val="single" w:sz="8" w:color="auto"/>
              <w:bottom w:val="single" w:sz="8" w:color="auto"/>
              <w:right w:val="single" w:sz="8" w:color="auto"/>
            </w:tcBorders>
          </w:tcPr>
          <w:p>
            <w:pPr>
              <w:ind w:left="60"/>
              <w:spacing w:after="0" w:line="280" w:lineRule="exact"/>
              <w:rPr>
                <w:sz w:val="20"/>
                <w:szCs w:val="20"/>
                <w:color w:val="auto"/>
              </w:rPr>
            </w:pPr>
            <w:r>
              <w:rPr>
                <w:rFonts w:ascii="Times New Roman" w:cs="Times New Roman" w:eastAsia="Times New Roman" w:hAnsi="Times New Roman"/>
                <w:sz w:val="18"/>
                <w:szCs w:val="18"/>
                <w:b w:val="1"/>
                <w:bCs w:val="1"/>
                <w:color w:val="auto"/>
              </w:rPr>
              <w:t>- Cyberjaya, Malaysia</w:t>
            </w:r>
            <w:r>
              <w:rPr>
                <w:rFonts w:ascii="Times New Roman" w:cs="Times New Roman" w:eastAsia="Times New Roman" w:hAnsi="Times New Roman"/>
                <w:sz w:val="29"/>
                <w:szCs w:val="29"/>
                <w:b w:val="1"/>
                <w:bCs w:val="1"/>
                <w:color w:val="auto"/>
                <w:vertAlign w:val="superscript"/>
              </w:rPr>
              <w:t>2</w:t>
            </w:r>
          </w:p>
        </w:tc>
        <w:tc>
          <w:tcPr>
            <w:tcW w:w="1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9.5</w:t>
            </w:r>
          </w:p>
        </w:tc>
        <w:tc>
          <w:tcPr>
            <w:tcW w:w="1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 progress</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Q4</w:t>
            </w:r>
          </w:p>
        </w:tc>
        <w:tc>
          <w:tcPr>
            <w:tcW w:w="17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AI Cloud</w:t>
            </w: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bottom w:val="single" w:sz="8" w:color="auto"/>
              <w:right w:val="single" w:sz="8" w:color="auto"/>
            </w:tcBorders>
            <w:shd w:val="clear" w:color="auto" w:fill="1F3764"/>
          </w:tcPr>
          <w:p>
            <w:pPr>
              <w:ind w:left="60"/>
              <w:spacing w:after="0"/>
              <w:rPr>
                <w:sz w:val="20"/>
                <w:szCs w:val="20"/>
                <w:color w:val="auto"/>
              </w:rPr>
            </w:pPr>
            <w:r>
              <w:rPr>
                <w:rFonts w:ascii="Times New Roman" w:cs="Times New Roman" w:eastAsia="Times New Roman" w:hAnsi="Times New Roman"/>
                <w:sz w:val="18"/>
                <w:szCs w:val="18"/>
                <w:b w:val="1"/>
                <w:bCs w:val="1"/>
                <w:color w:val="FFFFFF"/>
              </w:rPr>
              <w:t>Total pipeline capacity</w:t>
            </w:r>
          </w:p>
        </w:tc>
        <w:tc>
          <w:tcPr>
            <w:tcW w:w="1480" w:type="dxa"/>
            <w:vAlign w:val="bottom"/>
            <w:tcBorders>
              <w:bottom w:val="single" w:sz="8" w:color="auto"/>
              <w:right w:val="single" w:sz="8" w:color="auto"/>
            </w:tcBorders>
            <w:shd w:val="clear" w:color="auto" w:fill="1F3764"/>
          </w:tcPr>
          <w:p>
            <w:pPr>
              <w:ind w:left="40"/>
              <w:spacing w:after="0"/>
              <w:rPr>
                <w:sz w:val="20"/>
                <w:szCs w:val="20"/>
                <w:color w:val="auto"/>
              </w:rPr>
            </w:pPr>
            <w:r>
              <w:rPr>
                <w:rFonts w:ascii="Times New Roman" w:cs="Times New Roman" w:eastAsia="Times New Roman" w:hAnsi="Times New Roman"/>
                <w:sz w:val="18"/>
                <w:szCs w:val="18"/>
                <w:b w:val="1"/>
                <w:bCs w:val="1"/>
                <w:color w:val="FFFFFF"/>
              </w:rPr>
              <w:t>1,300.5</w:t>
            </w:r>
          </w:p>
        </w:tc>
        <w:tc>
          <w:tcPr>
            <w:tcW w:w="1340" w:type="dxa"/>
            <w:vAlign w:val="bottom"/>
            <w:tcBorders>
              <w:bottom w:val="single" w:sz="8" w:color="auto"/>
              <w:right w:val="single" w:sz="8" w:color="auto"/>
            </w:tcBorders>
            <w:shd w:val="clear" w:color="auto" w:fill="1F3764"/>
          </w:tcPr>
          <w:p>
            <w:pPr>
              <w:spacing w:after="0"/>
              <w:rPr>
                <w:sz w:val="20"/>
                <w:szCs w:val="20"/>
                <w:color w:val="auto"/>
              </w:rPr>
            </w:pPr>
          </w:p>
        </w:tc>
        <w:tc>
          <w:tcPr>
            <w:tcW w:w="280" w:type="dxa"/>
            <w:vAlign w:val="bottom"/>
            <w:tcBorders>
              <w:bottom w:val="single" w:sz="8" w:color="auto"/>
            </w:tcBorders>
            <w:shd w:val="clear" w:color="auto" w:fill="1F3764"/>
          </w:tcPr>
          <w:p>
            <w:pPr>
              <w:spacing w:after="0"/>
              <w:rPr>
                <w:sz w:val="20"/>
                <w:szCs w:val="20"/>
                <w:color w:val="auto"/>
              </w:rPr>
            </w:pPr>
          </w:p>
        </w:tc>
        <w:tc>
          <w:tcPr>
            <w:tcW w:w="1720" w:type="dxa"/>
            <w:vAlign w:val="bottom"/>
            <w:tcBorders>
              <w:bottom w:val="single" w:sz="8" w:color="auto"/>
              <w:right w:val="single" w:sz="8" w:color="auto"/>
            </w:tcBorders>
            <w:shd w:val="clear" w:color="auto" w:fill="1F3764"/>
          </w:tcPr>
          <w:p>
            <w:pPr>
              <w:spacing w:after="0"/>
              <w:rPr>
                <w:sz w:val="20"/>
                <w:szCs w:val="20"/>
                <w:color w:val="auto"/>
              </w:rPr>
            </w:pPr>
          </w:p>
        </w:tc>
        <w:tc>
          <w:tcPr>
            <w:tcW w:w="3020" w:type="dxa"/>
            <w:vAlign w:val="bottom"/>
            <w:tcBorders>
              <w:bottom w:val="single" w:sz="8" w:color="auto"/>
              <w:right w:val="single" w:sz="8" w:color="auto"/>
            </w:tcBorders>
            <w:shd w:val="clear" w:color="auto" w:fill="1F376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00" w:type="dxa"/>
            <w:vAlign w:val="bottom"/>
            <w:tcBorders>
              <w:left w:val="single" w:sz="8" w:color="auto"/>
              <w:bottom w:val="single" w:sz="8" w:color="auto"/>
              <w:right w:val="single" w:sz="8" w:color="auto"/>
            </w:tcBorders>
            <w:shd w:val="clear" w:color="auto" w:fill="1F3764"/>
          </w:tcPr>
          <w:p>
            <w:pPr>
              <w:ind w:left="60"/>
              <w:spacing w:after="0"/>
              <w:rPr>
                <w:sz w:val="20"/>
                <w:szCs w:val="20"/>
                <w:color w:val="auto"/>
              </w:rPr>
            </w:pPr>
            <w:r>
              <w:rPr>
                <w:rFonts w:ascii="Times New Roman" w:cs="Times New Roman" w:eastAsia="Times New Roman" w:hAnsi="Times New Roman"/>
                <w:sz w:val="18"/>
                <w:szCs w:val="18"/>
                <w:b w:val="1"/>
                <w:bCs w:val="1"/>
                <w:color w:val="FFFFFF"/>
              </w:rPr>
              <w:t>Total global electrical capacity</w:t>
            </w:r>
          </w:p>
        </w:tc>
        <w:tc>
          <w:tcPr>
            <w:tcW w:w="1480" w:type="dxa"/>
            <w:vAlign w:val="bottom"/>
            <w:tcBorders>
              <w:bottom w:val="single" w:sz="8" w:color="auto"/>
              <w:right w:val="single" w:sz="8" w:color="auto"/>
            </w:tcBorders>
            <w:shd w:val="clear" w:color="auto" w:fill="1F3764"/>
          </w:tcPr>
          <w:p>
            <w:pPr>
              <w:ind w:left="40"/>
              <w:spacing w:after="0"/>
              <w:rPr>
                <w:sz w:val="20"/>
                <w:szCs w:val="20"/>
                <w:color w:val="auto"/>
              </w:rPr>
            </w:pPr>
            <w:r>
              <w:rPr>
                <w:rFonts w:ascii="Times New Roman" w:cs="Times New Roman" w:eastAsia="Times New Roman" w:hAnsi="Times New Roman"/>
                <w:sz w:val="18"/>
                <w:szCs w:val="18"/>
                <w:b w:val="1"/>
                <w:bCs w:val="1"/>
                <w:color w:val="FFFFFF"/>
              </w:rPr>
              <w:t>3,013.5</w:t>
            </w:r>
          </w:p>
        </w:tc>
        <w:tc>
          <w:tcPr>
            <w:tcW w:w="1340" w:type="dxa"/>
            <w:vAlign w:val="bottom"/>
            <w:tcBorders>
              <w:bottom w:val="single" w:sz="8" w:color="auto"/>
              <w:right w:val="single" w:sz="8" w:color="auto"/>
            </w:tcBorders>
            <w:shd w:val="clear" w:color="auto" w:fill="1F3764"/>
          </w:tcPr>
          <w:p>
            <w:pPr>
              <w:spacing w:after="0"/>
              <w:rPr>
                <w:sz w:val="20"/>
                <w:szCs w:val="20"/>
                <w:color w:val="auto"/>
              </w:rPr>
            </w:pPr>
          </w:p>
        </w:tc>
        <w:tc>
          <w:tcPr>
            <w:tcW w:w="280" w:type="dxa"/>
            <w:vAlign w:val="bottom"/>
            <w:tcBorders>
              <w:bottom w:val="single" w:sz="8" w:color="auto"/>
            </w:tcBorders>
            <w:shd w:val="clear" w:color="auto" w:fill="1F3764"/>
          </w:tcPr>
          <w:p>
            <w:pPr>
              <w:spacing w:after="0"/>
              <w:rPr>
                <w:sz w:val="20"/>
                <w:szCs w:val="20"/>
                <w:color w:val="auto"/>
              </w:rPr>
            </w:pPr>
          </w:p>
        </w:tc>
        <w:tc>
          <w:tcPr>
            <w:tcW w:w="1720" w:type="dxa"/>
            <w:vAlign w:val="bottom"/>
            <w:tcBorders>
              <w:bottom w:val="single" w:sz="8" w:color="auto"/>
              <w:right w:val="single" w:sz="8" w:color="auto"/>
            </w:tcBorders>
            <w:shd w:val="clear" w:color="auto" w:fill="1F3764"/>
          </w:tcPr>
          <w:p>
            <w:pPr>
              <w:spacing w:after="0"/>
              <w:rPr>
                <w:sz w:val="20"/>
                <w:szCs w:val="20"/>
                <w:color w:val="auto"/>
              </w:rPr>
            </w:pPr>
          </w:p>
        </w:tc>
        <w:tc>
          <w:tcPr>
            <w:tcW w:w="3020" w:type="dxa"/>
            <w:vAlign w:val="bottom"/>
            <w:tcBorders>
              <w:bottom w:val="single" w:sz="8" w:color="auto"/>
              <w:right w:val="single" w:sz="8" w:color="auto"/>
            </w:tcBorders>
            <w:shd w:val="clear" w:color="auto" w:fill="1F3764"/>
          </w:tcPr>
          <w:p>
            <w:pPr>
              <w:spacing w:after="0"/>
              <w:rPr>
                <w:sz w:val="20"/>
                <w:szCs w:val="20"/>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Indicative timing for completion of power. All timing references are to calendar quarters and years.</w:t>
      </w:r>
    </w:p>
    <w:p>
      <w:pPr>
        <w:spacing w:after="0" w:line="87"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Capacity under lease arrangement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Production and Operations Summary:</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280" w:type="dxa"/>
            <w:vAlign w:val="bottom"/>
            <w:tcBorders>
              <w:top w:val="single" w:sz="8" w:color="auto"/>
              <w:left w:val="single" w:sz="8" w:color="auto"/>
              <w:bottom w:val="single" w:sz="8" w:color="auto"/>
              <w:right w:val="single" w:sz="8" w:color="auto"/>
            </w:tcBorders>
            <w:shd w:val="clear" w:color="auto" w:fill="002060"/>
          </w:tcPr>
          <w:p>
            <w:pPr>
              <w:ind w:left="60"/>
              <w:spacing w:after="0"/>
              <w:rPr>
                <w:sz w:val="20"/>
                <w:szCs w:val="20"/>
                <w:color w:val="auto"/>
              </w:rPr>
            </w:pPr>
            <w:r>
              <w:rPr>
                <w:rFonts w:ascii="Times New Roman" w:cs="Times New Roman" w:eastAsia="Times New Roman" w:hAnsi="Times New Roman"/>
                <w:sz w:val="18"/>
                <w:szCs w:val="18"/>
                <w:b w:val="1"/>
                <w:bCs w:val="1"/>
                <w:color w:val="FFFFFF"/>
              </w:rPr>
              <w:t>Metrics</w:t>
            </w:r>
          </w:p>
        </w:tc>
        <w:tc>
          <w:tcPr>
            <w:tcW w:w="2600" w:type="dxa"/>
            <w:vAlign w:val="bottom"/>
            <w:tcBorders>
              <w:top w:val="single" w:sz="8" w:color="auto"/>
              <w:bottom w:val="single" w:sz="8" w:color="auto"/>
              <w:right w:val="single" w:sz="8" w:color="auto"/>
            </w:tcBorders>
            <w:shd w:val="clear" w:color="auto" w:fill="002060"/>
          </w:tcPr>
          <w:p>
            <w:pPr>
              <w:ind w:left="740"/>
              <w:spacing w:after="0"/>
              <w:rPr>
                <w:sz w:val="20"/>
                <w:szCs w:val="20"/>
                <w:color w:val="auto"/>
              </w:rPr>
            </w:pPr>
            <w:r>
              <w:rPr>
                <w:rFonts w:ascii="Times New Roman" w:cs="Times New Roman" w:eastAsia="Times New Roman" w:hAnsi="Times New Roman"/>
                <w:sz w:val="18"/>
                <w:szCs w:val="18"/>
                <w:b w:val="1"/>
                <w:bCs w:val="1"/>
                <w:color w:val="FFFFFF"/>
              </w:rPr>
              <w:t>February 2026</w:t>
            </w:r>
          </w:p>
        </w:tc>
        <w:tc>
          <w:tcPr>
            <w:tcW w:w="2680" w:type="dxa"/>
            <w:vAlign w:val="bottom"/>
            <w:tcBorders>
              <w:top w:val="single" w:sz="8" w:color="auto"/>
              <w:bottom w:val="single" w:sz="8" w:color="auto"/>
              <w:right w:val="single" w:sz="8" w:color="auto"/>
            </w:tcBorders>
            <w:shd w:val="clear" w:color="auto" w:fill="002060"/>
          </w:tcPr>
          <w:p>
            <w:pPr>
              <w:ind w:left="820"/>
              <w:spacing w:after="0"/>
              <w:rPr>
                <w:sz w:val="20"/>
                <w:szCs w:val="20"/>
                <w:color w:val="auto"/>
              </w:rPr>
            </w:pPr>
            <w:r>
              <w:rPr>
                <w:rFonts w:ascii="Times New Roman" w:cs="Times New Roman" w:eastAsia="Times New Roman" w:hAnsi="Times New Roman"/>
                <w:sz w:val="18"/>
                <w:szCs w:val="18"/>
                <w:b w:val="1"/>
                <w:bCs w:val="1"/>
                <w:color w:val="FFFFFF"/>
              </w:rPr>
              <w:t>January 2026</w:t>
            </w:r>
          </w:p>
        </w:tc>
        <w:tc>
          <w:tcPr>
            <w:tcW w:w="2680" w:type="dxa"/>
            <w:vAlign w:val="bottom"/>
            <w:tcBorders>
              <w:top w:val="single" w:sz="8" w:color="auto"/>
              <w:bottom w:val="single" w:sz="8" w:color="auto"/>
              <w:right w:val="single" w:sz="8" w:color="auto"/>
            </w:tcBorders>
            <w:shd w:val="clear" w:color="auto" w:fill="002060"/>
          </w:tcPr>
          <w:p>
            <w:pPr>
              <w:ind w:left="780"/>
              <w:spacing w:after="0"/>
              <w:rPr>
                <w:sz w:val="20"/>
                <w:szCs w:val="20"/>
                <w:color w:val="auto"/>
              </w:rPr>
            </w:pPr>
            <w:r>
              <w:rPr>
                <w:rFonts w:ascii="Times New Roman" w:cs="Times New Roman" w:eastAsia="Times New Roman" w:hAnsi="Times New Roman"/>
                <w:sz w:val="18"/>
                <w:szCs w:val="18"/>
                <w:b w:val="1"/>
                <w:bCs w:val="1"/>
                <w:color w:val="FFFFFF"/>
              </w:rPr>
              <w:t>February 2025</w:t>
            </w:r>
          </w:p>
        </w:tc>
        <w:tc>
          <w:tcPr>
            <w:tcW w:w="0" w:type="dxa"/>
            <w:vAlign w:val="bottom"/>
          </w:tcPr>
          <w:p>
            <w:pPr>
              <w:spacing w:after="0"/>
              <w:rPr>
                <w:sz w:val="1"/>
                <w:szCs w:val="1"/>
                <w:color w:val="auto"/>
              </w:rPr>
            </w:pPr>
          </w:p>
        </w:tc>
      </w:tr>
      <w:tr>
        <w:trPr>
          <w:trHeight w:val="248"/>
        </w:trPr>
        <w:tc>
          <w:tcPr>
            <w:tcW w:w="3280" w:type="dxa"/>
            <w:vAlign w:val="bottom"/>
            <w:tcBorders>
              <w:left w:val="single" w:sz="8" w:color="auto"/>
              <w:right w:val="single" w:sz="8" w:color="auto"/>
            </w:tcBorders>
            <w:shd w:val="clear" w:color="auto" w:fill="F1F1F1"/>
          </w:tcPr>
          <w:p>
            <w:pPr>
              <w:ind w:left="60"/>
              <w:spacing w:after="0" w:line="247" w:lineRule="exact"/>
              <w:rPr>
                <w:sz w:val="20"/>
                <w:szCs w:val="20"/>
                <w:color w:val="auto"/>
              </w:rPr>
            </w:pPr>
            <w:r>
              <w:rPr>
                <w:rFonts w:ascii="Times New Roman" w:cs="Times New Roman" w:eastAsia="Times New Roman" w:hAnsi="Times New Roman"/>
                <w:sz w:val="17"/>
                <w:szCs w:val="17"/>
                <w:b w:val="1"/>
                <w:bCs w:val="1"/>
                <w:color w:val="auto"/>
              </w:rPr>
              <w:t>Total hash rate under management</w:t>
            </w:r>
            <w:r>
              <w:rPr>
                <w:rFonts w:ascii="Times New Roman" w:cs="Times New Roman" w:eastAsia="Times New Roman" w:hAnsi="Times New Roman"/>
                <w:sz w:val="28"/>
                <w:szCs w:val="28"/>
                <w:b w:val="1"/>
                <w:bCs w:val="1"/>
                <w:color w:val="auto"/>
                <w:vertAlign w:val="superscript"/>
              </w:rPr>
              <w:t>3</w:t>
            </w:r>
          </w:p>
        </w:tc>
        <w:tc>
          <w:tcPr>
            <w:tcW w:w="2600" w:type="dxa"/>
            <w:vAlign w:val="bottom"/>
            <w:tcBorders>
              <w:right w:val="single" w:sz="8" w:color="auto"/>
            </w:tcBorders>
            <w:vMerge w:val="restart"/>
            <w:shd w:val="clear" w:color="auto" w:fill="F1F1F1"/>
          </w:tcPr>
          <w:p>
            <w:pPr>
              <w:ind w:left="40"/>
              <w:spacing w:after="0"/>
              <w:rPr>
                <w:sz w:val="20"/>
                <w:szCs w:val="20"/>
                <w:color w:val="auto"/>
              </w:rPr>
            </w:pPr>
            <w:r>
              <w:rPr>
                <w:rFonts w:ascii="Times New Roman" w:cs="Times New Roman" w:eastAsia="Times New Roman" w:hAnsi="Times New Roman"/>
                <w:sz w:val="18"/>
                <w:szCs w:val="18"/>
                <w:b w:val="1"/>
                <w:bCs w:val="1"/>
                <w:color w:val="auto"/>
              </w:rPr>
              <w:t>79.1</w:t>
            </w:r>
          </w:p>
        </w:tc>
        <w:tc>
          <w:tcPr>
            <w:tcW w:w="2680" w:type="dxa"/>
            <w:vAlign w:val="bottom"/>
            <w:tcBorders>
              <w:right w:val="single" w:sz="8" w:color="auto"/>
            </w:tcBorders>
            <w:vMerge w:val="restart"/>
            <w:shd w:val="clear" w:color="auto" w:fill="F1F1F1"/>
          </w:tcPr>
          <w:p>
            <w:pPr>
              <w:ind w:left="40"/>
              <w:spacing w:after="0"/>
              <w:rPr>
                <w:sz w:val="20"/>
                <w:szCs w:val="20"/>
                <w:color w:val="auto"/>
              </w:rPr>
            </w:pPr>
            <w:r>
              <w:rPr>
                <w:rFonts w:ascii="Times New Roman" w:cs="Times New Roman" w:eastAsia="Times New Roman" w:hAnsi="Times New Roman"/>
                <w:sz w:val="18"/>
                <w:szCs w:val="18"/>
                <w:b w:val="1"/>
                <w:bCs w:val="1"/>
                <w:color w:val="auto"/>
              </w:rPr>
              <w:t>78.1</w:t>
            </w:r>
          </w:p>
        </w:tc>
        <w:tc>
          <w:tcPr>
            <w:tcW w:w="2680" w:type="dxa"/>
            <w:vAlign w:val="bottom"/>
            <w:tcBorders>
              <w:right w:val="single" w:sz="8" w:color="auto"/>
            </w:tcBorders>
            <w:vMerge w:val="restart"/>
            <w:shd w:val="clear" w:color="auto" w:fill="F1F1F1"/>
          </w:tcPr>
          <w:p>
            <w:pPr>
              <w:ind w:left="40"/>
              <w:spacing w:after="0"/>
              <w:rPr>
                <w:sz w:val="20"/>
                <w:szCs w:val="20"/>
                <w:color w:val="auto"/>
              </w:rPr>
            </w:pPr>
            <w:r>
              <w:rPr>
                <w:rFonts w:ascii="Times New Roman" w:cs="Times New Roman" w:eastAsia="Times New Roman" w:hAnsi="Times New Roman"/>
                <w:sz w:val="18"/>
                <w:szCs w:val="18"/>
                <w:b w:val="1"/>
                <w:bCs w:val="1"/>
                <w:color w:val="auto"/>
              </w:rPr>
              <w:t>20.9</w:t>
            </w:r>
          </w:p>
        </w:tc>
        <w:tc>
          <w:tcPr>
            <w:tcW w:w="0" w:type="dxa"/>
            <w:vAlign w:val="bottom"/>
          </w:tcPr>
          <w:p>
            <w:pPr>
              <w:spacing w:after="0"/>
              <w:rPr>
                <w:sz w:val="1"/>
                <w:szCs w:val="1"/>
                <w:color w:val="auto"/>
              </w:rPr>
            </w:pPr>
          </w:p>
        </w:tc>
      </w:tr>
      <w:tr>
        <w:trPr>
          <w:trHeight w:val="103"/>
        </w:trPr>
        <w:tc>
          <w:tcPr>
            <w:tcW w:w="3280" w:type="dxa"/>
            <w:vAlign w:val="bottom"/>
            <w:tcBorders>
              <w:left w:val="single" w:sz="8" w:color="auto"/>
              <w:right w:val="single" w:sz="8" w:color="auto"/>
            </w:tcBorders>
            <w:vMerge w:val="restart"/>
            <w:shd w:val="clear" w:color="auto" w:fill="F1F1F1"/>
          </w:tcPr>
          <w:p>
            <w:pPr>
              <w:ind w:left="60"/>
              <w:spacing w:after="0"/>
              <w:rPr>
                <w:sz w:val="20"/>
                <w:szCs w:val="20"/>
                <w:color w:val="auto"/>
              </w:rPr>
            </w:pPr>
            <w:r>
              <w:rPr>
                <w:rFonts w:ascii="Times New Roman" w:cs="Times New Roman" w:eastAsia="Times New Roman" w:hAnsi="Times New Roman"/>
                <w:sz w:val="18"/>
                <w:szCs w:val="18"/>
                <w:b w:val="1"/>
                <w:bCs w:val="1"/>
                <w:color w:val="auto"/>
              </w:rPr>
              <w:t>(EH/s)</w:t>
            </w:r>
          </w:p>
        </w:tc>
        <w:tc>
          <w:tcPr>
            <w:tcW w:w="2600" w:type="dxa"/>
            <w:vAlign w:val="bottom"/>
            <w:tcBorders>
              <w:right w:val="single" w:sz="8" w:color="auto"/>
            </w:tcBorders>
            <w:vMerge w:val="continue"/>
            <w:shd w:val="clear" w:color="auto" w:fill="F1F1F1"/>
          </w:tcPr>
          <w:p>
            <w:pPr>
              <w:spacing w:after="0"/>
              <w:rPr>
                <w:sz w:val="8"/>
                <w:szCs w:val="8"/>
                <w:color w:val="auto"/>
              </w:rPr>
            </w:pPr>
          </w:p>
        </w:tc>
        <w:tc>
          <w:tcPr>
            <w:tcW w:w="2680" w:type="dxa"/>
            <w:vAlign w:val="bottom"/>
            <w:tcBorders>
              <w:right w:val="single" w:sz="8" w:color="auto"/>
            </w:tcBorders>
            <w:vMerge w:val="continue"/>
            <w:shd w:val="clear" w:color="auto" w:fill="F1F1F1"/>
          </w:tcPr>
          <w:p>
            <w:pPr>
              <w:spacing w:after="0"/>
              <w:rPr>
                <w:sz w:val="8"/>
                <w:szCs w:val="8"/>
                <w:color w:val="auto"/>
              </w:rPr>
            </w:pPr>
          </w:p>
        </w:tc>
        <w:tc>
          <w:tcPr>
            <w:tcW w:w="2680" w:type="dxa"/>
            <w:vAlign w:val="bottom"/>
            <w:tcBorders>
              <w:right w:val="single" w:sz="8" w:color="auto"/>
            </w:tcBorders>
            <w:vMerge w:val="continue"/>
            <w:shd w:val="clear" w:color="auto" w:fill="F1F1F1"/>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280" w:type="dxa"/>
            <w:vAlign w:val="bottom"/>
            <w:tcBorders>
              <w:left w:val="single" w:sz="8" w:color="auto"/>
              <w:bottom w:val="single" w:sz="8" w:color="auto"/>
              <w:right w:val="single" w:sz="8" w:color="auto"/>
            </w:tcBorders>
            <w:vMerge w:val="continue"/>
            <w:shd w:val="clear" w:color="auto" w:fill="F1F1F1"/>
          </w:tcPr>
          <w:p>
            <w:pPr>
              <w:spacing w:after="0"/>
              <w:rPr>
                <w:sz w:val="12"/>
                <w:szCs w:val="12"/>
                <w:color w:val="auto"/>
              </w:rPr>
            </w:pPr>
          </w:p>
        </w:tc>
        <w:tc>
          <w:tcPr>
            <w:tcW w:w="2600" w:type="dxa"/>
            <w:vAlign w:val="bottom"/>
            <w:tcBorders>
              <w:bottom w:val="single" w:sz="8" w:color="auto"/>
              <w:right w:val="single" w:sz="8" w:color="auto"/>
            </w:tcBorders>
            <w:shd w:val="clear" w:color="auto" w:fill="F1F1F1"/>
          </w:tcPr>
          <w:p>
            <w:pPr>
              <w:spacing w:after="0"/>
              <w:rPr>
                <w:sz w:val="12"/>
                <w:szCs w:val="12"/>
                <w:color w:val="auto"/>
              </w:rPr>
            </w:pPr>
          </w:p>
        </w:tc>
        <w:tc>
          <w:tcPr>
            <w:tcW w:w="2680" w:type="dxa"/>
            <w:vAlign w:val="bottom"/>
            <w:tcBorders>
              <w:bottom w:val="single" w:sz="8" w:color="auto"/>
              <w:right w:val="single" w:sz="8" w:color="auto"/>
            </w:tcBorders>
            <w:shd w:val="clear" w:color="auto" w:fill="F1F1F1"/>
          </w:tcPr>
          <w:p>
            <w:pPr>
              <w:spacing w:after="0"/>
              <w:rPr>
                <w:sz w:val="12"/>
                <w:szCs w:val="12"/>
                <w:color w:val="auto"/>
              </w:rPr>
            </w:pPr>
          </w:p>
        </w:tc>
        <w:tc>
          <w:tcPr>
            <w:tcW w:w="2680" w:type="dxa"/>
            <w:vAlign w:val="bottom"/>
            <w:tcBorders>
              <w:bottom w:val="single" w:sz="8" w:color="auto"/>
              <w:right w:val="single" w:sz="8" w:color="auto"/>
            </w:tcBorders>
            <w:shd w:val="clear" w:color="auto" w:fill="F1F1F1"/>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32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Proprietary hash rate</w:t>
            </w:r>
          </w:p>
        </w:tc>
        <w:tc>
          <w:tcPr>
            <w:tcW w:w="26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70.1</w:t>
            </w:r>
          </w:p>
        </w:tc>
        <w:tc>
          <w:tcPr>
            <w:tcW w:w="26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65.1</w:t>
            </w:r>
          </w:p>
        </w:tc>
        <w:tc>
          <w:tcPr>
            <w:tcW w:w="26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6"/>
        </w:trPr>
        <w:tc>
          <w:tcPr>
            <w:tcW w:w="32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Self-mining</w:t>
            </w:r>
          </w:p>
        </w:tc>
        <w:tc>
          <w:tcPr>
            <w:tcW w:w="26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68.0</w:t>
            </w:r>
          </w:p>
        </w:tc>
        <w:tc>
          <w:tcPr>
            <w:tcW w:w="26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63.2</w:t>
            </w:r>
          </w:p>
        </w:tc>
        <w:tc>
          <w:tcPr>
            <w:tcW w:w="26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7"/>
        </w:trPr>
        <w:tc>
          <w:tcPr>
            <w:tcW w:w="32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Cloud Hash Rate</w:t>
            </w:r>
          </w:p>
        </w:tc>
        <w:tc>
          <w:tcPr>
            <w:tcW w:w="26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26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26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Delivered but not yet</w:t>
            </w:r>
          </w:p>
        </w:tc>
        <w:tc>
          <w:tcPr>
            <w:tcW w:w="26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26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0.8</w:t>
            </w:r>
          </w:p>
        </w:tc>
        <w:tc>
          <w:tcPr>
            <w:tcW w:w="26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126"/>
        </w:trPr>
        <w:tc>
          <w:tcPr>
            <w:tcW w:w="328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energized</w:t>
            </w:r>
          </w:p>
        </w:tc>
        <w:tc>
          <w:tcPr>
            <w:tcW w:w="2600" w:type="dxa"/>
            <w:vAlign w:val="bottom"/>
            <w:tcBorders>
              <w:right w:val="single" w:sz="8" w:color="auto"/>
            </w:tcBorders>
            <w:vMerge w:val="continue"/>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2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2680" w:type="dxa"/>
            <w:vAlign w:val="bottom"/>
            <w:tcBorders>
              <w:bottom w:val="single" w:sz="8" w:color="auto"/>
              <w:right w:val="single" w:sz="8" w:color="auto"/>
            </w:tcBorders>
          </w:tcPr>
          <w:p>
            <w:pPr>
              <w:spacing w:after="0"/>
              <w:rPr>
                <w:sz w:val="10"/>
                <w:szCs w:val="10"/>
                <w:color w:val="auto"/>
              </w:rPr>
            </w:pPr>
          </w:p>
        </w:tc>
        <w:tc>
          <w:tcPr>
            <w:tcW w:w="26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32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Hosting</w:t>
            </w:r>
          </w:p>
        </w:tc>
        <w:tc>
          <w:tcPr>
            <w:tcW w:w="26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9.0</w:t>
            </w:r>
          </w:p>
        </w:tc>
        <w:tc>
          <w:tcPr>
            <w:tcW w:w="26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13.0</w:t>
            </w:r>
          </w:p>
        </w:tc>
        <w:tc>
          <w:tcPr>
            <w:tcW w:w="26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9"/>
        </w:trPr>
        <w:tc>
          <w:tcPr>
            <w:tcW w:w="3280" w:type="dxa"/>
            <w:vAlign w:val="bottom"/>
            <w:tcBorders>
              <w:left w:val="single" w:sz="8" w:color="auto"/>
              <w:bottom w:val="single" w:sz="8" w:color="auto"/>
              <w:right w:val="single" w:sz="8" w:color="auto"/>
            </w:tcBorders>
            <w:shd w:val="clear" w:color="auto" w:fill="F1F1F1"/>
          </w:tcPr>
          <w:p>
            <w:pPr>
              <w:ind w:left="60"/>
              <w:spacing w:after="0"/>
              <w:rPr>
                <w:sz w:val="20"/>
                <w:szCs w:val="20"/>
                <w:color w:val="auto"/>
              </w:rPr>
            </w:pPr>
            <w:r>
              <w:rPr>
                <w:rFonts w:ascii="Times New Roman" w:cs="Times New Roman" w:eastAsia="Times New Roman" w:hAnsi="Times New Roman"/>
                <w:sz w:val="18"/>
                <w:szCs w:val="18"/>
                <w:b w:val="1"/>
                <w:bCs w:val="1"/>
                <w:color w:val="auto"/>
              </w:rPr>
              <w:t>Mining rigs under management</w:t>
            </w:r>
          </w:p>
        </w:tc>
        <w:tc>
          <w:tcPr>
            <w:tcW w:w="260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b w:val="1"/>
                <w:bCs w:val="1"/>
                <w:color w:val="auto"/>
              </w:rPr>
              <w:t>276,000</w:t>
            </w:r>
          </w:p>
        </w:tc>
        <w:tc>
          <w:tcPr>
            <w:tcW w:w="268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b w:val="1"/>
                <w:bCs w:val="1"/>
                <w:color w:val="auto"/>
              </w:rPr>
              <w:t>314,000</w:t>
            </w:r>
          </w:p>
        </w:tc>
        <w:tc>
          <w:tcPr>
            <w:tcW w:w="268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b w:val="1"/>
                <w:bCs w:val="1"/>
                <w:color w:val="auto"/>
              </w:rPr>
              <w:t>163,000</w:t>
            </w:r>
          </w:p>
        </w:tc>
        <w:tc>
          <w:tcPr>
            <w:tcW w:w="0" w:type="dxa"/>
            <w:vAlign w:val="bottom"/>
          </w:tcPr>
          <w:p>
            <w:pPr>
              <w:spacing w:after="0"/>
              <w:rPr>
                <w:sz w:val="1"/>
                <w:szCs w:val="1"/>
                <w:color w:val="auto"/>
              </w:rPr>
            </w:pPr>
          </w:p>
        </w:tc>
      </w:tr>
      <w:tr>
        <w:trPr>
          <w:trHeight w:val="279"/>
        </w:trPr>
        <w:tc>
          <w:tcPr>
            <w:tcW w:w="3280" w:type="dxa"/>
            <w:vAlign w:val="bottom"/>
            <w:tcBorders>
              <w:left w:val="single" w:sz="8" w:color="auto"/>
              <w:bottom w:val="single" w:sz="8" w:color="auto"/>
              <w:right w:val="single" w:sz="8" w:color="auto"/>
            </w:tcBorders>
          </w:tcPr>
          <w:p>
            <w:pPr>
              <w:ind w:left="60"/>
              <w:spacing w:after="0" w:line="280" w:lineRule="exact"/>
              <w:rPr>
                <w:sz w:val="20"/>
                <w:szCs w:val="20"/>
                <w:color w:val="auto"/>
              </w:rPr>
            </w:pPr>
            <w:r>
              <w:rPr>
                <w:rFonts w:ascii="Times New Roman" w:cs="Times New Roman" w:eastAsia="Times New Roman" w:hAnsi="Times New Roman"/>
                <w:sz w:val="18"/>
                <w:szCs w:val="18"/>
                <w:color w:val="auto"/>
              </w:rPr>
              <w:t>- Self-owned</w:t>
            </w:r>
            <w:r>
              <w:rPr>
                <w:rFonts w:ascii="Times New Roman" w:cs="Times New Roman" w:eastAsia="Times New Roman" w:hAnsi="Times New Roman"/>
                <w:sz w:val="29"/>
                <w:szCs w:val="29"/>
                <w:color w:val="auto"/>
                <w:vertAlign w:val="superscript"/>
              </w:rPr>
              <w:t>4</w:t>
            </w:r>
          </w:p>
        </w:tc>
        <w:tc>
          <w:tcPr>
            <w:tcW w:w="26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232,000</w:t>
            </w:r>
          </w:p>
        </w:tc>
        <w:tc>
          <w:tcPr>
            <w:tcW w:w="26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232,000</w:t>
            </w:r>
          </w:p>
        </w:tc>
        <w:tc>
          <w:tcPr>
            <w:tcW w:w="26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88,000</w:t>
            </w:r>
          </w:p>
        </w:tc>
        <w:tc>
          <w:tcPr>
            <w:tcW w:w="0" w:type="dxa"/>
            <w:vAlign w:val="bottom"/>
          </w:tcPr>
          <w:p>
            <w:pPr>
              <w:spacing w:after="0"/>
              <w:rPr>
                <w:sz w:val="1"/>
                <w:szCs w:val="1"/>
                <w:color w:val="auto"/>
              </w:rPr>
            </w:pPr>
          </w:p>
        </w:tc>
      </w:tr>
      <w:tr>
        <w:trPr>
          <w:trHeight w:val="232"/>
        </w:trPr>
        <w:tc>
          <w:tcPr>
            <w:tcW w:w="32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Hosted</w:t>
            </w:r>
          </w:p>
        </w:tc>
        <w:tc>
          <w:tcPr>
            <w:tcW w:w="26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44,000</w:t>
            </w:r>
          </w:p>
        </w:tc>
        <w:tc>
          <w:tcPr>
            <w:tcW w:w="26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82,000</w:t>
            </w:r>
          </w:p>
        </w:tc>
        <w:tc>
          <w:tcPr>
            <w:tcW w:w="26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38"/>
        </w:trPr>
        <w:tc>
          <w:tcPr>
            <w:tcW w:w="3280" w:type="dxa"/>
            <w:vAlign w:val="bottom"/>
            <w:tcBorders>
              <w:left w:val="single" w:sz="8" w:color="auto"/>
              <w:bottom w:val="single" w:sz="8" w:color="auto"/>
              <w:right w:val="single" w:sz="8" w:color="auto"/>
            </w:tcBorders>
            <w:shd w:val="clear" w:color="auto" w:fill="F1F1F1"/>
          </w:tcPr>
          <w:p>
            <w:pPr>
              <w:ind w:left="60"/>
              <w:spacing w:after="0"/>
              <w:rPr>
                <w:sz w:val="20"/>
                <w:szCs w:val="20"/>
                <w:color w:val="auto"/>
              </w:rPr>
            </w:pPr>
            <w:r>
              <w:rPr>
                <w:rFonts w:ascii="Times New Roman" w:cs="Times New Roman" w:eastAsia="Times New Roman" w:hAnsi="Times New Roman"/>
                <w:sz w:val="18"/>
                <w:szCs w:val="18"/>
                <w:b w:val="1"/>
                <w:bCs w:val="1"/>
                <w:color w:val="auto"/>
              </w:rPr>
              <w:t>Bitcoins mined (self-mining only)</w:t>
            </w:r>
          </w:p>
        </w:tc>
        <w:tc>
          <w:tcPr>
            <w:tcW w:w="260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b w:val="1"/>
                <w:bCs w:val="1"/>
                <w:color w:val="auto"/>
              </w:rPr>
              <w:t>705</w:t>
            </w:r>
          </w:p>
        </w:tc>
        <w:tc>
          <w:tcPr>
            <w:tcW w:w="268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b w:val="1"/>
                <w:bCs w:val="1"/>
                <w:color w:val="auto"/>
              </w:rPr>
              <w:t>668</w:t>
            </w:r>
          </w:p>
        </w:tc>
        <w:tc>
          <w:tcPr>
            <w:tcW w:w="268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b w:val="1"/>
                <w:bCs w:val="1"/>
                <w:color w:val="auto"/>
              </w:rPr>
              <w:t>110</w:t>
            </w:r>
          </w:p>
        </w:tc>
        <w:tc>
          <w:tcPr>
            <w:tcW w:w="0" w:type="dxa"/>
            <w:vAlign w:val="bottom"/>
          </w:tcPr>
          <w:p>
            <w:pPr>
              <w:spacing w:after="0"/>
              <w:rPr>
                <w:sz w:val="1"/>
                <w:szCs w:val="1"/>
                <w:color w:val="auto"/>
              </w:rPr>
            </w:pPr>
          </w:p>
        </w:tc>
      </w:tr>
      <w:tr>
        <w:trPr>
          <w:trHeight w:val="279"/>
        </w:trPr>
        <w:tc>
          <w:tcPr>
            <w:tcW w:w="3280" w:type="dxa"/>
            <w:vAlign w:val="bottom"/>
            <w:tcBorders>
              <w:left w:val="single" w:sz="8" w:color="auto"/>
              <w:bottom w:val="single" w:sz="8" w:color="auto"/>
              <w:right w:val="single" w:sz="8" w:color="auto"/>
            </w:tcBorders>
            <w:shd w:val="clear" w:color="auto" w:fill="F1F1F1"/>
          </w:tcPr>
          <w:p>
            <w:pPr>
              <w:ind w:left="60"/>
              <w:spacing w:after="0" w:line="280" w:lineRule="exact"/>
              <w:rPr>
                <w:sz w:val="20"/>
                <w:szCs w:val="20"/>
                <w:color w:val="auto"/>
              </w:rPr>
            </w:pPr>
            <w:r>
              <w:rPr>
                <w:rFonts w:ascii="Times New Roman" w:cs="Times New Roman" w:eastAsia="Times New Roman" w:hAnsi="Times New Roman"/>
                <w:sz w:val="18"/>
                <w:szCs w:val="18"/>
                <w:b w:val="1"/>
                <w:bCs w:val="1"/>
                <w:color w:val="auto"/>
              </w:rPr>
              <w:t>Bitcoin held</w:t>
            </w:r>
            <w:r>
              <w:rPr>
                <w:rFonts w:ascii="Times New Roman" w:cs="Times New Roman" w:eastAsia="Times New Roman" w:hAnsi="Times New Roman"/>
                <w:sz w:val="29"/>
                <w:szCs w:val="29"/>
                <w:b w:val="1"/>
                <w:bCs w:val="1"/>
                <w:color w:val="auto"/>
                <w:vertAlign w:val="superscript"/>
              </w:rPr>
              <w:t>5</w:t>
            </w:r>
          </w:p>
        </w:tc>
        <w:tc>
          <w:tcPr>
            <w:tcW w:w="260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b w:val="1"/>
                <w:bCs w:val="1"/>
                <w:color w:val="auto"/>
              </w:rPr>
              <w:t>51</w:t>
            </w:r>
          </w:p>
        </w:tc>
        <w:tc>
          <w:tcPr>
            <w:tcW w:w="268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b w:val="1"/>
                <w:bCs w:val="1"/>
                <w:color w:val="auto"/>
              </w:rPr>
              <w:t>1,530</w:t>
            </w:r>
          </w:p>
        </w:tc>
        <w:tc>
          <w:tcPr>
            <w:tcW w:w="2680" w:type="dxa"/>
            <w:vAlign w:val="bottom"/>
            <w:tcBorders>
              <w:bottom w:val="single" w:sz="8" w:color="auto"/>
              <w:right w:val="single" w:sz="8" w:color="auto"/>
            </w:tcBorders>
            <w:shd w:val="clear" w:color="auto" w:fill="F1F1F1"/>
          </w:tcPr>
          <w:p>
            <w:pPr>
              <w:ind w:left="40"/>
              <w:spacing w:after="0"/>
              <w:rPr>
                <w:sz w:val="20"/>
                <w:szCs w:val="20"/>
                <w:color w:val="auto"/>
              </w:rPr>
            </w:pPr>
            <w:r>
              <w:rPr>
                <w:rFonts w:ascii="Times New Roman" w:cs="Times New Roman" w:eastAsia="Times New Roman" w:hAnsi="Times New Roman"/>
                <w:sz w:val="18"/>
                <w:szCs w:val="18"/>
                <w:b w:val="1"/>
                <w:bCs w:val="1"/>
                <w:color w:val="auto"/>
              </w:rPr>
              <w:t>1,039</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340" w:hanging="332"/>
        <w:spacing w:after="0" w:line="229" w:lineRule="auto"/>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Total hash rate under management </w:t>
      </w:r>
      <w:r>
        <w:rPr>
          <w:rFonts w:ascii="Times New Roman" w:cs="Times New Roman" w:eastAsia="Times New Roman" w:hAnsi="Times New Roman"/>
          <w:sz w:val="18"/>
          <w:szCs w:val="18"/>
          <w:color w:val="auto"/>
        </w:rPr>
        <w:t>as of February 28, 2026 across Bitdeer’s primary business lines: Self-mining, Cloud Hash Rate, and Hosting.</w:t>
      </w:r>
      <w:r>
        <w:rPr>
          <w:rFonts w:ascii="Times New Roman" w:cs="Times New Roman" w:eastAsia="Times New Roman" w:hAnsi="Times New Roman"/>
          <w:sz w:val="18"/>
          <w:szCs w:val="18"/>
          <w:b w:val="1"/>
          <w:bCs w:val="1"/>
          <w:color w:val="auto"/>
        </w:rPr>
        <w:t xml:space="preserve"> Self-mining </w:t>
      </w:r>
      <w:r>
        <w:rPr>
          <w:rFonts w:ascii="Times New Roman" w:cs="Times New Roman" w:eastAsia="Times New Roman" w:hAnsi="Times New Roman"/>
          <w:sz w:val="18"/>
          <w:szCs w:val="18"/>
          <w:color w:val="auto"/>
        </w:rPr>
        <w:t>refers to cryptocurrency mining for Bitdeer’s own account, whereby its mining rigs are operated in self-owned and third-party datacenters,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enabling the company to directly capture the high appreciation potential of cryptocurrency. </w:t>
      </w:r>
      <w:r>
        <w:rPr>
          <w:rFonts w:ascii="Times New Roman" w:cs="Times New Roman" w:eastAsia="Times New Roman" w:hAnsi="Times New Roman"/>
          <w:sz w:val="18"/>
          <w:szCs w:val="18"/>
          <w:b w:val="1"/>
          <w:bCs w:val="1"/>
          <w:color w:val="auto"/>
        </w:rPr>
        <w:t>Cloud Hash Rate</w:t>
      </w:r>
      <w:r>
        <w:rPr>
          <w:rFonts w:ascii="Times New Roman" w:cs="Times New Roman" w:eastAsia="Times New Roman" w:hAnsi="Times New Roman"/>
          <w:sz w:val="18"/>
          <w:szCs w:val="18"/>
          <w:color w:val="auto"/>
        </w:rPr>
        <w:t xml:space="preserve"> offers hash rate subscription plans and shares mining income with customers under certain arrangements. The Cloud Hash Rate stated above reflects the contracted hash rate with customers at month-end. </w:t>
      </w:r>
      <w:r>
        <w:rPr>
          <w:rFonts w:ascii="Times New Roman" w:cs="Times New Roman" w:eastAsia="Times New Roman" w:hAnsi="Times New Roman"/>
          <w:sz w:val="18"/>
          <w:szCs w:val="18"/>
          <w:b w:val="1"/>
          <w:bCs w:val="1"/>
          <w:color w:val="auto"/>
        </w:rPr>
        <w:t>Hosting</w:t>
      </w:r>
      <w:r>
        <w:rPr>
          <w:rFonts w:ascii="Times New Roman" w:cs="Times New Roman" w:eastAsia="Times New Roman" w:hAnsi="Times New Roman"/>
          <w:sz w:val="18"/>
          <w:szCs w:val="18"/>
          <w:color w:val="auto"/>
        </w:rPr>
        <w:t xml:space="preserve"> encompasses a one-stop mining machine hosting solution including deployment, maintenance, and management services for efficient cryptocurrency mining.</w:t>
      </w:r>
    </w:p>
    <w:p>
      <w:pPr>
        <w:spacing w:after="0" w:line="89"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Self-owned mining machines </w:t>
      </w:r>
      <w:r>
        <w:rPr>
          <w:rFonts w:ascii="Times New Roman" w:cs="Times New Roman" w:eastAsia="Times New Roman" w:hAnsi="Times New Roman"/>
          <w:sz w:val="18"/>
          <w:szCs w:val="18"/>
          <w:color w:val="auto"/>
        </w:rPr>
        <w:t>are for Bitdeer’s self-mining business and Cloud Hash Rate business.</w:t>
      </w:r>
    </w:p>
    <w:p>
      <w:pPr>
        <w:spacing w:after="0" w:line="87"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Bitcoins held </w:t>
      </w:r>
      <w:r>
        <w:rPr>
          <w:rFonts w:ascii="Times New Roman" w:cs="Times New Roman" w:eastAsia="Times New Roman" w:hAnsi="Times New Roman"/>
          <w:sz w:val="18"/>
          <w:szCs w:val="18"/>
          <w:color w:val="auto"/>
        </w:rPr>
        <w:t>do not include the Bitcoins from deposits of the customers, include the Bitcoins that are pledged as collateral.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Infrastructure Construction Update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Tydal, Norway AI data center conversion </w:t>
      </w:r>
      <w:r>
        <w:rPr>
          <w:rFonts w:ascii="Times New Roman" w:cs="Times New Roman" w:eastAsia="Times New Roman" w:hAnsi="Times New Roman"/>
          <w:sz w:val="18"/>
          <w:szCs w:val="18"/>
          <w:color w:val="auto"/>
        </w:rPr>
        <w:t>– Planning and design continue to advance. Orders for critical long-lead equipment have been placed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 the targeted project timeline for completion around the end of 2026. Decommissioning of Bitcoin mining rigs has begun to make room for the new AI data center.</w:t>
      </w:r>
    </w:p>
    <w:p>
      <w:pPr>
        <w:spacing w:after="0" w:line="17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Wenatchee, Washington </w:t>
      </w:r>
      <w:r>
        <w:rPr>
          <w:rFonts w:ascii="Times New Roman" w:cs="Times New Roman" w:eastAsia="Times New Roman" w:hAnsi="Times New Roman"/>
          <w:sz w:val="18"/>
          <w:szCs w:val="18"/>
          <w:color w:val="auto"/>
        </w:rPr>
        <w:t>– AI data center design documents and building permit application were submitted for approval. Orders for long-lead-time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have been placed. The dismantling of the crypto mining datacenter is expected to start in March 2026. Completion targeted for Q4 2026.</w:t>
      </w:r>
    </w:p>
    <w:p>
      <w:pPr>
        <w:spacing w:after="0" w:line="3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Knoxville, Tennessee </w:t>
      </w:r>
      <w:r>
        <w:rPr>
          <w:rFonts w:ascii="Times New Roman" w:cs="Times New Roman" w:eastAsia="Times New Roman" w:hAnsi="Times New Roman"/>
          <w:sz w:val="18"/>
          <w:szCs w:val="18"/>
          <w:color w:val="auto"/>
        </w:rPr>
        <w:t>– Phase 1 AI data center conversion design work initiated, targeting to complete by Q4 2026.</w:t>
      </w:r>
      <w:r>
        <w:rPr>
          <w:rFonts w:ascii="Times New Roman" w:cs="Times New Roman" w:eastAsia="Times New Roman" w:hAnsi="Times New Roman"/>
          <w:sz w:val="18"/>
          <w:szCs w:val="18"/>
          <w:b w:val="1"/>
          <w:bCs w:val="1"/>
          <w:color w:val="auto"/>
        </w:rPr>
        <w:t xml:space="preserve"> Massillon, Ohio </w:t>
      </w:r>
      <w:r>
        <w:rPr>
          <w:rFonts w:ascii="Times New Roman" w:cs="Times New Roman" w:eastAsia="Times New Roman" w:hAnsi="Times New Roman"/>
          <w:sz w:val="18"/>
          <w:szCs w:val="18"/>
          <w:color w:val="auto"/>
        </w:rPr>
        <w:t>– 100 MW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currently online. Approximately 26 MW in two fire-damaged buildings is expected to be rebuilt and energized by the end of September 2026. The remaining 95 MW is expected to be energized in phases during Q1 and Q2 2026.</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Clarington, Ohio </w:t>
      </w:r>
      <w:r>
        <w:rPr>
          <w:rFonts w:ascii="Times New Roman" w:cs="Times New Roman" w:eastAsia="Times New Roman" w:hAnsi="Times New Roman"/>
          <w:sz w:val="18"/>
          <w:szCs w:val="18"/>
          <w:color w:val="auto"/>
        </w:rPr>
        <w:t>– 570 MW of power under contract with a local utility. The timing of power availability and construction may be affected by ongoing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proceedings filed by a neighboring company, American Heavy Plate Solutions, LLC. Design and other preparation work continue.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Fox Creek, Alberta </w:t>
      </w:r>
      <w:r>
        <w:rPr>
          <w:rFonts w:ascii="Times New Roman" w:cs="Times New Roman" w:eastAsia="Times New Roman" w:hAnsi="Times New Roman"/>
          <w:sz w:val="18"/>
          <w:szCs w:val="18"/>
          <w:color w:val="auto"/>
        </w:rPr>
        <w:t>– 101 MW site acquired, fully licensed and permitted for the construction of an on-site natural gas power plant. We are assessing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design schemes for the mining site to accommodate potential future AIDC requirements, as the energization date has been targeted for Q2 2027.</w:t>
      </w:r>
    </w:p>
    <w:p>
      <w:pPr>
        <w:spacing w:after="0" w:line="15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Oromia Region, Ethiopia </w:t>
      </w:r>
      <w:r>
        <w:rPr>
          <w:rFonts w:ascii="Times New Roman" w:cs="Times New Roman" w:eastAsia="Times New Roman" w:hAnsi="Times New Roman"/>
          <w:sz w:val="18"/>
          <w:szCs w:val="18"/>
          <w:color w:val="auto"/>
        </w:rPr>
        <w:t>– Construction of the 60 MW site has been completed, with 20 MW not yet energized and 40 MW undergoing energization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phases driven by SEALMINER deliveries.</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Niles, Ohio </w:t>
      </w:r>
      <w:r>
        <w:rPr>
          <w:rFonts w:ascii="Times New Roman" w:cs="Times New Roman" w:eastAsia="Times New Roman" w:hAnsi="Times New Roman"/>
          <w:sz w:val="18"/>
          <w:szCs w:val="18"/>
          <w:color w:val="auto"/>
        </w:rPr>
        <w:t>– 300 MW grid-interconnected development site, with target energization in Q4 2028. The project includes 41.8 acres of owned land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transmission line extension agreement with a local utility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Conferences and Events</w:t>
      </w:r>
    </w:p>
    <w:p>
      <w:pPr>
        <w:spacing w:after="0" w:line="21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 xml:space="preserve">March 22 – 24, 2026: </w:t>
      </w:r>
      <w:r>
        <w:rPr>
          <w:rFonts w:ascii="Times New Roman" w:cs="Times New Roman" w:eastAsia="Times New Roman" w:hAnsi="Times New Roman"/>
          <w:sz w:val="18"/>
          <w:szCs w:val="18"/>
          <w:color w:val="auto"/>
        </w:rPr>
        <w:t>38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Roth Conference in Laguna Niguel, CA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Bitdeer is a world-leading technology company for AI and Bitcoin mining infrastructure. Bitdeer is committed to providing comprehensive Bitcoin mining solutions for its customers and building AI computational infrastructure to support the AI revolution. Bitdeer handles complex processes involved in computing such as equipment procurement, transport logistics, data center design and construction, equipment management, and daily operations. Bitdeer also offers advanced cloud capabilities to customers with high demand for artificial intelligence. Headquartered in Singapore, Bitdeer has deployed data centers across multiple countries, including the United States, Norway, Bhutan, and Ethiopia. To learn more, visit https://ir.bitdeer.com/ or follow Bitdeer on X @ BitdeerOfficial and LinkedIn @ Bitdeer Group.</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and others should note that Bitdeer may announce material information using its website and/or on its accounts on social media platforms, including X, formerly known as Twitter, Facebook, and LinkedIn. Therefore, Bitdeer encourages investors and others to review the information it posts on the social media and other communication channels listed on its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Tesh Dahya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tesh.dahya@bitdeer.com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Elev8 New 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Starman, MBA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bitdeer@elev8newmedia.com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BlocksBridge Consulting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Nishant Sharma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bitdeer@blocksbridge.com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bullet"/>
      <w:start w:val="1"/>
    </w:lvl>
  </w:abstractNum>
  <w:abstractNum w:abstractNumId="6">
    <w:nsid w:val="5BD062C2"/>
    <w:multiLevelType w:val="hybridMultilevel"/>
    <w:lvl w:ilvl="0">
      <w:lvlJc w:val="left"/>
      <w:lvlText w:val="2"/>
      <w:numFmt w:val="bullet"/>
      <w:start w:val="1"/>
    </w:lvl>
  </w:abstractNum>
  <w:abstractNum w:abstractNumId="7">
    <w:nsid w:val="12200854"/>
    <w:multiLevelType w:val="hybridMultilevel"/>
    <w:lvl w:ilvl="0">
      <w:lvlJc w:val="left"/>
      <w:lvlText w:val="3"/>
      <w:numFmt w:val="bullet"/>
      <w:start w:val="1"/>
    </w:lvl>
  </w:abstractNum>
  <w:abstractNum w:abstractNumId="8">
    <w:nsid w:val="4DB127F8"/>
    <w:multiLevelType w:val="hybridMultilevel"/>
    <w:lvl w:ilvl="0">
      <w:lvlJc w:val="left"/>
      <w:lvlText w:val="4"/>
      <w:numFmt w:val="bullet"/>
      <w:start w:val="1"/>
    </w:lvl>
  </w:abstractNum>
  <w:abstractNum w:abstractNumId="9">
    <w:nsid w:val="216231B"/>
    <w:multiLevelType w:val="hybridMultilevel"/>
    <w:lvl w:ilvl="0">
      <w:lvlJc w:val="left"/>
      <w:lvlText w:val="5"/>
      <w:numFmt w:val="bullet"/>
      <w:start w:val="1"/>
    </w:lvl>
  </w:abstractNum>
  <w:abstractNum w:abstractNumId="10">
    <w:nsid w:val="1F16E9E8"/>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2026-03-16T08:14:36Z</dcterms:created>
  <dcterms:modified xsi:type="dcterms:W3CDTF">2026-03-16T08:14:36Z</dcterms:modified>
</cp:coreProperties>
</file>