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26, 2025</w:t>
      </w:r>
    </w:p>
    <w:p>
      <w:pPr>
        <w:spacing w:after="0" w:line="31"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8"/>
        </w:trPr>
        <w:tc>
          <w:tcPr>
            <w:tcW w:w="5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7"/>
                <w:szCs w:val="17"/>
                <w:color w:val="auto"/>
              </w:rPr>
            </w:pPr>
          </w:p>
        </w:tc>
        <w:tc>
          <w:tcPr>
            <w:tcW w:w="5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 62828220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+1 800-221-0102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H. Cai,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35/F Two Exchange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Connaught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3758-1200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on or after the effective date of this registration statement.</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only securities being registered on this Form are being offered pursuant to dividend or interest reinvestment plans, please check the following box.  </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4"/>
          <w:szCs w:val="24"/>
          <w:color w:val="auto"/>
        </w:rPr>
      </w:pPr>
    </w:p>
    <w:p>
      <w:pPr>
        <w:ind w:left="360" w:right="220" w:hanging="352"/>
        <w:spacing w:after="0" w:line="282"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40"/>
          </w:cols>
          <w:pgMar w:left="320" w:top="225" w:right="339" w:bottom="87" w:gutter="0" w:footer="0" w:header="0"/>
        </w:sectPr>
      </w:pPr>
    </w:p>
    <w:bookmarkStart w:id="1" w:name="page2"/>
    <w:bookmarkEnd w:id="1"/>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securityholders may sell or distribute the securities described herein until the registration statement filed with the U.S.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AUGUST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186,627 Class A Ordinary Shares</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186,627 Class A ordinary shares, par value of US$0.0000001 per share, of Bitdeer Technologies Group (the “Class A Ordinary Shares”), which were issued upon the exercise of a certain warrant (the “Warrant”) held by the selling securityholder named in this prospectus under the caption “Selling Securityholder” (the “Selling Securityholder”). The Warrant was originally issued to the Selling Securityholder on May 30, 2024, pursuant to that certain subscription agreement dated May 30, 2024 (the “Subscription Agreement”) and was initially exercisable for 5,000,000 Class A Ordinary Shares. The Warrant contains a weighted-average anti-dilution provision that adjusts the number of shares issuable upon exercise if we issue shares at a price below the Warrant’s then-effective exercise price. Due to certain dilutive issuances, the number of Class A Ordinary Shares issuable upon exercise of the Warrant increased from 5,000,000 to 5,186,627. We previously registered the resale of the initial 5,000,000 shares issuable under the Warrant pursuant to the registration statement on Form F-3 (File No. 333-280041) filed on June 7, 2024, and declared effective by the Securities and Exchange Commission (“SEC”) on June 20, 2024. This prospectus covers the resale of the additional 186,627 Class A Ordinary Shares that became issuable as a result of the anti-dilution adjustment.</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resale or other disposition of Class A Ordinary Shares by the Selling Securityholder.</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Selling Securityholder or its pledges, transferees or other successors-in-interest may, from time to time, offer and sell or otherwise dispose of the Class A Ordinary Shares in public transactions or in privately negotiated transactions, without limitation, at market prices prevailing at the time of sale or at negotiated prices. The timing and amount of any sale are within the sole discretion of the Selling Securityholder. The Selling Securityholder may offer and sell the Class A Ordinary Shares held directly by it or through underwriters, broker-dealers or agents, who may receive compensation in the form of discounts, commissions or concessions. The Selling Securityholder will pay all underwriting discounts, brokerage fees or selling commissions, if any, applicable to the sale of the Class A Ordinary Shares. We are paying certain other expenses relating to this offering and the registration of the Class A Ordinary Shares with the SEC. For further information regarding the possible methods by which the Class A Ordinary Shares may be distributed,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of this prospectus.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Class A Ordinary Shares are currently listed on The Nasdaq Capital Market (“Nasdaq”) under the symbol “BTDR.” On August 25, 2025, the last reported sales price of our Class A Ordinary Shares was US$13.12 per share.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“foreign private issuer,” as defined under the U.S. federal securities laws and, as such, may elect to comply with certain reduced public company disclosure and reporting requirements. See the section titled “</w:t>
      </w:r>
      <w:r>
        <w:rPr>
          <w:rFonts w:ascii="Times New Roman" w:cs="Times New Roman" w:eastAsia="Times New Roman" w:hAnsi="Times New Roman"/>
          <w:sz w:val="18"/>
          <w:szCs w:val="18"/>
          <w:i w:val="1"/>
          <w:iCs w:val="1"/>
          <w:color w:val="auto"/>
        </w:rPr>
        <w:t>Summary of the Prospectus—Foreign Private Issuer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beginning on page 4 of this prospectus, in any accompanying prospectus supplement or in the documents incorporated by reference into this prospectus before making a decision to invest in our securities.</w:t>
      </w:r>
    </w:p>
    <w:p>
      <w:pPr>
        <w:spacing w:after="0" w:line="171" w:lineRule="exact"/>
        <w:rPr>
          <w:sz w:val="20"/>
          <w:szCs w:val="20"/>
          <w:color w:val="auto"/>
        </w:rPr>
      </w:pPr>
    </w:p>
    <w:p>
      <w:pPr>
        <w:jc w:val="both"/>
        <w:ind w:firstLine="363"/>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40" w:type="dxa"/>
            <w:vAlign w:val="bottom"/>
            <w:tcBorders>
              <w:bottom w:val="single" w:sz="8" w:color="CCEEFF"/>
            </w:tcBorders>
            <w:gridSpan w:val="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60" w:type="dxa"/>
            <w:vAlign w:val="bottom"/>
          </w:tcPr>
          <w:p>
            <w:pPr>
              <w:ind w:left="202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27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820" w:type="dxa"/>
            <w:vAlign w:val="bottom"/>
            <w:tcBorders>
              <w:top w:val="single" w:sz="8" w:color="CCEEFF"/>
            </w:tcBorders>
            <w:gridSpan w:val="6"/>
          </w:tcPr>
          <w:p>
            <w:pPr>
              <w:spacing w:after="0"/>
              <w:rPr>
                <w:sz w:val="15"/>
                <w:szCs w:val="15"/>
                <w:color w:val="auto"/>
              </w:rPr>
            </w:pPr>
          </w:p>
        </w:tc>
        <w:tc>
          <w:tcPr>
            <w:tcW w:w="2660" w:type="dxa"/>
            <w:vAlign w:val="bottom"/>
            <w:tcBorders>
              <w:top w:val="single" w:sz="8" w:color="CCEEFF"/>
            </w:tcBorders>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20" w:type="dxa"/>
            <w:vAlign w:val="bottom"/>
            <w:tcBorders>
              <w:bottom w:val="single" w:sz="8" w:color="CCEEFF"/>
            </w:tcBorders>
            <w:gridSpan w:val="1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06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00" w:type="dxa"/>
            <w:vAlign w:val="bottom"/>
            <w:tcBorders>
              <w:bottom w:val="single" w:sz="8" w:color="CCEEFF"/>
            </w:tcBorders>
            <w:gridSpan w:val="1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4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540" w:type="dxa"/>
            <w:vAlign w:val="bottom"/>
            <w:gridSpan w:val="2"/>
          </w:tcPr>
          <w:p>
            <w:pPr>
              <w:spacing w:after="0"/>
              <w:rPr>
                <w:sz w:val="15"/>
                <w:szCs w:val="15"/>
                <w:color w:val="auto"/>
              </w:rPr>
            </w:pP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Securityholder may, from time to time, sell the securities described in this prospectus. We will not receive any proceeds from the sale by the Selling Securityholder of the securities described in this prospectus.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that are offered by this prospectus, you should carefully read this prospectus with all of the information incorporated by reference in this prospectus, as well as the additional information described under the heading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These documents contain important information that you should consider when making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decision. We have filed or incorporated by reference exhibits to the registration statement of which this prospectus forms a part. You should read the exhibits carefully for provisions that may be important to you.</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in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 have authorized anyone to provide any information or to make any representations other than those contained in this prospectus, any accompanying prospectus supplement or any free writing prospectus we have prepared. We and the Selling Securityholder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or as of the date that is specified for a particular matter in those documents, regardless of the time of delivery of this prospectus or any applicable prospectus supplement, or any sale of a security. Our business, financial condition, results of operations and prospects may have changed since those dates.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“Company,” “Bitdeer” and references to “we,” “us,” or similar such references should be understood to be references to Bitdeer Technologies Group and its subsidiaries. When this prospectus refers to “Bitdeer” “we,” “us,” or similar such references in the context of discussing Bitdeer’s business or other affairs prior to the consummation of the business combination on April 13, 2023 (the “Business Combination”),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 References to “Class A Ordinary Shares” refer to Class A ordinary shares of a par value of US$0.0000001 each, in the share capital of the Company. References to “Class V Ordinary Shares” refer to Class V ordinary shares of a par value of US$0.0000001 each, in the share capital of the Company. References to “Ordinary Shares” refer to Class A Ordinary Shares and Class V Ordinary Shares, collectively.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desire to take advantage of the safe harbor provisions of the PSLRA and is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volatility of Bitcoin and other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positions in proprietary hash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and/or manufacture mining rigs at a lower cost;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mining datacenters or begin or complete any project that is “in the pipeline,” contracted or negotiated but not yet under active construction;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generations of mining rigs;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electricity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effective judgments regarding pricing strategy and resource allocation;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expand product offerings and to successfully develop our ASIC and mining rig and HPC and AI cloud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that may restrict the use of cryptocurrencies or the operation of cryptocurrency networks in a manner that may require us to cease certain or all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of earthquakes, fires, floods, and other natural catastrophic events and interruptions by man-made issues such as strikes and terrorist attacks;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Class A ordinary shares, which could cause the value of your investment to decline;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active trading market for our Class A ordinary shares may never develop or be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Class A ordinary shares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securities, which has been and may continue to be volatile;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financing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runway;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our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in the section titled “Risk Factors” of this prospectus.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which you are advised to consult. For additional information,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33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SUMMARY OF THE PROSPECTUS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You should carefully read this entire prospectus, the registration statement of which this prospectus forms a part and the documents incorporated by reference herein carefully, including the information presented under the sections titled “Risk Factors,” “Cautionary Statement Regarding Forward-Looking Statements,” and our financial statements before making an investment decision. The definition of some of the terms used in this prospectus are set forth under the section titled “About this Prospectus.” For additional information, see the section titled “Where You Can Find More Information.” Each item in this summary refers to the page of this prospectus on which that subject is discussed in more detail.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world-leading technology company for Bitcoin mining. We are committed to providing comprehensive computing solutions for our customers. We handle complex processes involved in computing, such as equipment procurement, transport logistics, datacenter design and construction, equipment management, and daily operations. Additionally, we offer advanced cloud capabilities to support customers with high demand for artificial intelligence (AI).</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Headquartered in Singapore, we currently operate seven mining datacenters in the United States, Norway and Bhutan with an aggregate electrical capacity of 1,257 MW as of July 31, 2025. From these mining datacenters, we generate hash rate under management which is categorized into proprietary and hosting hash rate. As of July 31, 2025, our proprietary hash rate was 22.5 EH/s. Together with the 13.9 EH/s hosting hash rate generated from mining rigs hosted in our mining datacenters, we possessed a total of 36.4 EH/s of hash rate under management as of July 31, 2025. We expect to continue increasing our hash rate through 2025 and beyond through conversion of our existing hosting capacity, executing on pipeline capacity, and pursuing expansion opportunities on a global scale. As of July 31, 2025, we possessed an aggregate pipeline capacity of 1,433 MW in the United States, Norway, Bhutan, Canada and Ethiopia.</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primarily operate five interconnected business lines – “self-mining,” “hash rate sharing,” “hosting,” “ASIC and mining rig business,” and “HPC and AI cloud business.”</w:t>
      </w:r>
    </w:p>
    <w:p>
      <w:pPr>
        <w:spacing w:after="0" w:line="162" w:lineRule="exact"/>
        <w:rPr>
          <w:sz w:val="20"/>
          <w:szCs w:val="20"/>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refers to cryptocurrency mining for our own account, which allows us to directly capture the high appreciation potential of cryptocurrency.</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Cloud Hash Rate, our primary hash rate sharing solution, we sell our proprietary hash rate to customers, offering hash rate subscription plans at fixed prices and sharing mining income with them under certain arrangements.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w:t>
      </w:r>
    </w:p>
    <w:p>
      <w:pPr>
        <w:spacing w:after="0" w:line="179" w:lineRule="exact"/>
        <w:rPr>
          <w:rFonts w:ascii="Times New Roman" w:cs="Times New Roman" w:eastAsia="Times New Roman" w:hAnsi="Times New Roman"/>
          <w:sz w:val="18"/>
          <w:szCs w:val="18"/>
          <w:color w:val="auto"/>
        </w:rPr>
      </w:pPr>
    </w:p>
    <w:p>
      <w:pPr>
        <w:jc w:val="both"/>
        <w:ind w:left="640" w:right="20" w:hanging="324"/>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ASIC and mining rig business, we leverage proprietary ASIC technology to develop, manufacture, and commercialize our SEALMINER mining rigs to diversify our revenue streams and accelerate the growth of our self-mining operations. We began generating sales revenue from our ASIC and mining rig business in 2025 and deployed some rigs to our mining datacenters to expand our self-mining operations. We believe our ASIC technology platform will allow vertical integration and enable us to capture the upside ASIC margins via self-mining and sales of mining rigs to third parties, such as rapid hash rate development, a lower cost structure, enhanced capital efficiency, and an improved supply chain compared to the broader industry.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8" w:name="page9"/>
    <w:bookmarkEnd w:id="8"/>
    <w:p>
      <w:pPr>
        <w:jc w:val="both"/>
        <w:ind w:left="640" w:right="20" w:hanging="324"/>
        <w:spacing w:after="0" w:line="261"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710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In our HPC and AI cloud business, we offer advanced cloud capabilities and HPC services to customers with high demand for AI and computing. We operate the first cloud service platform in Asia that offers AI cloud services powered by NVIDIA DGX SuperPOD H100 system. Our AI cloud services help customers accelerate their development of generative AI, large language models (LLMs), and other AI workloads.</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operations in mining datacenters are supported by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our self-developed integrated intelligent software platform, which offers software support to significantly reduce time needed for daily maintenance and mining rig upgrade and substantially decrease operations and maintenance headcount.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w:t>
      </w:r>
      <w:r>
        <w:rPr>
          <w:rFonts w:ascii="Times New Roman" w:cs="Times New Roman" w:eastAsia="Times New Roman" w:hAnsi="Times New Roman"/>
          <w:sz w:val="18"/>
          <w:szCs w:val="18"/>
          <w:i w:val="1"/>
          <w:iCs w:val="1"/>
          <w:color w:val="auto"/>
        </w:rPr>
        <w:t>Item 3.D. Key Information—Risk Factors—Risks Related to Our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a foreign private issuer within the meaning of the rules under the Exchange Act, and as such we are exempt from certain provisions applicable to domestic public companies in the United States</w:t>
      </w:r>
      <w:r>
        <w:rPr>
          <w:rFonts w:ascii="Times New Roman" w:cs="Times New Roman" w:eastAsia="Times New Roman" w:hAnsi="Times New Roman"/>
          <w:sz w:val="18"/>
          <w:szCs w:val="18"/>
          <w:color w:val="auto"/>
        </w:rPr>
        <w:t>” in our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180" w:lineRule="exact"/>
        <w:rPr>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conduct an annual performance evaluation of the nominating and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Cayman Islands.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shares.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7" w:right="4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3201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3201670"/>
                    </a:xfrm>
                    <a:prstGeom prst="rect">
                      <a:avLst/>
                    </a:prstGeom>
                    <a:noFill/>
                  </pic:spPr>
                </pic:pic>
              </a:graphicData>
            </a:graphic>
          </wp:anchor>
        </w:drawing>
        <w:t>THE OFFERING</w:t>
      </w:r>
    </w:p>
    <w:p>
      <w:pPr>
        <w:sectPr>
          <w:pgSz w:w="11900" w:h="16838" w:orient="portrait"/>
          <w:cols w:equalWidth="0" w:num="1">
            <w:col w:w="11240"/>
          </w:cols>
          <w:pgMar w:left="320" w:top="1143" w:right="339" w:bottom="1440" w:gutter="0" w:footer="0" w:header="0"/>
        </w:sectPr>
      </w:pPr>
    </w:p>
    <w:p>
      <w:pPr>
        <w:spacing w:after="0" w:line="225" w:lineRule="exact"/>
        <w:rPr>
          <w:sz w:val="20"/>
          <w:szCs w:val="20"/>
          <w:color w:val="auto"/>
        </w:rPr>
      </w:pPr>
    </w:p>
    <w:p>
      <w:pPr>
        <w:ind w:left="140"/>
        <w:spacing w:after="0" w:line="537" w:lineRule="auto"/>
        <w:rPr>
          <w:sz w:val="20"/>
          <w:szCs w:val="20"/>
          <w:color w:val="auto"/>
        </w:rPr>
      </w:pPr>
      <w:r>
        <w:rPr>
          <w:rFonts w:ascii="Times New Roman" w:cs="Times New Roman" w:eastAsia="Times New Roman" w:hAnsi="Times New Roman"/>
          <w:sz w:val="18"/>
          <w:szCs w:val="18"/>
          <w:b w:val="1"/>
          <w:bCs w:val="1"/>
          <w:color w:val="auto"/>
        </w:rPr>
        <w:t>Class A Ordinary Shares offered by the Selling Securityholder Terms of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186,627 Class A Ordinary Shares</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Selling Securityholder will determine when and how it will sell the Class A Ordinary Shares offered in this prospectus, as described in “Plan of Distribution.”</w:t>
      </w:r>
    </w:p>
    <w:p>
      <w:pPr>
        <w:spacing w:after="0" w:line="172" w:lineRule="exact"/>
        <w:rPr>
          <w:sz w:val="20"/>
          <w:szCs w:val="20"/>
          <w:color w:val="auto"/>
        </w:rPr>
      </w:pPr>
    </w:p>
    <w:p>
      <w:pPr>
        <w:sectPr>
          <w:pgSz w:w="11900" w:h="16838" w:orient="portrait"/>
          <w:cols w:equalWidth="0" w:num="2">
            <w:col w:w="4920" w:space="700"/>
            <w:col w:w="562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Class A Ordinary Shares in this offering. The Selling Securityholder will</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receive all of the net proceeds from the sale of the Class A Ordinary Shares</w:t>
            </w: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offered hereby.</w:t>
            </w:r>
          </w:p>
        </w:tc>
      </w:tr>
      <w:tr>
        <w:trPr>
          <w:trHeight w:val="414"/>
        </w:trPr>
        <w:tc>
          <w:tcPr>
            <w:tcW w:w="20" w:type="dxa"/>
            <w:vAlign w:val="bottom"/>
          </w:tcPr>
          <w:p>
            <w:pPr>
              <w:spacing w:after="0"/>
              <w:rPr>
                <w:sz w:val="24"/>
                <w:szCs w:val="24"/>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other information included in</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this prospectus and in the documents incorporated by reference in this</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prospectus for a discussion of the risks relating to investing in the Class A</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Ordinary Shares. You should carefully consider these risks before deciding</w:t>
            </w: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to invest in our Class A Ordinary Shares.</w:t>
            </w:r>
          </w:p>
        </w:tc>
      </w:tr>
      <w:tr>
        <w:trPr>
          <w:trHeight w:val="414"/>
        </w:trPr>
        <w:tc>
          <w:tcPr>
            <w:tcW w:w="20" w:type="dxa"/>
            <w:vAlign w:val="bottom"/>
          </w:tcPr>
          <w:p>
            <w:pPr>
              <w:spacing w:after="0"/>
              <w:rPr>
                <w:sz w:val="24"/>
                <w:szCs w:val="24"/>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Nasdaq Ticker-Symbol</w:t>
            </w: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Class A Ordinary Shares are listed on Nasdaq under the trading symbol</w:t>
            </w: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“BTDR.”</w:t>
            </w:r>
          </w:p>
        </w:tc>
      </w:tr>
      <w:tr>
        <w:trPr>
          <w:trHeight w:val="246"/>
        </w:trPr>
        <w:tc>
          <w:tcPr>
            <w:tcW w:w="20" w:type="dxa"/>
            <w:vAlign w:val="bottom"/>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tcPr>
          <w:p>
            <w:pPr>
              <w:spacing w:after="0"/>
              <w:rPr>
                <w:sz w:val="21"/>
                <w:szCs w:val="21"/>
                <w:color w:val="auto"/>
              </w:rPr>
            </w:pPr>
          </w:p>
        </w:tc>
      </w:tr>
      <w:tr>
        <w:trPr>
          <w:trHeight w:val="686"/>
        </w:trPr>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143"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20-F and the other documents that are filed after the date hereof that are incorporated by reference into this prospectus and the applicable prospectus supplement, before deciding whether to purchase any of the securities being offered.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results of operations, financial condition and prospects.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securities. These risks include, among others,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Industry and Financial Condition</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Bitcoin price fluctuation.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Bitcoins available for mining is limited and we may not be able to quickly adapt to new businesses when all the Bitcoins have been mined.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competitive position as cryptocurrency networks are witnessing increases in the total network hash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growth strategies or effectively maintain our rapid growth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AI may result in reputational or competitive harm or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succeed in ASIC and mining rig business, HPC and AI cloud business or other markets we seek to penetrate into, our revenues, growth prospects and financial condition could be materially and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ASIC and mining rig business currently depends on supplies from a third-party foundry partner, and any failure to obtain sufficient foundry capacity from such third-party foundry partner would significantly delay the shipment of our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Cryptocurrencies</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destruction of a private key required to access our cryptocurrency is irreversible. We also may temporarily lose access to our cryptocurrencies.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the regulatory landscape governing digital asset exchanges is rapidly evolving, and thus may be exposed to fraud and failure. Incorrect or fraudulent cryptocurrency transactions may be irreversible.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that, in the event of a bankruptcy filing by a custodian, cryptocurrency held in custody could be determined to be property of a bankruptcy estate and we could be considered a general unsecured creditor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Compliance and Other Legal Matters</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requires the application of complex financial accounting rules. If financial accounting standards undergo significant changes, our operating results could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interactions with a blockchain may expose us to specially designated nationals (“SDN”) or blocked persons or cause us to violate provisions of law that did not contemplate distribute ledger technology.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mining datacenters may be located on property whose owner has not obtained the approval of relevant authorities, and we may be ordered to relocate from that property.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Class A ordinary shares may not develop, which would adversely affect the liquidity and price of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ordinary shares may adversely affect price and liquidity of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possibility of future sales of, a substantial number of our ordinary shares may depress the price of such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risks related to our multinational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or become a PFIC, which could result in adverse U.S. federal income tax consequences to U.S. Holders of Class A ordinary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2025.</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registration statement relates to the resale of Class A Ordinary Shares by the Selling Securityholder. The Class A Ordinary Shares being registered were issued in May 2025 upon the exercise of a certain warrant. The financial impact of this warrant exercise is already reflected in our actual capitalization as of June 30, 2025, as presented below. We will not receive any proceeds from the sale of Class A Ordinary Shares by the Selling Securityholder.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other sections of this prospectus (as supplemented or amended) and any documents that they incorporate by reference, including our consolidated financial statements and the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6"/>
        </w:trPr>
        <w:tc>
          <w:tcPr>
            <w:tcW w:w="10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(US$ in</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23"/>
        </w:trPr>
        <w:tc>
          <w:tcPr>
            <w:tcW w:w="100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Borders>
              <w:bottom w:val="single" w:sz="8" w:color="CCEEFF"/>
            </w:tcBorders>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533,076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equity</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(290,607)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(387,264)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1,384,622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706,751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1,539,619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 less than US$1,000</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in the table above is based on 167,316,601 Class A Ordinary Shares and 44,399,922 Class V Ordinary Shares outstanding as of June 30, 2025 on an actual basis and excludes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7,094,457 Class A Ordinary Shares reserved for future issuances upon the exercise of awards granted under our share incentive plans as of June 30, 2025 and 72,200 Class A ordinary shares that have been repurchased but not cancelled;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1,209,951 Class A Ordinary Shares that we sold after June 30, 2025 and prior to the date of this prospectus, pursuant to that certain At Market Issuance Sales Agreement, dated as of March 18, 2024, by and among us, B. Riley Securities, Inc., Cantor Fitzgerald &amp; Co., Needham &amp; Company, LLC, StockBlock Securities LLC, Roth Capital Partners, LLC and Rosenblatt Securities Inc.;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2,036,383 Class A Ordinary Shares issued to VENTE Technology Growth Investments L.P. on July 21, 2025, upon the conversion of the Definitive Certificate for the Convertible Notes dated July 23, 2021, which represented an outstanding principal amount of US$15,000,000 and was originally issued by Bitdeer Technologies Holding Company, our wholly-owned subsidiary.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Class A Ordinary Shares in this offering. The Selling Securityholder will receive all of the proceeds from this offering.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 will pay any underwriting discounts and commissions and placement agent fees or other similar expenses incurred by the Selling Securityholder for brokerage, or legal services or any other expenses incurred by the Selling Securityholder in disposing of the Class A Ordinary Shares. We will bear all other fees and expenses incurred in effecting the resale registration of the Class A Ordinary Shares covered by this prospectus, including registration, listing, qualification and filing fees, depositary fees, fees and expenses of our counsel and our independent registered public accountants.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declare dividends on the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distribution of dividends may also be limited by the Companies Act (As Revised) of the Cayman Islands, which permits the distribution of dividends only out of either profit or the credit standing in our share premium account, provided that in no circumstances may a dividend be paid if this would result in us being unable to pay our debts as they fall due in our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on Nasdaq and are registered under Section 12(b) of the Exchange Act. Setting forth below is a description of the rights of the holders of Class A Ordinary Shares and Class V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Ordinary Shares are issued in registered form and are issued when registered in our register of shareholders. We may not issue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bearer. Our shareholders who are nonresidents of the Cayman Islands may freely hold and vote their Ordinary Shares. Our Ordinary Shares are divided into Class A Ordinary Shares and Class V Ordinary Shares. Holders of our Class A Ordinary Shares and Class V Ordinary Shares have the same rights except for voting and conversion rights. See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V Ordinary Share shall automatically convert into one Class A Ordinary Share (as adjusted for share splits, share combinations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spacing w:after="0" w:line="1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 are entitled to such dividends as may be declared by our board of directors. In addition,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the Company may pay a dividend out of either profit or the credit standing in the Company’s share premium account, provided that in no circumstances may a dividend be paid if this would result in the Company being unable to pay its debts as they fall due in the ordinary course of business immediately following the date on which the distribution or dividend is proposed to be paid.</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 have the right to receive notice of, attend and vote at general meetings of our Company.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 and Class V Ordinary Share shall, at all times, vote together as one class on all matters submitted to a vote by our shareholders at any general meeting of the Company. Each Class A Ordinary Share shall be entitled to one (1) vote and each Class V Ordinary Share shall be entitled to ten</w:t>
      </w:r>
    </w:p>
    <w:p>
      <w:pPr>
        <w:spacing w:after="0" w:line="1" w:lineRule="exact"/>
        <w:rPr>
          <w:sz w:val="20"/>
          <w:szCs w:val="20"/>
          <w:color w:val="auto"/>
        </w:rPr>
      </w:pPr>
    </w:p>
    <w:p>
      <w:pPr>
        <w:jc w:val="both"/>
        <w:ind w:firstLine="8"/>
        <w:spacing w:after="0" w:line="255" w:lineRule="auto"/>
        <w:tabs>
          <w:tab w:leader="none" w:pos="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of the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 A special resolution will be required for important matters such as a change of name or making changes to our amended and restated memorandum and articles of association. Holders of the Ordinary Share may, among other things, divide or combine their shares by ordinary resolution.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(As Revised) of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(the “Cayman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our shareholders may transfer all or any of his or her Ordinary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instrument of transfer in the usual or common form or any other form approved by our board of directors.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directors may from time to time require is paid to us in respect thereof.</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a notice served to such shareholders at least 14 calendar days prior to the specified time and place of payment. The shares that have been called upon and remain unpaid are subject to forfeiture.</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Subject to the Cayman Companies Act, our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and to any applicable requirements imposed from time to time by the Nasdaq, the Securities and Exchange Commission,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of association authorizes our board of directors to issue additional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time to time as our board of directors shall determine, to the extent of available authorized but unissued shares.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records (other than copies of our memorandum and articles, the register of mortgages or charges, and any special resolutions passed by our shareholders). However, we will provide our shareholders with annual audited financial statements.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60"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Cayman Companies Act. The Cayman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Cayman Companies Act permits mergers and consolidations between Cayman Islands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(i) seventy-five percent (75%) in value of shareholders or class of shareholders, as the case may be, or (ii) a majority in number representing seventy-five percent (75%) in value of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Companies Act.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w:t>
      </w:r>
    </w:p>
    <w:p>
      <w:pPr>
        <w:spacing w:after="0" w:line="18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illegal or ultra vires with respect to the company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requires authorization by a qualified (or special) majority (that is, more than a simple majority) which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wrongdoers are themselves in control of the company.</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a corporation may eliminate the right of shareholders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w:t>
      </w:r>
      <w:r>
        <w:rPr>
          <w:rFonts w:ascii="Times New Roman" w:cs="Times New Roman" w:eastAsia="Times New Roman" w:hAnsi="Times New Roman"/>
          <w:sz w:val="18"/>
          <w:szCs w:val="18"/>
          <w:i w:val="1"/>
          <w:iCs w:val="1"/>
          <w:color w:val="auto"/>
        </w:rPr>
        <w:t>—Description of Securities—General Meetings of Shareholders</w:t>
      </w:r>
      <w:r>
        <w:rPr>
          <w:rFonts w:ascii="Times New Roman" w:cs="Times New Roman" w:eastAsia="Times New Roman" w:hAnsi="Times New Roman"/>
          <w:sz w:val="18"/>
          <w:szCs w:val="18"/>
          <w:color w:val="auto"/>
        </w:rPr>
        <w:t>” for more information on the rights of our shareholders’ rights to put proposals before the annual general meeting.</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Cayman Islands law has no comparable statute. </w:t>
      </w:r>
      <w:r>
        <w:rPr>
          <w:rFonts w:ascii="Times New Roman" w:cs="Times New Roman" w:eastAsia="Times New Roman" w:hAnsi="Times New Roman"/>
          <w:sz w:val="18"/>
          <w:szCs w:val="18"/>
          <w:color w:val="auto"/>
        </w:rPr>
        <w:t>As a result, we cannot avail ourselves of the types of protections afforded by the Delaware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We are registering 186,627 Class A Ordinary Shares on behalf of the Selling Securityholder to permit the Selling Securityholder and its pledgees, donees, transferees or other successors-in-interest that receive their shares after the date of this prospectus to resell or otherwise dispose of the Class A Ordinary Shares in the manner contemplated under “Plan of Distribution” below.</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name of the Selling Securityholder, the number of Class A Ordinary Shares beneficially owned by the Selling Securityholder as of July 31, 2025, the number of Class A Ordinary Shares that may be offered under this prospectus and the number of Class A Ordinary Shares beneficially owned by the Selling Securityholder assuming all of the shares covered hereby are sold. The number of Class A Ordinary Shares in the column “Number of Shares Being Offered” represents all of the Class A Ordinary Shares that the Selling Securityholder may offer under this prospectus. The Selling Securityholder may sell some, all or none of its Class A Ordinary Shares. We do not know how long the Selling Securityholder will hold the Class A Ordinary Shares before selling them, and we currently have no agreements, arrangements or understandings with the Selling Securityholder regarding the sale or other disposition of any of the Class A Ordinary Shares. The Class A Ordinary Shares covered hereby may be offered from time to time by the Selling Securityholder.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Securityholder and upon information in our possession regarding the original issuance of the Class A Ordinary Shares. The percentages of shares owned after the offering are based on 213,882,906 Ordinary Shares outstanding as of July 31, 2025, including (i) 169,482,984 Class A Ordinary Shares (excluding 7,115,204 Class A Ordinary Shares reserved for future issuances upon the exercise of awards granted under our share incentive plans and 72,200 Class A Ordinary Shares that have been repurchased but not cancelled), and (ii) 44,399,922 Class V Ordinary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2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Beneficially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82"/>
        </w:trPr>
        <w:tc>
          <w:tcPr>
            <w:tcW w:w="4620" w:type="dxa"/>
            <w:vAlign w:val="bottom"/>
          </w:tcPr>
          <w:p>
            <w:pPr>
              <w:spacing w:after="0"/>
              <w:rPr>
                <w:sz w:val="24"/>
                <w:szCs w:val="24"/>
                <w:color w:val="auto"/>
              </w:rPr>
            </w:pPr>
          </w:p>
        </w:tc>
        <w:tc>
          <w:tcPr>
            <w:tcW w:w="2700" w:type="dxa"/>
            <w:vAlign w:val="bottom"/>
            <w:gridSpan w:val="4"/>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7"/>
              </w:rPr>
              <w:t>Owned Prior to Offering</w:t>
            </w:r>
            <w:r>
              <w:rPr>
                <w:rFonts w:ascii="Times New Roman" w:cs="Times New Roman" w:eastAsia="Times New Roman" w:hAnsi="Times New Roman"/>
                <w:sz w:val="29"/>
                <w:szCs w:val="29"/>
                <w:b w:val="1"/>
                <w:bCs w:val="1"/>
                <w:color w:val="auto"/>
                <w:w w:val="97"/>
                <w:vertAlign w:val="superscript"/>
              </w:rPr>
              <w:t>(1)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2600" w:type="dxa"/>
            <w:vAlign w:val="bottom"/>
            <w:gridSpan w:val="4"/>
          </w:tcPr>
          <w:p>
            <w:pPr>
              <w:jc w:val="center"/>
              <w:ind w:right="160"/>
              <w:spacing w:after="0" w:line="276" w:lineRule="exact"/>
              <w:rPr>
                <w:sz w:val="20"/>
                <w:szCs w:val="20"/>
                <w:color w:val="auto"/>
              </w:rPr>
            </w:pPr>
            <w:r>
              <w:rPr>
                <w:rFonts w:ascii="Times New Roman" w:cs="Times New Roman" w:eastAsia="Times New Roman" w:hAnsi="Times New Roman"/>
                <w:sz w:val="18"/>
                <w:szCs w:val="18"/>
                <w:b w:val="1"/>
                <w:bCs w:val="1"/>
                <w:color w:val="auto"/>
                <w:w w:val="95"/>
              </w:rPr>
              <w:t>After Offering</w:t>
            </w:r>
            <w:r>
              <w:rPr>
                <w:rFonts w:ascii="Times New Roman" w:cs="Times New Roman" w:eastAsia="Times New Roman" w:hAnsi="Times New Roman"/>
                <w:sz w:val="29"/>
                <w:szCs w:val="29"/>
                <w:b w:val="1"/>
                <w:bCs w:val="1"/>
                <w:color w:val="auto"/>
                <w:w w:val="95"/>
                <w:vertAlign w:val="superscript"/>
              </w:rPr>
              <w:t>(2)</w:t>
            </w:r>
          </w:p>
        </w:tc>
      </w:tr>
      <w:tr>
        <w:trPr>
          <w:trHeight w:val="237"/>
        </w:trPr>
        <w:tc>
          <w:tcPr>
            <w:tcW w:w="46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43"/>
        </w:trPr>
        <w:tc>
          <w:tcPr>
            <w:tcW w:w="46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Tether Holdings, S.A. de C.V.</w:t>
            </w:r>
            <w:r>
              <w:rPr>
                <w:rFonts w:ascii="Times New Roman" w:cs="Times New Roman" w:eastAsia="Times New Roman" w:hAnsi="Times New Roman"/>
                <w:sz w:val="28"/>
                <w:szCs w:val="28"/>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38,076,689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186,627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37,890,062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 in Rule 13d-3 under the Exchange Act, and includes more than the typical form of share ownership, that is, shares held in the person’s name. The term also includes what is referred to as “indirect ownership,” meaning ownership of shares as to which a person has or shares investment power. For purposes of this table, a person or group of persons is deemed to have “beneficial ownership” of any shares that are currently exercisable or exercisable within 60 days of July 31, 2025.</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Selling Securityholder sells all Class A Ordinary Shares registered under this prospectus.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reported under “Shares Beneficially Owned Prior to Offering” consists of 38,076,689 Class A Ordinary Shares. The selling securityholder is Tether Holdings, S.A. de C.V., an entity organized under the laws of El Salvador. This entity was formerly known as Tether Holdings Limited and was a company organized under the laws of the British Virgin Islands. Its principal business address is Final Av. La Revolucion, Edif. Centro, Corporativo Presidente Plaza Nivel 12, San Salvador, H3, 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and Agreements with the Selling Securityholder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footnotes to the table above and as described below, the Selling Securityholder does not, and within the past three years has not had, any position, office or other material relationship with us.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30, 2024, we entered into the Subscription Agreement with the Selling Securityholder, pursuant to which we issued and sold to the Selling Securityholder 18,587,360 Class A Ordinary Shares and the Warrant, which initially entitled the holder thereof to purchase 5,000,000 Class A Ordinary Shares at an exercise price of US$10.00 per share. The Warrant is subject to customary anti-dilution provisions reflecting share dividends and splits or other similar transactions, and weighted average anti-dilution protection with respect to the issuance of ordinary shares or ordinary share equivalents for consideration per share less than the initial exercise price of the Warrant. As a result of this anti-dilution provision being triggered, the Warrant became exercisable for a total of 5,186,627 Class A Ordinary Shares. The shares being registered in this prospectus represent the 186,627 additional shares that became issuable due to this adjustment. The Warrant expires one year after issuance of the Warrant and has been fully exercised. We are not selling any securities under this prospectus and will not receive any of the proceeds from the sale or other disposition of our Class A Ordinary Shares by the Selling Securityholder.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Class A Ordinary Shares on behalf of the Selling Securityholder to permit the resale from time to time of the Class A Ordinary Shares by the Selling Securityholder, including its donees, pledgees, transferees or other successors-in-interest, after the date of this prospectus. The Selling Securityholder may, from time to time, sell any or all of the Class A Ordinary Shares beneficially owned by it (including Class A Ordinary Shares issuable upon the exercise of the Warrant) and offered hereby from time to time directly or through one or more underwriters, broker-dealers or agents. These sales may be at fixed prices, at prevailing market prices at the time of the sale, at varying prices determined at the time of the sale or at negotiated prices. The Selling Securityholder may use any one or more of the following methods when selling the Class A Ordinary Shares:</w:t>
      </w:r>
    </w:p>
    <w:p>
      <w:pPr>
        <w:spacing w:after="0" w:line="18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stock exchange, market or trading facility on which the Class A Ordinary Shares are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Class A Ordinary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their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buy and sell back and similar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out short positions and return borrowed Class A Ordinary Shares in connection with such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shareholder to sell a specified number of such Class A Ordinary Shares at a stipulated price per Class A Ordinary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 may from time to time pledge or grant a security interest in some or all of the Class A Ordinary Shares owned by it (including Class A Ordinary Shares issuance upon the exercise of the Warrant) and, if it defaults in the performance of its secured obligations, the pledgees or secured parties may offer and sell Class A Ordinary Shares, from time to time, under this prospectus under applicable provisions of the Securities Act, or under an amendment or supplement to this prospectus amending the name of the Selling Securityholder to include the pledgee, transferee or other successors in interest as the Selling Securityholder under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 may also sell Class A Ordinary Shares under Rule 144 under the Securities Act or Regulation S, or pursuant to another exemption from registration under the Securities Act, if available, rather than under this prospectus.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can be no assurance that the Selling Securityholder will sell any or all of our Class A Ordinary Shares offered by this prospectus.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Broker-dealers engaged by the Selling Securityholder may arrange for other brokers-dealers to participate in sales. Broker-dealers may receive commissions or discounts from the Selling Securityholder (or, if any broker-dealer acts as agent for the purchaser of Class A Ordinary Shares, from the purchaser) in amounts to be negotiated. In connection with sales of the Class A Ordinary Shares or otherwise, the Selling Securityholder may enter into derivative or hedging transactions with broker-dealers, other financial institutions or third parties, which may in turn engage in short sales of the Class A Ordinary Shares offered hereby in the course of hedging in positions they assume. The Selling Securityholder may enter into derivative transactions with broker-dealers, other financial institutions or third parties or sell securities not covered by this prospectus in privately negotiated or registered transactions. These transactions may involve the sale of Class A Ordinary Shares by the Selling Securityholder by forward sale or by an offering (directly or by entering into derivative transactions with broker-dealers, other financial institutions or third parties) of options, rights, warrants or other securities that are offered with, convertible into or exchangeable for Class A Ordinary Shares. The Selling Securityholder may also sell Class A Ordinary Shares short and deliver shares covered by this prospectus to close out short positions and to return borrowed shares in connection with such short sales. The Selling Securityholder may also loan, pledge, hypothecate or sell Class A Ordinary Shares, including pursuant to repurchase, buy and sell back and similar transactions, to broker-dealers, other financial institutions or third parties that in turn may sell such shares.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applicable prospectus supplement indicates, in connection with derivative transactions, the broker-dealers, other financial institutions or third parties may sell Class A Ordinary Shares covered by this prospectus and the applicable prospectus supplement, including in short sale transactions. If so, the broker-dealer, other financial institution or third party may use Class A Ordinary Shares pledged by the Selling Securityholder or borrowed from the Selling Securityholder or others to settle those sales or to close out any related open borrowings of Class A Ordinary Shares and may use Class A Ordinary Shares received from the Selling Securityholder in settlement of derivative transactions to close out any related open borrowings of Class A Ordinary Shares.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Selling Securityholder and any broker-dealers or other third parties that are involved in selling Class A Ordinary Shares may be deemed to be “underwriters” within the meaning of the Securities Act in connection with such sales. In such event, any commissions or discounts received by such broker-dealers or other third parties and any profit on the resale of the Class A Ordinary Shares purchased by them may be deemed to be underwriting commissions or discounts under the Securities Act. At the time a particular offering of the Class A Ordinary Shares is made, a prospectus supplement will be distributed, which will set forth the aggregate amount of Class A Ordinary Shares being offered and the terms of the offering, including the name or names of any broker-dealers or other third parties, any discounts, commissions and other terms constituting compensation from the Selling Securityholder and any discounts, commissions or concessions allowed or re-allowed or paid to broker-dealers or other third parties. Discounts, concessions, commissions and similar selling expenses, if any, attributable to the sale of Class A Ordinary Shares will be borne by the Selling Securityholder.</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Class A Ordinary Shares offered hereby may be sold in such states only through registered or licensed brokers or dealers. In addition, in some states the shares may not be sold unless such Class A Ordinary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Selling Securityholder uses this prospectus for any sale of Class A Ordinary Shares, it will be subject to the prospectus delivery requirements of the Securities Act. The Selling Securityholder and any other person participating in such distribution will be subject to applicable provisions of the Exchange Act, and the rules and regulations thereunder, including without limitation, Regulation M, which may limit the timing of purchases and sales of any of the shares by the Selling Securityholder and any other participating person.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not receive any proceeds from the sale of Class A Ordinary Shares under this prospectus or any prospectus supplement.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pay all expenses of registration incurred in connection with the offering of Class A Ordinary Shares under this prospectus, except for any underwriting discounts, if any, selling commissions and stock transfer taxes applicable to the sale of Class A Ordinary Shares by the Selling Securityholder, all of which are to be paid by the Selling Securityholder.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the Class A Ordinary Shares by the Selling Securityholder.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Selling Securityholder, however, will bear all brokers and underwriting commissions and discounts, if any, attributable to their sale of the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20" w:type="dxa"/>
            <w:vAlign w:val="bottom"/>
            <w:tcBorders>
              <w:bottom w:val="single" w:sz="8" w:color="auto"/>
            </w:tcBorders>
          </w:tcPr>
          <w:p>
            <w:pPr>
              <w:spacing w:after="0"/>
              <w:rPr>
                <w:sz w:val="21"/>
                <w:szCs w:val="21"/>
                <w:color w:val="auto"/>
              </w:rPr>
            </w:pPr>
          </w:p>
        </w:tc>
        <w:tc>
          <w:tcPr>
            <w:tcW w:w="72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These fees cannot be defined at this time.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SEC registration fee, estimated expenses are not presently known. The foregoing sets forth the general categories of expenses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this registration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Class A Ordinary Shares by a U.S. Holder. This discussion applies only to Class A Ordinary Shares that are held by a U.S. Holder as “capital assets” within the meaning of Section 1221 of the U.S. Internal Revenue Code of 1986, as amended (the “Code”) (generally, property held for investment). For purposes of this discussion, “Ordinary Shares” refer to Class A Ordinary Shares.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spacing w:after="0" w:line="19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dealers in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(directly, indirectly, or constructively) 5% (by vote or value) or more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and investors in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(ii) that has in effect a valid election under applicable U.S. Treasury regulations to be treated as a United States person.</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U.S. federal income tax purposes, for the taxable year ended December 31, 2024. However, our PFIC status for any taxable year is a factual annual determination that can be made only after the end of the year and will depend on the composition of our income and assets and the value of our assets from time to time (including the value of our goodwill, which may be determined in large part by reference to the market price of the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hash rate sharing,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our current or any future taxable year, and our U.S. counsel expresses no opinion with respect to our PFIC status for any taxable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PFIC Elections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VERY COMPLEX AND U.S. HOLDERS SHOULD CONSULT THEIR TAX ADVISORS REGARDING THE APPLICATION OF SUCH RULES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any shares under the laws of their country of citizenship, residence or domicile.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Existing Cayman Islands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as to United States federal securities and New York State law. The validity of Ordinary Shares has been passed on by Ogier. If legal matters in connection with offerings made pursuant to this prospectus are passed upon by counsel for underwriters, dealers or agents, if any, such counsel will be named in the prospectus supplement relating to such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Bitdeer Technologies Group incorporated in this prospectus by reference to the annual report on Form 20-F for the year ended December 31, 2024 have been so incorporated in reliance on the report of MaloneBailey, LLP,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neutrality;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those of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76" w:lineRule="exact"/>
        <w:rPr>
          <w:sz w:val="20"/>
          <w:szCs w:val="20"/>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w:t>
      </w:r>
    </w:p>
    <w:p>
      <w:pPr>
        <w:spacing w:after="0" w:line="225"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19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21,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Reports on Form 6-K furnished to the SEC on </w:t>
      </w:r>
      <w:hyperlink r:id="rId52">
        <w:r>
          <w:rPr>
            <w:rFonts w:ascii="Times New Roman" w:cs="Times New Roman" w:eastAsia="Times New Roman" w:hAnsi="Times New Roman"/>
            <w:sz w:val="18"/>
            <w:szCs w:val="18"/>
            <w:u w:val="single" w:color="auto"/>
            <w:color w:val="0000EE"/>
          </w:rPr>
          <w:t>May 15, 2025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May 30, 2025</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6, 2025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June 18, 2025</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June 23, 2025</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August 19,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5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12, 2023,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subsequent annual reports on Form 20-F that we file with the SEC and all subsequent filings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spacing w:after="0" w:line="189" w:lineRule="exact"/>
        <w:rPr>
          <w:rFonts w:ascii="Times New Roman" w:cs="Times New Roman" w:eastAsia="Times New Roman" w:hAnsi="Times New Roman"/>
          <w:sz w:val="18"/>
          <w:szCs w:val="18"/>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filings with the SEC, including annual reports on Form 20-F and current reports on Form 6-K and amendments to those reports, are available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+65 62828220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connection with the closing of the Business Combination.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w:t>
      </w:r>
    </w:p>
    <w:p>
      <w:pPr>
        <w:spacing w:after="0" w:line="3" w:lineRule="exact"/>
        <w:rPr>
          <w:sz w:val="20"/>
          <w:szCs w:val="20"/>
          <w:color w:val="auto"/>
        </w:rPr>
      </w:pPr>
    </w:p>
    <w:p>
      <w:pPr>
        <w:ind w:firstLine="8"/>
        <w:spacing w:after="0" w:line="260" w:lineRule="auto"/>
        <w:tabs>
          <w:tab w:leader="none" w:pos="3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left="980" w:hanging="324"/>
        <w:spacing w:after="0" w:line="255"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 (a)(2) and (a)(3) of this section do not apply if the registration statement is on Form S-3 or From F-3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Securities and Exchange Commission by the Registrant pursuant to Section 13 or 15(d) of the Exchange Act that are incorporated by reference in the registration statement, or is contained in a form of prospectus filed pursuant to Rule 424(b).</w:t>
      </w:r>
    </w:p>
    <w:p>
      <w:pPr>
        <w:spacing w:after="0" w:line="182" w:lineRule="exact"/>
        <w:rPr>
          <w:sz w:val="20"/>
          <w:szCs w:val="20"/>
          <w:color w:val="auto"/>
        </w:rPr>
      </w:pPr>
    </w:p>
    <w:p>
      <w:pPr>
        <w:jc w:val="both"/>
        <w:ind w:firstLine="332"/>
        <w:spacing w:after="0" w:line="266" w:lineRule="auto"/>
        <w:tabs>
          <w:tab w:leader="none" w:pos="6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332"/>
        <w:spacing w:after="0" w:line="254" w:lineRule="auto"/>
        <w:tabs>
          <w:tab w:leader="none" w:pos="5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spacing w:after="0" w:line="19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332"/>
        <w:spacing w:after="0" w:line="258" w:lineRule="auto"/>
        <w:tabs>
          <w:tab w:leader="none" w:pos="5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332"/>
        <w:spacing w:after="0" w:line="261" w:lineRule="auto"/>
        <w:tabs>
          <w:tab w:leader="none" w:pos="5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Incorporation by Reference Exhibit</w:t>
            </w: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140" w:type="dxa"/>
            <w:vAlign w:val="bottom"/>
          </w:tcPr>
          <w:p>
            <w:pPr>
              <w:spacing w:after="0"/>
              <w:rPr>
                <w:sz w:val="19"/>
                <w:szCs w:val="19"/>
                <w:color w:val="auto"/>
              </w:rPr>
            </w:pPr>
          </w:p>
        </w:tc>
        <w:tc>
          <w:tcPr>
            <w:tcW w:w="4140" w:type="dxa"/>
            <w:vAlign w:val="bottom"/>
            <w:gridSpan w:val="14"/>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9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940" w:type="dxa"/>
            <w:vAlign w:val="bottom"/>
            <w:tcBorders>
              <w:top w:val="single" w:sz="8" w:color="auto"/>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Amended and Restated Memorandum and Articles of Association of</w:t>
              </w:r>
            </w:hyperlink>
          </w:p>
        </w:tc>
        <w:tc>
          <w:tcPr>
            <w:tcW w:w="22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001-41687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April 19, 2023</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the Company, effective on April 13, 2023</w:t>
              </w:r>
            </w:hyperlink>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5280" w:type="dxa"/>
            <w:vAlign w:val="bottom"/>
            <w:gridSpan w:val="15"/>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Specimen Ordinary Share Certificate of the Company</w:t>
              </w:r>
            </w:hyperlink>
          </w:p>
        </w:tc>
        <w:tc>
          <w:tcPr>
            <w:tcW w:w="960" w:type="dxa"/>
            <w:vAlign w:val="bottom"/>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740" w:type="dxa"/>
            <w:vAlign w:val="bottom"/>
            <w:gridSpan w:val="3"/>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333-270345</w:t>
            </w:r>
          </w:p>
        </w:tc>
        <w:tc>
          <w:tcPr>
            <w:tcW w:w="200" w:type="dxa"/>
            <w:vAlign w:val="bottom"/>
          </w:tcPr>
          <w:p>
            <w:pPr>
              <w:spacing w:after="0"/>
              <w:rPr>
                <w:sz w:val="15"/>
                <w:szCs w:val="15"/>
                <w:color w:val="auto"/>
              </w:rPr>
            </w:pPr>
          </w:p>
        </w:tc>
        <w:tc>
          <w:tcPr>
            <w:tcW w:w="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4.1</w:t>
            </w:r>
          </w:p>
        </w:tc>
        <w:tc>
          <w:tcPr>
            <w:tcW w:w="2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23, 2023</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47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Subscription Agreement between Bitdeer Technologies Group and</w:t>
              </w:r>
            </w:hyperlink>
          </w:p>
        </w:tc>
        <w:tc>
          <w:tcPr>
            <w:tcW w:w="500" w:type="dxa"/>
            <w:vAlign w:val="bottom"/>
            <w:tcBorders>
              <w:bottom w:val="single" w:sz="8" w:color="CCEEFF"/>
            </w:tcBorders>
            <w:gridSpan w:val="4"/>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1740" w:type="dxa"/>
            <w:vAlign w:val="bottom"/>
            <w:tcBorders>
              <w:bottom w:val="single" w:sz="8" w:color="CCEEFF"/>
            </w:tcBorders>
            <w:gridSpan w:val="3"/>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333-280041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4.2</w:t>
            </w:r>
          </w:p>
        </w:tc>
        <w:tc>
          <w:tcPr>
            <w:tcW w:w="2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7, 2024</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Tether International Limited, dated May 30, 2024</w:t>
              </w:r>
            </w:hyperlink>
          </w:p>
        </w:tc>
        <w:tc>
          <w:tcPr>
            <w:tcW w:w="1720" w:type="dxa"/>
            <w:vAlign w:val="bottom"/>
            <w:tcBorders>
              <w:bottom w:val="single" w:sz="8" w:color="CCEEFF"/>
            </w:tcBorders>
            <w:gridSpan w:val="9"/>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5280" w:type="dxa"/>
            <w:vAlign w:val="bottom"/>
            <w:gridSpan w:val="15"/>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Warrant to Purchase Ordinary Shares, dated May 30, 2024</w:t>
              </w:r>
            </w:hyperlink>
          </w:p>
        </w:tc>
        <w:tc>
          <w:tcPr>
            <w:tcW w:w="960" w:type="dxa"/>
            <w:vAlign w:val="bottom"/>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1740" w:type="dxa"/>
            <w:vAlign w:val="bottom"/>
            <w:gridSpan w:val="3"/>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333-280041</w:t>
            </w:r>
          </w:p>
        </w:tc>
        <w:tc>
          <w:tcPr>
            <w:tcW w:w="200" w:type="dxa"/>
            <w:vAlign w:val="bottom"/>
          </w:tcPr>
          <w:p>
            <w:pPr>
              <w:spacing w:after="0"/>
              <w:rPr>
                <w:sz w:val="15"/>
                <w:szCs w:val="15"/>
                <w:color w:val="auto"/>
              </w:rPr>
            </w:pPr>
          </w:p>
        </w:tc>
        <w:tc>
          <w:tcPr>
            <w:tcW w:w="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4.3</w:t>
            </w:r>
          </w:p>
        </w:tc>
        <w:tc>
          <w:tcPr>
            <w:tcW w:w="2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7, 2024</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49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Registration Rights Agreement between Bitdeer Technologies Group</w:t>
              </w:r>
            </w:hyperlink>
          </w:p>
        </w:tc>
        <w:tc>
          <w:tcPr>
            <w:tcW w:w="32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1740" w:type="dxa"/>
            <w:vAlign w:val="bottom"/>
            <w:tcBorders>
              <w:bottom w:val="single" w:sz="8" w:color="CCEEFF"/>
            </w:tcBorders>
            <w:gridSpan w:val="3"/>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333-280041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4.4</w:t>
            </w:r>
          </w:p>
        </w:tc>
        <w:tc>
          <w:tcPr>
            <w:tcW w:w="2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7, 2024</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and Tether International Limited, dated May 30, 2024</w:t>
              </w:r>
            </w:hyperlink>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5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Opinion of Ogier as to the validity of Class A Ordinary Shares</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5"/>
                <w:szCs w:val="15"/>
                <w:color w:val="auto"/>
              </w:rPr>
            </w:pPr>
          </w:p>
        </w:tc>
        <w:tc>
          <w:tcPr>
            <w:tcW w:w="46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MaloneBailey, LLP, an independent registered public</w:t>
            </w:r>
          </w:p>
        </w:tc>
        <w:tc>
          <w:tcPr>
            <w:tcW w:w="620" w:type="dxa"/>
            <w:vAlign w:val="bottom"/>
            <w:tcBorders>
              <w:bottom w:val="single" w:sz="8" w:color="CCEEFF"/>
            </w:tcBorders>
            <w:gridSpan w:val="5"/>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accounting firm</w:t>
            </w:r>
          </w:p>
        </w:tc>
        <w:tc>
          <w:tcPr>
            <w:tcW w:w="4140" w:type="dxa"/>
            <w:vAlign w:val="bottom"/>
            <w:tcBorders>
              <w:bottom w:val="single" w:sz="8" w:color="CCEEFF"/>
            </w:tcBorders>
            <w:gridSpan w:val="14"/>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5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Consent of Ogier (included in Exhibit 5.1)</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1840" w:type="dxa"/>
            <w:vAlign w:val="bottom"/>
            <w:tcBorders>
              <w:bottom w:val="single" w:sz="8" w:color="CCEEFF"/>
            </w:tcBorders>
            <w:gridSpan w:val="10"/>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224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Calculation of Filing Fee Table</w:t>
            </w:r>
          </w:p>
        </w:tc>
        <w:tc>
          <w:tcPr>
            <w:tcW w:w="3040" w:type="dxa"/>
            <w:vAlign w:val="bottom"/>
            <w:gridSpan w:val="13"/>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portions of the exhibits omitted pursuant to Item 601(b)(2) of Regulation S-K. The Company agrees to furnish supplementally a copy of such schedules, or any section thereof,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Singapore, on August 26,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of the Board and Chief Executive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Jihan Wu, as his or her true and lawful attorney-in-fact and agents, each with full power of substitution and re-substitution, for him or her and in his or her name, place and stead, in any and all capacities, to sign any and all amendments (including post-effective amendments) to this registration statement and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agents, or his or her substitutes or substitutes, may lawfully do or cause to be done by virtue hereof.</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2"/>
                <w:szCs w:val="22"/>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2"/>
                <w:szCs w:val="22"/>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Jihan Wu</w:t>
            </w:r>
          </w:p>
        </w:tc>
        <w:tc>
          <w:tcPr>
            <w:tcW w:w="22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 and Chief Executive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Jihan Wu</w:t>
            </w:r>
          </w:p>
        </w:tc>
        <w:tc>
          <w:tcPr>
            <w:tcW w:w="22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 xml:space="preserve">Officer </w:t>
            </w:r>
            <w:r>
              <w:rPr>
                <w:rFonts w:ascii="Times New Roman" w:cs="Times New Roman" w:eastAsia="Times New Roman" w:hAnsi="Times New Roman"/>
                <w:sz w:val="18"/>
                <w:szCs w:val="18"/>
                <w:i w:val="1"/>
                <w:iCs w:val="1"/>
                <w:color w:val="auto"/>
                <w:w w:val="99"/>
              </w:rPr>
              <w:t>(Principal Executive Officer)</w:t>
            </w: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Yeow Beng Lim</w:t>
            </w:r>
          </w:p>
        </w:tc>
        <w:tc>
          <w:tcPr>
            <w:tcW w:w="2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Yeow Beng Lim</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Chao Suo</w:t>
            </w:r>
          </w:p>
        </w:tc>
        <w:tc>
          <w:tcPr>
            <w:tcW w:w="2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Chao Suo</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Jianchun Liu</w:t>
            </w:r>
          </w:p>
        </w:tc>
        <w:tc>
          <w:tcPr>
            <w:tcW w:w="22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w:t>
            </w:r>
            <w:r>
              <w:rPr>
                <w:rFonts w:ascii="Times New Roman" w:cs="Times New Roman" w:eastAsia="Times New Roman" w:hAnsi="Times New Roman"/>
                <w:sz w:val="18"/>
                <w:szCs w:val="18"/>
                <w:i w:val="1"/>
                <w:iCs w:val="1"/>
                <w:color w:val="auto"/>
                <w:w w:val="99"/>
              </w:rPr>
              <w:t>Principal</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Jianchun Liu</w:t>
            </w:r>
          </w:p>
        </w:tc>
        <w:tc>
          <w:tcPr>
            <w:tcW w:w="22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Financial and Accounting Officer</w:t>
            </w:r>
            <w:r>
              <w:rPr>
                <w:rFonts w:ascii="Times New Roman" w:cs="Times New Roman" w:eastAsia="Times New Roman" w:hAnsi="Times New Roman"/>
                <w:sz w:val="18"/>
                <w:szCs w:val="18"/>
                <w:color w:val="auto"/>
              </w:rPr>
              <w:t>)</w:t>
            </w: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Naphat Sirimongkolkasem</w:t>
            </w:r>
          </w:p>
        </w:tc>
        <w:tc>
          <w:tcPr>
            <w:tcW w:w="2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Naphat Sirimongkolkasem</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Sheldon Trainor-DeGirolamo</w:t>
            </w:r>
          </w:p>
        </w:tc>
        <w:tc>
          <w:tcPr>
            <w:tcW w:w="2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Sheldon Trainor-DeGirolamo</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Guang Yang</w:t>
            </w:r>
          </w:p>
        </w:tc>
        <w:tc>
          <w:tcPr>
            <w:tcW w:w="2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Guang Yang</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Eivind Haugnes Naas</w:t>
            </w:r>
          </w:p>
        </w:tc>
        <w:tc>
          <w:tcPr>
            <w:tcW w:w="2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Lars Eivind Haugnes Naas</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63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II-5</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Bitdeer Technologies Group, has signed this registration statement in New York, New York on August 26,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Global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175895</wp:posOffset>
            </wp:positionV>
            <wp:extent cx="1011555"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+852 3656 6054 / +852 3656 6073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rachel.huang@ogier.com</w:t>
      </w:r>
    </w:p>
    <w:p>
      <w:pPr>
        <w:spacing w:after="0" w:line="200" w:lineRule="exact"/>
        <w:rPr>
          <w:sz w:val="20"/>
          <w:szCs w:val="20"/>
          <w:color w:val="auto"/>
        </w:rPr>
      </w:pPr>
    </w:p>
    <w:p>
      <w:pPr>
        <w:sectPr>
          <w:pgSz w:w="11900" w:h="16838" w:orient="portrait"/>
          <w:cols w:equalWidth="0" w:num="2">
            <w:col w:w="6140" w:space="720"/>
            <w:col w:w="4380"/>
          </w:cols>
          <w:pgMar w:left="320" w:top="108" w:right="339" w:bottom="1440" w:gutter="0" w:footer="0" w:header="0"/>
          <w:type w:val="continuous"/>
        </w:sectPr>
      </w:pP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Reference: NMP/RYH/181962.00002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August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Technologies Group (the Company)</w:t>
      </w:r>
    </w:p>
    <w:p>
      <w:pPr>
        <w:sectPr>
          <w:pgSz w:w="11900" w:h="16838" w:orient="portrait"/>
          <w:cols w:equalWidth="0" w:num="1">
            <w:col w:w="11240"/>
          </w:cols>
          <w:pgMar w:left="320" w:top="108" w:right="339" w:bottom="1440" w:gutter="0" w:footer="0" w:header="0"/>
          <w:type w:val="continuous"/>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acted as Cayman Islands counsel to the Company in connection with the Company’s registration statement on Form F-3, including all amendments and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as amended to date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The Registration Statement relates to the resale or other disposition from time to time of up to 186,627 class A ordinary shares of a par value of US$0.0000001 each of the Company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xml:space="preserve">), which were issued upon the exercise of a certain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held by Tether International, S.A. de C.V. under the Subscription Agreement and the Warrant Document (each as defined in Schedule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purposes of giving this opinion, we have examined originals, copies, or drafts of the documents set forth in Schedule 1.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spacing w:after="0" w:line="176"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2"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w:t>
            </w:r>
          </w:p>
        </w:tc>
        <w:tc>
          <w:tcPr>
            <w:tcW w:w="236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Providing advice on British Virgin Islands,</w:t>
            </w:r>
          </w:p>
        </w:tc>
        <w:tc>
          <w:tcPr>
            <w:tcW w:w="23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Cayman Islands and Guernsey laws</w:t>
            </w:r>
          </w:p>
        </w:tc>
        <w:tc>
          <w:tcPr>
            <w:tcW w:w="2360" w:type="dxa"/>
            <w:vAlign w:val="bottom"/>
            <w:vMerge w:val="continue"/>
          </w:tcPr>
          <w:p>
            <w:pPr>
              <w:spacing w:after="0"/>
              <w:rPr>
                <w:sz w:val="14"/>
                <w:szCs w:val="14"/>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Cecilia Li</w:t>
            </w: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Floor 11 Central Tower</w:t>
            </w:r>
          </w:p>
        </w:tc>
        <w:tc>
          <w:tcPr>
            <w:tcW w:w="2360" w:type="dxa"/>
            <w:vAlign w:val="bottom"/>
          </w:tcPr>
          <w:p>
            <w:pPr>
              <w:ind w:left="900"/>
              <w:spacing w:after="0" w:line="149" w:lineRule="exact"/>
              <w:rPr>
                <w:sz w:val="20"/>
                <w:szCs w:val="20"/>
                <w:color w:val="auto"/>
              </w:rPr>
            </w:pPr>
            <w:r>
              <w:rPr>
                <w:rFonts w:ascii="Times New Roman" w:cs="Times New Roman" w:eastAsia="Times New Roman" w:hAnsi="Times New Roman"/>
                <w:sz w:val="14"/>
                <w:szCs w:val="14"/>
                <w:color w:val="auto"/>
              </w:rPr>
              <w:t>Nicholas Plowman</w:t>
            </w:r>
          </w:p>
        </w:tc>
        <w:tc>
          <w:tcPr>
            <w:tcW w:w="5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Rachel Huang**</w:t>
            </w:r>
          </w:p>
        </w:tc>
        <w:tc>
          <w:tcPr>
            <w:tcW w:w="0" w:type="dxa"/>
            <w:vAlign w:val="bottom"/>
          </w:tcPr>
          <w:p>
            <w:pPr>
              <w:spacing w:after="0"/>
              <w:rPr>
                <w:sz w:val="1"/>
                <w:szCs w:val="1"/>
                <w:color w:val="auto"/>
              </w:rPr>
            </w:pPr>
          </w:p>
        </w:tc>
      </w:tr>
      <w:tr>
        <w:trPr>
          <w:trHeight w:val="148"/>
        </w:trPr>
        <w:tc>
          <w:tcPr>
            <w:tcW w:w="3380" w:type="dxa"/>
            <w:vAlign w:val="bottom"/>
            <w:vMerge w:val="continue"/>
          </w:tcPr>
          <w:p>
            <w:pPr>
              <w:spacing w:after="0"/>
              <w:rPr>
                <w:sz w:val="12"/>
                <w:szCs w:val="12"/>
                <w:color w:val="auto"/>
              </w:rPr>
            </w:pPr>
          </w:p>
        </w:tc>
        <w:tc>
          <w:tcPr>
            <w:tcW w:w="2360" w:type="dxa"/>
            <w:vAlign w:val="bottom"/>
          </w:tcPr>
          <w:p>
            <w:pPr>
              <w:ind w:left="900"/>
              <w:spacing w:after="0" w:line="149" w:lineRule="exact"/>
              <w:rPr>
                <w:sz w:val="20"/>
                <w:szCs w:val="20"/>
                <w:color w:val="auto"/>
              </w:rPr>
            </w:pPr>
            <w:r>
              <w:rPr>
                <w:rFonts w:ascii="Times New Roman" w:cs="Times New Roman" w:eastAsia="Times New Roman" w:hAnsi="Times New Roman"/>
                <w:sz w:val="14"/>
                <w:szCs w:val="14"/>
                <w:color w:val="auto"/>
              </w:rPr>
              <w:t>Nathan Powell</w:t>
            </w:r>
          </w:p>
        </w:tc>
        <w:tc>
          <w:tcPr>
            <w:tcW w:w="5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Yuki Yan**</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28 Queen’s Road Central</w:t>
            </w:r>
          </w:p>
        </w:tc>
        <w:tc>
          <w:tcPr>
            <w:tcW w:w="23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Anthony Oakes</w:t>
            </w:r>
          </w:p>
        </w:tc>
        <w:tc>
          <w:tcPr>
            <w:tcW w:w="5500" w:type="dxa"/>
            <w:vAlign w:val="bottom"/>
          </w:tcPr>
          <w:p>
            <w:pPr>
              <w:ind w:left="340"/>
              <w:spacing w:after="0" w:line="189" w:lineRule="exact"/>
              <w:rPr>
                <w:sz w:val="20"/>
                <w:szCs w:val="20"/>
                <w:color w:val="auto"/>
              </w:rPr>
            </w:pPr>
            <w:r>
              <w:rPr>
                <w:rFonts w:ascii="Times New Roman" w:cs="Times New Roman" w:eastAsia="Times New Roman" w:hAnsi="Times New Roman"/>
                <w:sz w:val="13"/>
                <w:szCs w:val="13"/>
                <w:color w:val="auto"/>
              </w:rPr>
              <w:t>Florence Chan*</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85"/>
        </w:trPr>
        <w:tc>
          <w:tcPr>
            <w:tcW w:w="33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Central</w:t>
            </w:r>
          </w:p>
        </w:tc>
        <w:tc>
          <w:tcPr>
            <w:tcW w:w="2360" w:type="dxa"/>
            <w:vAlign w:val="bottom"/>
          </w:tcPr>
          <w:p>
            <w:pPr>
              <w:ind w:left="900"/>
              <w:spacing w:after="0" w:line="85" w:lineRule="exact"/>
              <w:rPr>
                <w:sz w:val="20"/>
                <w:szCs w:val="20"/>
                <w:color w:val="auto"/>
              </w:rPr>
            </w:pPr>
            <w:r>
              <w:rPr>
                <w:rFonts w:ascii="Times New Roman" w:cs="Times New Roman" w:eastAsia="Times New Roman" w:hAnsi="Times New Roman"/>
                <w:sz w:val="9"/>
                <w:szCs w:val="9"/>
                <w:color w:val="auto"/>
              </w:rPr>
              <w:t>Oliver Payne</w:t>
            </w:r>
          </w:p>
        </w:tc>
        <w:tc>
          <w:tcPr>
            <w:tcW w:w="5500" w:type="dxa"/>
            <w:vAlign w:val="bottom"/>
            <w:vMerge w:val="restart"/>
          </w:tcPr>
          <w:p>
            <w:pPr>
              <w:ind w:left="340"/>
              <w:spacing w:after="0" w:line="230" w:lineRule="exact"/>
              <w:rPr>
                <w:sz w:val="20"/>
                <w:szCs w:val="20"/>
                <w:color w:val="auto"/>
              </w:rPr>
            </w:pPr>
            <w:r>
              <w:rPr>
                <w:rFonts w:ascii="Times New Roman" w:cs="Times New Roman" w:eastAsia="Times New Roman" w:hAnsi="Times New Roman"/>
                <w:sz w:val="14"/>
                <w:szCs w:val="14"/>
                <w:color w:val="auto"/>
              </w:rPr>
              <w:t>Richard Bennett**</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144"/>
        </w:trPr>
        <w:tc>
          <w:tcPr>
            <w:tcW w:w="3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Hong Kong</w:t>
            </w:r>
          </w:p>
        </w:tc>
        <w:tc>
          <w:tcPr>
            <w:tcW w:w="2360" w:type="dxa"/>
            <w:vAlign w:val="bottom"/>
          </w:tcPr>
          <w:p>
            <w:pPr>
              <w:ind w:left="900"/>
              <w:spacing w:after="0" w:line="145" w:lineRule="exact"/>
              <w:rPr>
                <w:sz w:val="20"/>
                <w:szCs w:val="20"/>
                <w:color w:val="auto"/>
              </w:rPr>
            </w:pPr>
            <w:r>
              <w:rPr>
                <w:rFonts w:ascii="Times New Roman" w:cs="Times New Roman" w:eastAsia="Times New Roman" w:hAnsi="Times New Roman"/>
                <w:sz w:val="14"/>
                <w:szCs w:val="14"/>
                <w:color w:val="auto"/>
              </w:rPr>
              <w:t>Kate Hodson</w:t>
            </w:r>
          </w:p>
        </w:tc>
        <w:tc>
          <w:tcPr>
            <w:tcW w:w="5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 +852 3656 6000</w:t>
            </w:r>
          </w:p>
        </w:tc>
        <w:tc>
          <w:tcPr>
            <w:tcW w:w="2360" w:type="dxa"/>
            <w:vAlign w:val="bottom"/>
          </w:tcPr>
          <w:p>
            <w:pPr>
              <w:ind w:left="900"/>
              <w:spacing w:after="0" w:line="149" w:lineRule="exact"/>
              <w:rPr>
                <w:sz w:val="20"/>
                <w:szCs w:val="20"/>
                <w:color w:val="auto"/>
              </w:rPr>
            </w:pPr>
            <w:r>
              <w:rPr>
                <w:rFonts w:ascii="Times New Roman" w:cs="Times New Roman" w:eastAsia="Times New Roman" w:hAnsi="Times New Roman"/>
                <w:sz w:val="14"/>
                <w:szCs w:val="14"/>
                <w:color w:val="auto"/>
              </w:rPr>
              <w:t>David Nelson</w:t>
            </w:r>
          </w:p>
        </w:tc>
        <w:tc>
          <w:tcPr>
            <w:tcW w:w="5500" w:type="dxa"/>
            <w:vAlign w:val="bottom"/>
          </w:tcPr>
          <w:p>
            <w:pPr>
              <w:ind w:left="340"/>
              <w:spacing w:after="0" w:line="149" w:lineRule="exact"/>
              <w:rPr>
                <w:sz w:val="20"/>
                <w:szCs w:val="20"/>
                <w:color w:val="auto"/>
              </w:rPr>
            </w:pPr>
            <w:r>
              <w:rPr>
                <w:rFonts w:ascii="Times New Roman" w:cs="Times New Roman" w:eastAsia="Times New Roman" w:hAnsi="Times New Roman"/>
                <w:sz w:val="11"/>
                <w:szCs w:val="11"/>
                <w:color w:val="auto"/>
              </w:rPr>
              <w:t>James Bergstrom</w:t>
            </w:r>
            <w:r>
              <w:rPr>
                <w:rFonts w:ascii="Times New Roman" w:cs="Times New Roman" w:eastAsia="Times New Roman" w:hAnsi="Times New Roman"/>
                <w:sz w:val="17"/>
                <w:szCs w:val="17"/>
                <w:color w:val="auto"/>
                <w:vertAlign w:val="superscript"/>
              </w:rPr>
              <w:t>‡</w:t>
            </w:r>
          </w:p>
        </w:tc>
        <w:tc>
          <w:tcPr>
            <w:tcW w:w="0" w:type="dxa"/>
            <w:vAlign w:val="bottom"/>
          </w:tcPr>
          <w:p>
            <w:pPr>
              <w:spacing w:after="0"/>
              <w:rPr>
                <w:sz w:val="1"/>
                <w:szCs w:val="1"/>
                <w:color w:val="auto"/>
              </w:rPr>
            </w:pPr>
          </w:p>
        </w:tc>
      </w:tr>
      <w:tr>
        <w:trPr>
          <w:trHeight w:val="148"/>
        </w:trPr>
        <w:tc>
          <w:tcPr>
            <w:tcW w:w="3380" w:type="dxa"/>
            <w:vAlign w:val="bottom"/>
            <w:vMerge w:val="continue"/>
          </w:tcPr>
          <w:p>
            <w:pPr>
              <w:spacing w:after="0"/>
              <w:rPr>
                <w:sz w:val="12"/>
                <w:szCs w:val="12"/>
                <w:color w:val="auto"/>
              </w:rPr>
            </w:pPr>
          </w:p>
        </w:tc>
        <w:tc>
          <w:tcPr>
            <w:tcW w:w="2360" w:type="dxa"/>
            <w:vAlign w:val="bottom"/>
          </w:tcPr>
          <w:p>
            <w:pPr>
              <w:ind w:left="900"/>
              <w:spacing w:after="0" w:line="149" w:lineRule="exact"/>
              <w:rPr>
                <w:sz w:val="20"/>
                <w:szCs w:val="20"/>
                <w:color w:val="auto"/>
              </w:rPr>
            </w:pPr>
            <w:r>
              <w:rPr>
                <w:rFonts w:ascii="Times New Roman" w:cs="Times New Roman" w:eastAsia="Times New Roman" w:hAnsi="Times New Roman"/>
                <w:sz w:val="14"/>
                <w:szCs w:val="14"/>
                <w:color w:val="auto"/>
              </w:rPr>
              <w:t>Justin Davis</w:t>
            </w:r>
          </w:p>
        </w:tc>
        <w:tc>
          <w:tcPr>
            <w:tcW w:w="5500" w:type="dxa"/>
            <w:vAlign w:val="bottom"/>
          </w:tcPr>
          <w:p>
            <w:pPr>
              <w:ind w:left="2140"/>
              <w:spacing w:after="0" w:line="149" w:lineRule="exact"/>
              <w:rPr>
                <w:sz w:val="20"/>
                <w:szCs w:val="20"/>
                <w:color w:val="auto"/>
              </w:rPr>
            </w:pPr>
            <w:r>
              <w:rPr>
                <w:rFonts w:ascii="Times New Roman" w:cs="Times New Roman" w:eastAsia="Times New Roman" w:hAnsi="Times New Roman"/>
                <w:sz w:val="14"/>
                <w:szCs w:val="14"/>
                <w:color w:val="auto"/>
              </w:rPr>
              <w:t>* admitted in New Zealand</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 +852 3656 6001</w:t>
            </w:r>
          </w:p>
        </w:tc>
        <w:tc>
          <w:tcPr>
            <w:tcW w:w="2360" w:type="dxa"/>
            <w:vAlign w:val="bottom"/>
          </w:tcPr>
          <w:p>
            <w:pPr>
              <w:ind w:left="900"/>
              <w:spacing w:after="0" w:line="149" w:lineRule="exact"/>
              <w:rPr>
                <w:sz w:val="20"/>
                <w:szCs w:val="20"/>
                <w:color w:val="auto"/>
              </w:rPr>
            </w:pPr>
            <w:r>
              <w:rPr>
                <w:rFonts w:ascii="Times New Roman" w:cs="Times New Roman" w:eastAsia="Times New Roman" w:hAnsi="Times New Roman"/>
                <w:sz w:val="14"/>
                <w:szCs w:val="14"/>
                <w:color w:val="auto"/>
              </w:rPr>
              <w:t>Joanne Collett</w:t>
            </w:r>
          </w:p>
        </w:tc>
        <w:tc>
          <w:tcPr>
            <w:tcW w:w="5500" w:type="dxa"/>
            <w:vAlign w:val="bottom"/>
          </w:tcPr>
          <w:p>
            <w:pPr>
              <w:ind w:left="2140"/>
              <w:spacing w:after="0" w:line="149" w:lineRule="exact"/>
              <w:rPr>
                <w:sz w:val="20"/>
                <w:szCs w:val="20"/>
                <w:color w:val="auto"/>
              </w:rPr>
            </w:pPr>
            <w:r>
              <w:rPr>
                <w:rFonts w:ascii="Times New Roman" w:cs="Times New Roman" w:eastAsia="Times New Roman" w:hAnsi="Times New Roman"/>
                <w:sz w:val="14"/>
                <w:szCs w:val="14"/>
                <w:color w:val="auto"/>
              </w:rPr>
              <w:t>** admitted in England and Wales</w:t>
            </w:r>
          </w:p>
        </w:tc>
        <w:tc>
          <w:tcPr>
            <w:tcW w:w="0" w:type="dxa"/>
            <w:vAlign w:val="bottom"/>
          </w:tcPr>
          <w:p>
            <w:pPr>
              <w:spacing w:after="0"/>
              <w:rPr>
                <w:sz w:val="1"/>
                <w:szCs w:val="1"/>
                <w:color w:val="auto"/>
              </w:rPr>
            </w:pPr>
          </w:p>
        </w:tc>
      </w:tr>
      <w:tr>
        <w:trPr>
          <w:trHeight w:val="315"/>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ogier.com</w:t>
            </w:r>
          </w:p>
        </w:tc>
        <w:tc>
          <w:tcPr>
            <w:tcW w:w="23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Dennis Li</w:t>
            </w:r>
          </w:p>
        </w:tc>
        <w:tc>
          <w:tcPr>
            <w:tcW w:w="5500" w:type="dxa"/>
            <w:vAlign w:val="bottom"/>
          </w:tcPr>
          <w:p>
            <w:pPr>
              <w:ind w:left="2140"/>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not ordinarily resident in Hong Kong</w:t>
            </w:r>
          </w:p>
        </w:tc>
        <w:tc>
          <w:tcPr>
            <w:tcW w:w="0" w:type="dxa"/>
            <w:vAlign w:val="bottom"/>
          </w:tcPr>
          <w:p>
            <w:pPr>
              <w:spacing w:after="0"/>
              <w:rPr>
                <w:sz w:val="1"/>
                <w:szCs w:val="1"/>
                <w:color w:val="auto"/>
              </w:rPr>
            </w:pPr>
          </w:p>
        </w:tc>
      </w:tr>
      <w:tr>
        <w:trPr>
          <w:trHeight w:val="610"/>
        </w:trPr>
        <w:tc>
          <w:tcPr>
            <w:tcW w:w="3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 o</w:t>
      </w: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7</w:t>
      </w:r>
    </w:p>
    <w:p>
      <w:pPr>
        <w:spacing w:after="0" w:line="229" w:lineRule="exact"/>
        <w:rPr>
          <w:sz w:val="20"/>
          <w:szCs w:val="20"/>
          <w:color w:val="auto"/>
        </w:rPr>
      </w:pPr>
    </w:p>
    <w:p>
      <w:pPr>
        <w:ind w:left="1300" w:right="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documents examined by us (whether in facsimile, electronic or other form) conform to the originals and those originals are authentic and complete;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Register and the Director’s Certificate (each as defined in Schedule 1) is accurate and complete as at the date of this opinion;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CORIS Search (as defined in Schedule 1) which we have examined is accurate and that the information disclosed by the CORIS Search is true and complete and that such information has not since been altered;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Registration Statement, the Subscription Agreement and the Warrant Document and no director has a financial interest in or other relationship to a party of the transactions contemplated by the Registration Statement, the Subscription Agreement and the Warrant Document which has not been properly disclosed in the Board Resolutions;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Subscription Agreement and the Warrant Document other than the Company is duly incorporated, formed or organised (as applicable), validly existing and in good standing under all relevant laws;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Subscription Agreement and the Warrant Document has been authorised and duly executed and unconditionally delivered by or on behalf of all parties to it in accordance with all applicable laws (other than, in the case of the Company, the laws of the Cayman Islands);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Subscription Agreement and the Warrant Document is legal, valid and binding and enforceable against all relevant parties in accordance with its terms under relevant law (other than, in the case of the Company, the laws of the Cayman Islands);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8"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qualifications set forth in Schedule 2 and the limitations set forth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Page 3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Authorised share capital</w:t>
      </w:r>
    </w:p>
    <w:p>
      <w:pPr>
        <w:spacing w:after="0" w:line="229" w:lineRule="exact"/>
        <w:rPr>
          <w:sz w:val="20"/>
          <w:szCs w:val="20"/>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US$50,000.00 divided into 500,000,000,000 shares of a par value of US$0.0000001 each comprising:</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499,600,000,000 class A ordinary shares of a par value of US$0.0000001 each,</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class V ordinary shares of a par value of US$0.0000001 each,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undesignated shares of a par value of US$0.0000001 each, of such class or classes (however designated) as the board of directors may determine in accordance with Articles 8 and 9 of the Memorandum and Articles.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Valid issuance of Class A Shares</w:t>
      </w:r>
    </w:p>
    <w:p>
      <w:pPr>
        <w:spacing w:after="0" w:line="229" w:lineRule="exact"/>
        <w:rPr>
          <w:sz w:val="20"/>
          <w:szCs w:val="20"/>
          <w:color w:val="auto"/>
        </w:rPr>
      </w:pPr>
    </w:p>
    <w:p>
      <w:pPr>
        <w:jc w:val="both"/>
        <w:ind w:left="1280" w:hanging="638"/>
        <w:spacing w:after="0" w:line="266"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to be offered and issued by the Company as contemplated by the Registration Statement and the Subscription Agreement (including the issuance of the Class A Shares upon the exercise of the Warrant in accordance with the Warrant Document) have been duly authorised and, when issued by the Company upon:</w:t>
      </w:r>
    </w:p>
    <w:p>
      <w:pPr>
        <w:spacing w:after="0" w:line="175" w:lineRule="exact"/>
        <w:rPr>
          <w:rFonts w:ascii="Times New Roman" w:cs="Times New Roman" w:eastAsia="Times New Roman" w:hAnsi="Times New Roman"/>
          <w:sz w:val="18"/>
          <w:szCs w:val="18"/>
          <w:color w:val="auto"/>
        </w:rPr>
      </w:pPr>
    </w:p>
    <w:p>
      <w:pPr>
        <w:jc w:val="both"/>
        <w:ind w:left="1920" w:hanging="643"/>
        <w:spacing w:after="0" w:line="261"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the consideration as set out in the Registration Statement and the Subscription Agreement and in accordance with the terms set out in the Registration Statement and the Subscription Agreement (including the issuance of the Class A Shares upon the exercise of the Warrant in accordance with the Warrant Document) and in accordance with the Board Resolutions and the Memorandum and Articles; and</w:t>
      </w:r>
    </w:p>
    <w:p>
      <w:pPr>
        <w:spacing w:after="0" w:line="179"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those Class A Shares as fully paid on the register of members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shall be validly issued, fully paid and non-assessable.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 taxation</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contained in the Registration Statement in the sections headed “</w:t>
      </w:r>
      <w:r>
        <w:rPr>
          <w:rFonts w:ascii="Times New Roman" w:cs="Times New Roman" w:eastAsia="Times New Roman" w:hAnsi="Times New Roman"/>
          <w:sz w:val="18"/>
          <w:szCs w:val="18"/>
          <w:i w:val="1"/>
          <w:iCs w:val="1"/>
          <w:color w:val="auto"/>
        </w:rPr>
        <w:t>Enforceability of Civil Liability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Cayman Islands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Considerations</w:t>
      </w:r>
      <w:r>
        <w:rPr>
          <w:rFonts w:ascii="Times New Roman" w:cs="Times New Roman" w:eastAsia="Times New Roman" w:hAnsi="Times New Roman"/>
          <w:sz w:val="18"/>
          <w:szCs w:val="18"/>
          <w:color w:val="auto"/>
        </w:rPr>
        <w:t>”, insofar as they purport to summarise the laws or regulations of the Cayman Islands, are accurate in all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respects and that such statements constitute our opinion.</w:t>
      </w:r>
    </w:p>
    <w:p>
      <w:pPr>
        <w:spacing w:after="0" w:line="171" w:lineRule="exact"/>
        <w:rPr>
          <w:sz w:val="20"/>
          <w:szCs w:val="20"/>
          <w:color w:val="auto"/>
        </w:rPr>
      </w:pPr>
    </w:p>
    <w:p>
      <w:pPr>
        <w:jc w:val="both"/>
        <w:ind w:left="660" w:right="9040" w:hanging="652"/>
        <w:spacing w:after="0" w:line="532" w:lineRule="auto"/>
        <w:tabs>
          <w:tab w:leader="none" w:pos="66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Matters not covered </w:t>
      </w:r>
      <w:r>
        <w:rPr>
          <w:rFonts w:ascii="Times New Roman" w:cs="Times New Roman" w:eastAsia="Times New Roman" w:hAnsi="Times New Roman"/>
          <w:sz w:val="17"/>
          <w:szCs w:val="17"/>
          <w:color w:val="auto"/>
        </w:rPr>
        <w:t>We offer no opinion:</w:t>
      </w:r>
    </w:p>
    <w:p>
      <w:pPr>
        <w:spacing w:after="0" w:line="1" w:lineRule="exact"/>
        <w:rPr>
          <w:rFonts w:ascii="Times New Roman" w:cs="Times New Roman" w:eastAsia="Times New Roman" w:hAnsi="Times New Roman"/>
          <w:sz w:val="17"/>
          <w:szCs w:val="17"/>
          <w:b w:val="1"/>
          <w:bCs w:val="1"/>
          <w:color w:val="auto"/>
        </w:rPr>
      </w:pPr>
    </w:p>
    <w:p>
      <w:pPr>
        <w:jc w:val="both"/>
        <w:ind w:left="13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reviewed to statutes, rules, regulations, codes or judicial authority of any jurisdiction other than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Page 4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7</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reviewed and any other agreements into which the Company may have entered or any other documents; 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documents reviewed will result in the breach of or infringe any other agreement, deed or document (other than the Memorandum and Articles) entered into by or binding on the Company.</w:t>
      </w:r>
    </w:p>
    <w:p>
      <w:pPr>
        <w:spacing w:after="0" w:line="17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rely on this opinion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headings “</w:t>
      </w:r>
      <w:r>
        <w:rPr>
          <w:rFonts w:ascii="Times New Roman" w:cs="Times New Roman" w:eastAsia="Times New Roman" w:hAnsi="Times New Roman"/>
          <w:sz w:val="18"/>
          <w:szCs w:val="18"/>
          <w:i w:val="1"/>
          <w:iCs w:val="1"/>
          <w:color w:val="auto"/>
        </w:rPr>
        <w:t>Enforceability of Civil Liabilities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of the Registration Statement. In giving such consent, we do not thereby admit that we come within the category of persons whose consent is required under Section 7 of the Act, or the Rules and Regulations of the Commission thereunder.</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This opinion may be used only in connection with the Class A Shares by the Company while the Registration Statement is effective. With the exception of your professional advisers (acting only in that capacity), it may not be relied upon by any person, other than persons entitled to rely upon it pursuant to the provisions of the Act, without our prior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Page 5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examined</w:t>
      </w:r>
    </w:p>
    <w:p>
      <w:pPr>
        <w:spacing w:after="0" w:line="229" w:lineRule="exact"/>
        <w:rPr>
          <w:sz w:val="20"/>
          <w:szCs w:val="20"/>
          <w:color w:val="auto"/>
        </w:rPr>
      </w:pPr>
    </w:p>
    <w:p>
      <w:pPr>
        <w:ind w:left="660" w:right="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8 December 2021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652"/>
        <w:spacing w:after="0" w:line="289" w:lineRule="auto"/>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amended and restated memorandum and articles of association of the Company adopted by a special resolution passed on 8 March 2023 and effective at the Acquisition Merger Effective Time (as defined therein) and filed with the Registrar on 13 April 2023 and the written resolutions by all the directors of the Company passed on 9 June 2023 and filed with the Registrar on 9 June 2023 (together, the </w:t>
      </w:r>
      <w:r>
        <w:rPr>
          <w:rFonts w:ascii="Times New Roman" w:cs="Times New Roman" w:eastAsia="Times New Roman" w:hAnsi="Times New Roman"/>
          <w:sz w:val="17"/>
          <w:szCs w:val="17"/>
          <w:b w:val="1"/>
          <w:bCs w:val="1"/>
          <w:color w:val="auto"/>
        </w:rPr>
        <w:t>Memorandum and Articles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good standing dated 25 June 2025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 xml:space="preserve">The register of directors and officers of the Company dated 20 June 2025 (the </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 xml:space="preserve">A certificate from a director of the Company dated 26 August 2025 as to certain matters of facts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 xml:space="preserve">The Register of Writs at the office of the Clerk of Courts in the Cayman Islands as inspected by us on 25 August 2025 (the </w:t>
      </w:r>
      <w:r>
        <w:rPr>
          <w:rFonts w:ascii="Times New Roman" w:cs="Times New Roman" w:eastAsia="Times New Roman" w:hAnsi="Times New Roman"/>
          <w:sz w:val="17"/>
          <w:szCs w:val="17"/>
          <w:b w:val="1"/>
          <w:bCs w:val="1"/>
          <w:color w:val="auto"/>
        </w:rPr>
        <w:t>Register of Writs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hanging="652"/>
        <w:spacing w:after="0" w:line="28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search on the Cayman Online Registry Information Service conducted against the Company at the Registrar on 25 August 2025 (the </w:t>
      </w:r>
      <w:r>
        <w:rPr>
          <w:rFonts w:ascii="Times New Roman" w:cs="Times New Roman" w:eastAsia="Times New Roman" w:hAnsi="Times New Roman"/>
          <w:sz w:val="18"/>
          <w:szCs w:val="18"/>
          <w:b w:val="1"/>
          <w:bCs w:val="1"/>
          <w:color w:val="auto"/>
        </w:rPr>
        <w:t>CORIS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Search</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unanimous written resolutions of all the directors of the Company passed on 28 May 2024 and 28 May 2025 approving, among other things, the Registration Statement, the Subscription Agreement, the Warrant Document and the issuance of the Class A Shares and the Warrant (together,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subscription agreement between the Company and Tether International Limited dated 30 May 2024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7"/>
          <w:szCs w:val="17"/>
          <w:color w:val="auto"/>
        </w:rPr>
        <w:t xml:space="preserve">The warrant to purchase ordinary shares constituting the Warrant issued by the Company on 30 May 2024 (the </w:t>
      </w:r>
      <w:r>
        <w:rPr>
          <w:rFonts w:ascii="Times New Roman" w:cs="Times New Roman" w:eastAsia="Times New Roman" w:hAnsi="Times New Roman"/>
          <w:sz w:val="17"/>
          <w:szCs w:val="17"/>
          <w:b w:val="1"/>
          <w:bCs w:val="1"/>
          <w:color w:val="auto"/>
        </w:rPr>
        <w:t>Warrant Document</w:t>
      </w:r>
      <w:r>
        <w:rPr>
          <w:rFonts w:ascii="Times New Roman" w:cs="Times New Roman" w:eastAsia="Times New Roman" w:hAnsi="Times New Roman"/>
          <w:sz w:val="17"/>
          <w:szCs w:val="17"/>
          <w:color w:val="auto"/>
        </w:rPr>
        <w:t>).</w:t>
      </w:r>
    </w:p>
    <w:p>
      <w:pPr>
        <w:spacing w:after="0" w:line="2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 xml:space="preserve">Page 6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standing</w:t>
      </w:r>
    </w:p>
    <w:p>
      <w:pPr>
        <w:spacing w:after="0" w:line="225" w:lineRule="exact"/>
        <w:rPr>
          <w:sz w:val="20"/>
          <w:szCs w:val="20"/>
          <w:color w:val="auto"/>
        </w:rPr>
      </w:pPr>
    </w:p>
    <w:p>
      <w:pPr>
        <w:jc w:val="both"/>
        <w:ind w:left="660" w:right="20" w:hanging="652"/>
        <w:spacing w:after="0" w:line="26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Companies Act (Revised)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60" w:hanging="652"/>
        <w:spacing w:after="0" w:line="26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7" w:lineRule="exact"/>
        <w:rPr>
          <w:sz w:val="20"/>
          <w:szCs w:val="20"/>
          <w:color w:val="auto"/>
        </w:rPr>
      </w:pPr>
    </w:p>
    <w:p>
      <w:pPr>
        <w:jc w:val="both"/>
        <w:ind w:left="660" w:hanging="652"/>
        <w:spacing w:after="0" w:line="267"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Companies Act,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Non-assessable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“non-assessable” means, with respect to the Class A Shares, that a shareholder shall not, solely by virtue of its status as a shareholder, be liable for additional assessments or calls on the Class A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80" w:lineRule="exact"/>
        <w:rPr>
          <w:sz w:val="20"/>
          <w:szCs w:val="20"/>
          <w:color w:val="auto"/>
        </w:rPr>
      </w:pPr>
    </w:p>
    <w:p>
      <w:pPr>
        <w:jc w:val="both"/>
        <w:ind w:left="660" w:hanging="652"/>
        <w:spacing w:after="0" w:line="255"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 xml:space="preserve">Page 7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f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Writs</w:t>
      </w:r>
    </w:p>
    <w:p>
      <w:pPr>
        <w:spacing w:after="0" w:line="22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examination of the Register of Writs cannot conclusively reveal whether or not there 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pending litigation in the Cayman Islands against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for the winding up or dissolution of the Company or the appointment of any liquidator, trustee in bankruptcy or restructuring officer in respect of the Company or any of its assets,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F-3 of our report dated April 21, 2025 with respect to the audited consolidated financial statements of Bitdeer Technologies Group (the “Company”) and the effectiveness of the Company’s internal control over financial reporting, appearing in the Annual Report on Form 20-F of the Company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references to us under the heading “Experts” in such Registration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2025</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BITDEER TECHNOLOGIES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5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8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ordinary</w:t>
            </w:r>
          </w:p>
        </w:tc>
        <w:tc>
          <w:tcPr>
            <w:tcW w:w="9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186,627</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13.00</w:t>
            </w: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$ 2,426,151.00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371.44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par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US$0.0000001 per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$ 2,426,151.00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371.44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371.44</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includes an indeterminable number of additional Class A ordinary shares of Bitdeer Technologies Group (the “Registrant”), par value $0.0000001 per share (“Class A Ordinary Shares”), that may be issued to prevent dilution from share splits, share dividends or similar transactions that could affect the Class A Ordinary Shares to be offered by the selling securityholders.</w:t>
      </w:r>
    </w:p>
    <w:p>
      <w:pPr>
        <w:spacing w:after="0" w:line="17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registered represents Class A Ordinary Shares being registered for resale by the selling securityholder named in the registration statement.</w:t>
      </w:r>
    </w:p>
    <w:p>
      <w:pPr>
        <w:spacing w:after="0" w:line="225"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calculated in accordance with Rule 457(c) under the Securities Act, based on the average of the high and low prices of the Class A Ordinary Shares on the Nasdaq Stock Market LLC on August 22, 2025.</w:t>
      </w:r>
    </w:p>
    <w:p>
      <w:pPr>
        <w:spacing w:after="0" w:line="161"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registration fee is calculated by multiplying the proposed maximum aggregate offering price of securities to be registered by the fee rate.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1)"/>
      <w:numFmt w:val="decimal"/>
      <w:start w:val="10"/>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Roman"/>
      <w:start w:val="3"/>
    </w:lvl>
  </w:abstractNum>
  <w:abstractNum w:abstractNumId="31">
    <w:nsid w:val="6DE91B18"/>
    <w:multiLevelType w:val="hybridMultilevel"/>
    <w:lvl w:ilvl="0">
      <w:lvlJc w:val="left"/>
      <w:lvlText w:val="(%1)"/>
      <w:numFmt w:val="lowerLetter"/>
      <w:start w:val="1"/>
    </w:lvl>
    <w:lvl w:ilvl="1">
      <w:lvlJc w:val="left"/>
      <w:lvlText w:val="(%2)"/>
      <w:numFmt w:val="decimal"/>
      <w:start w:val="1"/>
    </w:lvl>
  </w:abstractNum>
  <w:abstractNum w:abstractNumId="32">
    <w:nsid w:val="38437FDB"/>
    <w:multiLevelType w:val="hybridMultilevel"/>
    <w:lvl w:ilvl="0">
      <w:lvlJc w:val="left"/>
      <w:lvlText w:val="(%1)"/>
      <w:numFmt w:val="decimal"/>
      <w:start w:val="2"/>
    </w:lvl>
  </w:abstractNum>
  <w:abstractNum w:abstractNumId="33">
    <w:nsid w:val="7644A45C"/>
    <w:multiLevelType w:val="hybridMultilevel"/>
    <w:lvl w:ilvl="0">
      <w:lvlJc w:val="left"/>
      <w:lvlText w:val="(%1)"/>
      <w:numFmt w:val="lowerLetter"/>
      <w:start w:val="2"/>
    </w:lvl>
    <w:lvl w:ilvl="1">
      <w:lvlJc w:val="left"/>
      <w:lvlText w:val="(%2)"/>
      <w:numFmt w:val="decimal"/>
      <w:start w:val="1"/>
    </w:lvl>
  </w:abstractNum>
  <w:abstractNum w:abstractNumId="34">
    <w:nsid w:val="32FFF902"/>
    <w:multiLevelType w:val="hybridMultilevel"/>
    <w:lvl w:ilvl="0">
      <w:lvlJc w:val="left"/>
      <w:lvlText w:val="(%1)"/>
      <w:numFmt w:val="lowerLetter"/>
      <w:start w:val="6"/>
    </w:lvl>
    <w:lvl w:ilvl="1">
      <w:lvlJc w:val="left"/>
      <w:lvlText w:val="(%2)"/>
      <w:numFmt w:val="decimal"/>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bullet"/>
      <w:start w:val="1"/>
    </w:lvl>
  </w:abstractNum>
  <w:abstractNum w:abstractNumId="37">
    <w:nsid w:val="749ABB43"/>
    <w:multiLevelType w:val="hybridMultilevel"/>
    <w:lvl w:ilvl="0">
      <w:lvlJc w:val="left"/>
      <w:lvlText w:val="2"/>
      <w:numFmt w:val="bullet"/>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2"/>
    </w:lvl>
  </w:abstractNum>
  <w:abstractNum w:abstractNumId="40">
    <w:nsid w:val="79A1DEAA"/>
    <w:multiLevelType w:val="hybridMultilevel"/>
    <w:lvl w:ilvl="0">
      <w:lvlJc w:val="left"/>
      <w:lvlText w:val="3"/>
      <w:numFmt w:val="bullet"/>
      <w:start w:val="1"/>
    </w:lvl>
    <w:lvl w:ilvl="1">
      <w:lvlJc w:val="left"/>
      <w:lvlText w:val="(%2)"/>
      <w:numFmt w:val="lowerLetter"/>
      <w:start w:val="1"/>
    </w:lvl>
  </w:abstractNum>
  <w:abstractNum w:abstractNumId="41">
    <w:nsid w:val="75C6C33A"/>
    <w:multiLevelType w:val="hybridMultilevel"/>
    <w:lvl w:ilvl="0">
      <w:lvlJc w:val="left"/>
      <w:lvlText w:val="(%1)"/>
      <w:numFmt w:val="lowerLetter"/>
      <w:start w:val="2"/>
    </w:lvl>
    <w:lvl w:ilvl="1">
      <w:lvlJc w:val="left"/>
      <w:lvlText w:val="(%2)"/>
      <w:numFmt w:val="lowerRoman"/>
      <w:start w:val="1"/>
    </w:lvl>
  </w:abstractNum>
  <w:abstractNum w:abstractNumId="42">
    <w:nsid w:val="12E685FB"/>
    <w:multiLevelType w:val="hybridMultilevel"/>
    <w:lvl w:ilvl="0">
      <w:lvlJc w:val="left"/>
      <w:lvlText w:val="(%1)"/>
      <w:numFmt w:val="lowerLetter"/>
      <w:start w:val="3"/>
    </w:lvl>
    <w:lvl w:ilvl="1">
      <w:lvlJc w:val="left"/>
      <w:lvlText w:val="(%2)"/>
      <w:numFmt w:val="lowerRoman"/>
      <w:start w:val="1"/>
    </w:lvl>
  </w:abstractNum>
  <w:abstractNum w:abstractNumId="43">
    <w:nsid w:val="70C6A529"/>
    <w:multiLevelType w:val="hybridMultilevel"/>
    <w:lvl w:ilvl="0">
      <w:lvlJc w:val="left"/>
      <w:lvlText w:val="(%1)"/>
      <w:numFmt w:val="lowerLetter"/>
      <w:start w:val="4"/>
    </w:lvl>
  </w:abstractNum>
  <w:abstractNum w:abstractNumId="44">
    <w:nsid w:val="520EEDD1"/>
    <w:multiLevelType w:val="hybridMultilevel"/>
    <w:lvl w:ilvl="0">
      <w:lvlJc w:val="left"/>
      <w:lvlText w:val="4"/>
      <w:numFmt w:val="bullet"/>
      <w:start w:val="1"/>
    </w:lvl>
    <w:lvl w:ilvl="1">
      <w:lvlJc w:val="left"/>
      <w:lvlText w:val="(%2)"/>
      <w:numFmt w:val="lowerLetter"/>
      <w:start w:val="1"/>
    </w:lvl>
  </w:abstractNum>
  <w:abstractNum w:abstractNumId="45">
    <w:nsid w:val="374A3FE6"/>
    <w:multiLevelType w:val="hybridMultilevel"/>
    <w:lvl w:ilvl="0">
      <w:lvlJc w:val="left"/>
      <w:lvlText w:val="(%1)"/>
      <w:numFmt w:val="lowerLetter"/>
      <w:start w:val="2"/>
    </w:lvl>
  </w:abstractNum>
  <w:abstractNum w:abstractNumId="46">
    <w:nsid w:val="4F4EF005"/>
    <w:multiLevelType w:val="hybridMultilevel"/>
    <w:lvl w:ilvl="0">
      <w:lvlJc w:val="left"/>
      <w:lvlText w:val="5"/>
      <w:numFmt w:val="bullet"/>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6"/>
      <w:numFmt w:val="bullet"/>
      <w:start w:val="1"/>
    </w:lvl>
  </w:abstractNum>
  <w:abstractNum w:abstractNumId="49">
    <w:nsid w:val="275AC794"/>
    <w:multiLevelType w:val="hybridMultilevel"/>
    <w:lvl w:ilvl="0">
      <w:lvlJc w:val="left"/>
      <w:lvlText w:val="1"/>
      <w:numFmt w:val="bullet"/>
      <w:start w:val="1"/>
    </w:lvl>
  </w:abstractNum>
  <w:abstractNum w:abstractNumId="50">
    <w:nsid w:val="39386575"/>
    <w:multiLevelType w:val="hybridMultilevel"/>
    <w:lvl w:ilvl="0">
      <w:lvlJc w:val="left"/>
      <w:lvlText w:val="2"/>
      <w:numFmt w:val="bullet"/>
      <w:start w:val="1"/>
    </w:lvl>
  </w:abstractNum>
  <w:abstractNum w:abstractNumId="51">
    <w:nsid w:val="1CF10FD8"/>
    <w:multiLevelType w:val="hybridMultilevel"/>
    <w:lvl w:ilvl="0">
      <w:lvlJc w:val="left"/>
      <w:lvlText w:val="3"/>
      <w:numFmt w:val="bullet"/>
      <w:start w:val="1"/>
    </w:lvl>
  </w:abstractNum>
  <w:abstractNum w:abstractNumId="52">
    <w:nsid w:val="180115BE"/>
    <w:multiLevelType w:val="hybridMultilevel"/>
    <w:lvl w:ilvl="0">
      <w:lvlJc w:val="left"/>
      <w:lvlText w:val="7"/>
      <w:numFmt w:val="bullet"/>
      <w:start w:val="1"/>
    </w:lvl>
  </w:abstractNum>
  <w:abstractNum w:abstractNumId="53">
    <w:nsid w:val="235BA861"/>
    <w:multiLevelType w:val="hybridMultilevel"/>
    <w:lvl w:ilvl="0">
      <w:lvlJc w:val="left"/>
      <w:lvlText w:val="8"/>
      <w:numFmt w:val="bullet"/>
      <w:start w:val="1"/>
    </w:lvl>
  </w:abstractNum>
  <w:abstractNum w:abstractNumId="54">
    <w:nsid w:val="47398C89"/>
    <w:multiLevelType w:val="hybridMultilevel"/>
    <w:lvl w:ilvl="0">
      <w:lvlJc w:val="left"/>
      <w:lvlText w:val="9"/>
      <w:numFmt w:val="bullet"/>
      <w:start w:val="1"/>
    </w:lvl>
  </w:abstractNum>
  <w:abstractNum w:abstractNumId="55">
    <w:nsid w:val="354FE9F9"/>
    <w:multiLevelType w:val="hybridMultilevel"/>
    <w:lvl w:ilvl="0">
      <w:lvlJc w:val="left"/>
      <w:lvlText w:val="1"/>
      <w:numFmt w:val="bullet"/>
      <w:start w:val="1"/>
    </w:lvl>
  </w:abstractNum>
  <w:abstractNum w:abstractNumId="56">
    <w:nsid w:val="15B5AF5C"/>
    <w:multiLevelType w:val="hybridMultilevel"/>
    <w:lvl w:ilvl="0">
      <w:lvlJc w:val="left"/>
      <w:lvlText w:val="2"/>
      <w:numFmt w:val="bullet"/>
      <w:start w:val="1"/>
    </w:lvl>
  </w:abstractNum>
  <w:abstractNum w:abstractNumId="57">
    <w:nsid w:val="741226BB"/>
    <w:multiLevelType w:val="hybridMultilevel"/>
    <w:lvl w:ilvl="0">
      <w:lvlJc w:val="left"/>
      <w:lvlText w:val="3"/>
      <w:numFmt w:val="bullet"/>
      <w:start w:val="1"/>
    </w:lvl>
  </w:abstractNum>
  <w:abstractNum w:abstractNumId="58">
    <w:nsid w:val="D34B6A8"/>
    <w:multiLevelType w:val="hybridMultilevel"/>
    <w:lvl w:ilvl="0">
      <w:lvlJc w:val="left"/>
      <w:lvlText w:val="4"/>
      <w:numFmt w:val="bullet"/>
      <w:start w:val="1"/>
    </w:lvl>
  </w:abstractNum>
  <w:abstractNum w:abstractNumId="59">
    <w:nsid w:val="10233C99"/>
    <w:multiLevelType w:val="hybridMultilevel"/>
    <w:lvl w:ilvl="0">
      <w:lvlJc w:val="left"/>
      <w:lvlText w:val="5"/>
      <w:numFmt w:val="bullet"/>
      <w:start w:val="1"/>
    </w:lvl>
  </w:abstractNum>
  <w:abstractNum w:abstractNumId="60">
    <w:nsid w:val="3F6AB60F"/>
    <w:multiLevelType w:val="hybridMultilevel"/>
    <w:lvl w:ilvl="0">
      <w:lvlJc w:val="left"/>
      <w:lvlText w:val="6"/>
      <w:numFmt w:val="bullet"/>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jpe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51" Type="http://schemas.openxmlformats.org/officeDocument/2006/relationships/hyperlink" Target="http://www.sec.gov/Archives/edgar/data/1899123/000114036125014766/ef20038928_20f.htm" TargetMode="External"/><Relationship Id="rId52" Type="http://schemas.openxmlformats.org/officeDocument/2006/relationships/hyperlink" Target="http://www.sec.gov/Archives/edgar/data/1899123/000121390025043726/ea0242111-6k_bitdeer.htm" TargetMode="External"/><Relationship Id="rId53" Type="http://schemas.openxmlformats.org/officeDocument/2006/relationships/hyperlink" Target="https://www.sec.gov/Archives/edgar/data/1899123/000121390025049129/ea0244021-6k_bitdeer.htm" TargetMode="External"/><Relationship Id="rId54" Type="http://schemas.openxmlformats.org/officeDocument/2006/relationships/hyperlink" Target="https://www.sec.gov/Archives/edgar/data/1899123/000121390025052079/ea0244945-6k_bitdeer.htm" TargetMode="External"/><Relationship Id="rId55" Type="http://schemas.openxmlformats.org/officeDocument/2006/relationships/hyperlink" Target="https://www.sec.gov/Archives/edgar/data/1899123/000121390025055406/ea0246053-6k_bitdeer.htm" TargetMode="External"/><Relationship Id="rId56" Type="http://schemas.openxmlformats.org/officeDocument/2006/relationships/hyperlink" Target="https://www.sec.gov/Archives/edgar/data/1899123/000121390025056729/ea0246533-6k_bitdeer.htm" TargetMode="External"/><Relationship Id="rId57" Type="http://schemas.openxmlformats.org/officeDocument/2006/relationships/hyperlink" Target="https://www.sec.gov/Archives/edgar/data/1899123/000121390025059212/ea0247488-6k_bitdeer.htm" TargetMode="External"/><Relationship Id="rId58" Type="http://schemas.openxmlformats.org/officeDocument/2006/relationships/hyperlink" Target="https://www.sec.gov/Archives/edgar/data/1899123/000121390025078134/ea0253320-6k_bitdeer.htm" TargetMode="External"/><Relationship Id="rId59" Type="http://schemas.openxmlformats.org/officeDocument/2006/relationships/hyperlink" Target="http://www.sec.gov/Archives/edgar/data/1899123/000110465923044314/tm2312555d1_8a12b.htm" TargetMode="External"/><Relationship Id="rId64" Type="http://schemas.openxmlformats.org/officeDocument/2006/relationships/hyperlink" Target="https://www.sec.gov/Archives/edgar/data/1899123/000110465923047181/tm237717d3_ex1-1.htm" TargetMode="External"/><Relationship Id="rId65" Type="http://schemas.openxmlformats.org/officeDocument/2006/relationships/hyperlink" Target="https://www.sec.gov/Archives/edgar/data/1899123/000110465923029896/tm2135137d43_ex4-1.htm" TargetMode="External"/><Relationship Id="rId66" Type="http://schemas.openxmlformats.org/officeDocument/2006/relationships/hyperlink" Target="https://www.sec.gov/Archives/edgar/data/1899123/000114036124029276/ny20030771x1_ex4-2.htm" TargetMode="External"/><Relationship Id="rId67" Type="http://schemas.openxmlformats.org/officeDocument/2006/relationships/hyperlink" Target="https://www.sec.gov/Archives/edgar/data/1899123/000114036124029276/ny20030771x1_ex4-3.htm" TargetMode="External"/><Relationship Id="rId68" Type="http://schemas.openxmlformats.org/officeDocument/2006/relationships/hyperlink" Target="https://www.sec.gov/Archives/edgar/data/1899123/000114036124029276/ny20030771x1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2025-08-26T07:12:21Z</dcterms:created>
  <dcterms:modified xsi:type="dcterms:W3CDTF">2025-08-26T07:12:21Z</dcterms:modified>
</cp:coreProperties>
</file>