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5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5"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For the month of January 2025</w:t>
      </w:r>
    </w:p>
    <w:p>
      <w:pPr>
        <w:spacing w:after="0" w:line="225"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Commission file number: 001-41687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p>
      <w:pPr>
        <w:ind w:left="2000"/>
        <w:spacing w:after="0"/>
        <w:rPr>
          <w:sz w:val="20"/>
          <w:szCs w:val="20"/>
          <w:color w:val="auto"/>
        </w:rPr>
      </w:pPr>
      <w:r>
        <w:rPr>
          <w:rFonts w:ascii="Times New Roman" w:cs="Times New Roman" w:eastAsia="Times New Roman" w:hAnsi="Times New Roman"/>
          <w:sz w:val="43"/>
          <w:szCs w:val="43"/>
          <w:b w:val="1"/>
          <w:bCs w:val="1"/>
          <w:color w:val="auto"/>
        </w:rPr>
        <w:t>BITDEER TECHNOLOGIES GROUP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08 Kallang Avenue</w:t>
      </w:r>
    </w:p>
    <w:p>
      <w:pPr>
        <w:spacing w:after="0" w:line="31"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Aperia tower 1, #09-03/04</w:t>
      </w:r>
    </w:p>
    <w:p>
      <w:pPr>
        <w:spacing w:after="0" w:line="9"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Singapore 339509</w:t>
      </w:r>
    </w:p>
    <w:p>
      <w:pPr>
        <w:spacing w:after="0" w:line="9"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65" w:lineRule="exact"/>
        <w:rPr>
          <w:sz w:val="24"/>
          <w:szCs w:val="24"/>
          <w:color w:val="auto"/>
        </w:rPr>
      </w:pPr>
    </w:p>
    <w:p>
      <w:pPr>
        <w:spacing w:after="0" w:line="207" w:lineRule="exact"/>
        <w:tabs>
          <w:tab w:leader="none" w:pos="984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Form 20-F or Form 40-F. 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480695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320" w:top="516" w:right="67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current report on Form 6-K is hereby incorporated by reference in the registration statements of Bitdeer Technologies Group (the “Company”) on Form F-3 (No. 333-273905, No. 333-278027, No. 333-278029, No. 333-280041 and No. 333-283732) and Form S-8 (No. 333-272858 and No. 333-275342), to the extent not superseded by documents or reports subsequently filed or furnished.</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On January 3</w:t>
      </w:r>
      <w:r>
        <w:rPr>
          <w:rFonts w:ascii="Times New Roman" w:cs="Times New Roman" w:eastAsia="Times New Roman" w:hAnsi="Times New Roman"/>
          <w:sz w:val="18"/>
          <w:szCs w:val="18"/>
          <w:color w:val="000000"/>
        </w:rPr>
        <w:t>, 2025,</w:t>
      </w:r>
      <w:r>
        <w:rPr>
          <w:rFonts w:ascii="Times New Roman" w:cs="Times New Roman" w:eastAsia="Times New Roman" w:hAnsi="Times New Roman"/>
          <w:sz w:val="18"/>
          <w:szCs w:val="18"/>
          <w:color w:val="231F20"/>
        </w:rPr>
        <w:t xml:space="preserve"> the Company entered into an At Market Issuance Sales Agreement (the “Sales Agreement”; the program under the Sales Agreement, the “ATM program”) with Barclays Capital Inc., Cantor Fitzgerald &amp; Co., A.G.P./Alliance Global Partners, The Benchmark Company, LLC, B. Riley Securities, Inc., BTIG, LLC, Keefe, Bruyette &amp; Woods, Inc., Needham &amp; Company, LLC, Northland Securities, Inc., Rosenblatt Securities Inc., Roth Capital Partners, LLC and StockBlock Securities LLC as sales agents (the “sales agents”).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3, 2025, the Company filed a prospectus supplement (the “Prospectus Supplement”) to register the offer, sale and issuance of up to an aggregate of US$1,000,000,000 of the Class A ordinary shares (the “Shares”) in accordance with the Sales Agreement, under the Securities Act of 1933, as amended and pursuant to the Company’s registration statement on Form F-3 (File No. 333-283732), which was declared effective by the Securities and Exchange Commission on December 18, 2024. The timing and extent of the use of the ATM Program will be at the discretion of the Company.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Sales Agreement, the sales agents may sell the Shares by any method permitted that is deemed an “at the market offering” as defined in Rule 415(a)(4) under the Securities Act of 1933, as amended. The sales agents will use commercially reasonable efforts consistent with their normal trading and sales practices and applicable state and federal laws, rules and regulations and the rules of the Nasdaq Capital Market to sell the Shares from time to time, based upon instructions from the Company.</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foregoing summary of the Sales Agreement and the transactions contemplated thereby does not purport to be complete and is subject to, and qualified in its entirety by, reference to the full text of the Sales Agreement, which is filed herewith as Exhibit 1.1 and incorporated by reference herein.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copy of the opinion of Ogier, Cayman counsel to the Company, relating to the validity of the Shares to be issued pursuant to the Sales Agreement is filed herewith as Exhibit 5.1.</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January 2, 2025, 192,499,656 ordinary shares of the Company were issued and outstanding, including 144,099,734 Class A ordinary shares and 48,399,922 Class V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120" w:type="dxa"/>
            <w:vAlign w:val="bottom"/>
          </w:tcPr>
          <w:p>
            <w:pPr>
              <w:ind w:left="406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432"/>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16"/>
        </w:trPr>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120" w:type="dxa"/>
            <w:vAlign w:val="bottom"/>
          </w:tcPr>
          <w:p>
            <w:pPr>
              <w:spacing w:after="0"/>
              <w:rPr>
                <w:sz w:val="18"/>
                <w:szCs w:val="18"/>
                <w:color w:val="auto"/>
              </w:rPr>
            </w:pPr>
          </w:p>
        </w:tc>
      </w:tr>
      <w:tr>
        <w:trPr>
          <w:trHeight w:val="176"/>
        </w:trPr>
        <w:tc>
          <w:tcPr>
            <w:tcW w:w="11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1012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w w:val="99"/>
              </w:rPr>
              <w:t>At Market Issuance Sales Agreement, dated January 3, 2025, by and among the Company and Barclays Capital Inc., Cantor Fitzgerald &amp;</w:t>
            </w:r>
          </w:p>
        </w:tc>
      </w:tr>
      <w:tr>
        <w:trPr>
          <w:trHeight w:val="218"/>
        </w:trPr>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1012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 A.G.P./Alliance Global Partners, The Benchmark Company, LLC, B. Riley Securities, Inc., BTIG, LLC, Keefe, Bruyette &amp; Woods,</w:t>
            </w:r>
          </w:p>
        </w:tc>
      </w:tr>
      <w:tr>
        <w:trPr>
          <w:trHeight w:val="216"/>
        </w:trPr>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 Needham &amp; Company, LLC, Northland Securities, Inc., Rosenblatt Securities Inc., Roth Capital Partners, LLC and StockBlock</w:t>
            </w:r>
          </w:p>
        </w:tc>
      </w:tr>
      <w:tr>
        <w:trPr>
          <w:trHeight w:val="234"/>
        </w:trPr>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Securities LLC</w:t>
            </w:r>
          </w:p>
        </w:tc>
      </w:tr>
      <w:tr>
        <w:trPr>
          <w:trHeight w:val="216"/>
        </w:trPr>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120" w:type="dxa"/>
            <w:vAlign w:val="bottom"/>
          </w:tcPr>
          <w:p>
            <w:pPr>
              <w:spacing w:after="0"/>
              <w:rPr>
                <w:sz w:val="18"/>
                <w:szCs w:val="18"/>
                <w:color w:val="auto"/>
              </w:rPr>
            </w:pPr>
          </w:p>
        </w:tc>
      </w:tr>
      <w:tr>
        <w:trPr>
          <w:trHeight w:val="176"/>
        </w:trPr>
        <w:tc>
          <w:tcPr>
            <w:tcW w:w="11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1</w:t>
            </w:r>
          </w:p>
        </w:tc>
        <w:tc>
          <w:tcPr>
            <w:tcW w:w="1012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Opinion of Ogier relating to the Class A ordinary shares</w:t>
            </w:r>
          </w:p>
        </w:tc>
      </w:tr>
      <w:tr>
        <w:trPr>
          <w:trHeight w:val="20"/>
        </w:trPr>
        <w:tc>
          <w:tcPr>
            <w:tcW w:w="24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120" w:type="dxa"/>
            <w:vAlign w:val="bottom"/>
            <w:tcBorders>
              <w:top w:val="single" w:sz="8" w:color="CCEEFF"/>
            </w:tcBorders>
            <w:shd w:val="clear" w:color="auto" w:fill="CCEEFF"/>
          </w:tcPr>
          <w:p>
            <w:pPr>
              <w:spacing w:after="0" w:line="20" w:lineRule="exact"/>
              <w:rPr>
                <w:sz w:val="1"/>
                <w:szCs w:val="1"/>
                <w:color w:val="auto"/>
              </w:rPr>
            </w:pPr>
          </w:p>
        </w:tc>
      </w:tr>
    </w:tbl>
    <w:p>
      <w:pPr>
        <w:ind w:firstLine="8"/>
        <w:spacing w:after="0" w:line="260" w:lineRule="auto"/>
        <w:tabs>
          <w:tab w:leader="none" w:pos="15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certain portions of the exhibits omitted pursuant to Item 601(b)(2) of Regulation S-K. The Company agrees to furnish supplementally a copy of such schedules, or any section thereof, to the SEC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current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Bitdeer Technologies Group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Jihan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Jihan Wu</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of the Board and</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BITDEER TECHNOLOGIES GROUP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Class A Ordinary Shares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(par value $0.0000001 per share)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 Market Issuance Sales Agreement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January 3,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Barclays Capital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745 Seventh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Cantor Fitzgerald &amp; Co.</w:t>
      </w:r>
    </w:p>
    <w:p>
      <w:pPr>
        <w:spacing w:after="0" w:line="182" w:lineRule="auto"/>
        <w:rPr>
          <w:sz w:val="20"/>
          <w:szCs w:val="20"/>
          <w:color w:val="auto"/>
        </w:rPr>
      </w:pPr>
      <w:r>
        <w:rPr>
          <w:rFonts w:ascii="Times New Roman" w:cs="Times New Roman" w:eastAsia="Times New Roman" w:hAnsi="Times New Roman"/>
          <w:sz w:val="17"/>
          <w:szCs w:val="17"/>
          <w:color w:val="auto"/>
        </w:rPr>
        <w:t>110 E. 59</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St., 6</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A.G.P./Alliance Global Partners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590 Madison Avenue, 28th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Benchmark Company,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150 E. 58th Street, 17th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10155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Riley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299 Park Avenue, 21st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10171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BTIG,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350 Bush Street, 9th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 94104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Keefe, Bruyette &amp; Woods,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787 Seventh Avenue, 11th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Needham &amp; Company,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250 Park Avenue, 10th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10177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Northland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150 South Fifth Street, Suite 3300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 55402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Rosenblatt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 Wall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10005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Roth Capital Partners,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888 San Clemente Drive, Suite 400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Newport Beach, CA 92660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StockBlock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600 Lexington Avenue, 32nd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254635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266" w:right="339" w:bottom="1440" w:gutter="0" w:footer="0" w:header="0"/>
        </w:sectPr>
      </w:pPr>
    </w:p>
    <w:bookmarkStart w:id="5" w:name="page6"/>
    <w:bookmarkEnd w:id="5"/>
    <w:p>
      <w:pPr>
        <w:ind w:left="660"/>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Bitdeer Technologies Group, an exempted company incorporated with limited liability under the laws of the Cayman Islands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confirms its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with Barclays Capital Inc. (“</w:t>
      </w:r>
      <w:r>
        <w:rPr>
          <w:rFonts w:ascii="Times New Roman" w:cs="Times New Roman" w:eastAsia="Times New Roman" w:hAnsi="Times New Roman"/>
          <w:sz w:val="18"/>
          <w:szCs w:val="18"/>
          <w:u w:val="single" w:color="auto"/>
          <w:color w:val="auto"/>
        </w:rPr>
        <w:t>Barclays</w:t>
      </w:r>
      <w:r>
        <w:rPr>
          <w:rFonts w:ascii="Times New Roman" w:cs="Times New Roman" w:eastAsia="Times New Roman" w:hAnsi="Times New Roman"/>
          <w:sz w:val="18"/>
          <w:szCs w:val="18"/>
          <w:color w:val="auto"/>
        </w:rPr>
        <w:t>”), Cantor Fitzgerald &amp; Co. (“</w:t>
      </w:r>
      <w:r>
        <w:rPr>
          <w:rFonts w:ascii="Times New Roman" w:cs="Times New Roman" w:eastAsia="Times New Roman" w:hAnsi="Times New Roman"/>
          <w:sz w:val="18"/>
          <w:szCs w:val="18"/>
          <w:u w:val="single" w:color="auto"/>
          <w:color w:val="auto"/>
        </w:rPr>
        <w:t>Cantor</w:t>
      </w:r>
      <w:r>
        <w:rPr>
          <w:rFonts w:ascii="Times New Roman" w:cs="Times New Roman" w:eastAsia="Times New Roman" w:hAnsi="Times New Roman"/>
          <w:sz w:val="18"/>
          <w:szCs w:val="18"/>
          <w:color w:val="auto"/>
        </w:rPr>
        <w:t>”), A.G.P./Alliance Global Partners (“</w:t>
      </w:r>
      <w:r>
        <w:rPr>
          <w:rFonts w:ascii="Times New Roman" w:cs="Times New Roman" w:eastAsia="Times New Roman" w:hAnsi="Times New Roman"/>
          <w:sz w:val="18"/>
          <w:szCs w:val="18"/>
          <w:u w:val="single" w:color="auto"/>
          <w:color w:val="auto"/>
        </w:rPr>
        <w:t>AGP</w:t>
      </w:r>
      <w:r>
        <w:rPr>
          <w:rFonts w:ascii="Times New Roman" w:cs="Times New Roman" w:eastAsia="Times New Roman" w:hAnsi="Times New Roman"/>
          <w:sz w:val="18"/>
          <w:szCs w:val="18"/>
          <w:color w:val="auto"/>
        </w:rPr>
        <w:t>”), The Benchmark Company, LLC (“</w:t>
      </w:r>
      <w:r>
        <w:rPr>
          <w:rFonts w:ascii="Times New Roman" w:cs="Times New Roman" w:eastAsia="Times New Roman" w:hAnsi="Times New Roman"/>
          <w:sz w:val="18"/>
          <w:szCs w:val="18"/>
          <w:u w:val="single" w:color="auto"/>
          <w:color w:val="auto"/>
        </w:rPr>
        <w:t>Benchmark</w:t>
      </w:r>
      <w:r>
        <w:rPr>
          <w:rFonts w:ascii="Times New Roman" w:cs="Times New Roman" w:eastAsia="Times New Roman" w:hAnsi="Times New Roman"/>
          <w:sz w:val="18"/>
          <w:szCs w:val="18"/>
          <w:color w:val="auto"/>
        </w:rPr>
        <w:t>”), B. Riley Securities, Inc. (“</w:t>
      </w:r>
      <w:r>
        <w:rPr>
          <w:rFonts w:ascii="Times New Roman" w:cs="Times New Roman" w:eastAsia="Times New Roman" w:hAnsi="Times New Roman"/>
          <w:sz w:val="18"/>
          <w:szCs w:val="18"/>
          <w:u w:val="single" w:color="auto"/>
          <w:color w:val="auto"/>
        </w:rPr>
        <w:t>B. Riley Securities</w:t>
      </w:r>
      <w:r>
        <w:rPr>
          <w:rFonts w:ascii="Times New Roman" w:cs="Times New Roman" w:eastAsia="Times New Roman" w:hAnsi="Times New Roman"/>
          <w:sz w:val="18"/>
          <w:szCs w:val="18"/>
          <w:color w:val="auto"/>
        </w:rPr>
        <w:t>”) BTIG, LLC (“</w:t>
      </w:r>
      <w:r>
        <w:rPr>
          <w:rFonts w:ascii="Times New Roman" w:cs="Times New Roman" w:eastAsia="Times New Roman" w:hAnsi="Times New Roman"/>
          <w:sz w:val="18"/>
          <w:szCs w:val="18"/>
          <w:u w:val="single" w:color="auto"/>
          <w:color w:val="auto"/>
        </w:rPr>
        <w:t>BTIG</w:t>
      </w:r>
      <w:r>
        <w:rPr>
          <w:rFonts w:ascii="Times New Roman" w:cs="Times New Roman" w:eastAsia="Times New Roman" w:hAnsi="Times New Roman"/>
          <w:sz w:val="18"/>
          <w:szCs w:val="18"/>
          <w:color w:val="auto"/>
        </w:rPr>
        <w:t>”), Keefe, Bruyette &amp; Woods, Inc. (“</w:t>
      </w:r>
      <w:r>
        <w:rPr>
          <w:rFonts w:ascii="Times New Roman" w:cs="Times New Roman" w:eastAsia="Times New Roman" w:hAnsi="Times New Roman"/>
          <w:sz w:val="18"/>
          <w:szCs w:val="18"/>
          <w:u w:val="single" w:color="auto"/>
          <w:color w:val="auto"/>
        </w:rPr>
        <w:t>KBW</w:t>
      </w:r>
      <w:r>
        <w:rPr>
          <w:rFonts w:ascii="Times New Roman" w:cs="Times New Roman" w:eastAsia="Times New Roman" w:hAnsi="Times New Roman"/>
          <w:sz w:val="18"/>
          <w:szCs w:val="18"/>
          <w:color w:val="auto"/>
        </w:rPr>
        <w:t>”), Needham &amp; Company, LLC (“</w:t>
      </w:r>
      <w:r>
        <w:rPr>
          <w:rFonts w:ascii="Times New Roman" w:cs="Times New Roman" w:eastAsia="Times New Roman" w:hAnsi="Times New Roman"/>
          <w:sz w:val="18"/>
          <w:szCs w:val="18"/>
          <w:u w:val="single" w:color="auto"/>
          <w:color w:val="auto"/>
        </w:rPr>
        <w:t>Needham</w:t>
      </w:r>
      <w:r>
        <w:rPr>
          <w:rFonts w:ascii="Times New Roman" w:cs="Times New Roman" w:eastAsia="Times New Roman" w:hAnsi="Times New Roman"/>
          <w:sz w:val="18"/>
          <w:szCs w:val="18"/>
          <w:color w:val="auto"/>
        </w:rPr>
        <w:t>”), Northland Securities, Inc. (“</w:t>
      </w:r>
      <w:r>
        <w:rPr>
          <w:rFonts w:ascii="Times New Roman" w:cs="Times New Roman" w:eastAsia="Times New Roman" w:hAnsi="Times New Roman"/>
          <w:sz w:val="18"/>
          <w:szCs w:val="18"/>
          <w:u w:val="single" w:color="auto"/>
          <w:color w:val="auto"/>
        </w:rPr>
        <w:t>Northland</w:t>
      </w:r>
      <w:r>
        <w:rPr>
          <w:rFonts w:ascii="Times New Roman" w:cs="Times New Roman" w:eastAsia="Times New Roman" w:hAnsi="Times New Roman"/>
          <w:sz w:val="18"/>
          <w:szCs w:val="18"/>
          <w:color w:val="auto"/>
        </w:rPr>
        <w:t>”), Rosenblatt Securities Inc. (“</w:t>
      </w:r>
      <w:r>
        <w:rPr>
          <w:rFonts w:ascii="Times New Roman" w:cs="Times New Roman" w:eastAsia="Times New Roman" w:hAnsi="Times New Roman"/>
          <w:sz w:val="18"/>
          <w:szCs w:val="18"/>
          <w:u w:val="single" w:color="auto"/>
          <w:color w:val="auto"/>
        </w:rPr>
        <w:t>Rosenblatt</w:t>
      </w:r>
      <w:r>
        <w:rPr>
          <w:rFonts w:ascii="Times New Roman" w:cs="Times New Roman" w:eastAsia="Times New Roman" w:hAnsi="Times New Roman"/>
          <w:sz w:val="18"/>
          <w:szCs w:val="18"/>
          <w:color w:val="auto"/>
        </w:rPr>
        <w:t>”), Roth Capital Partners, LLC (“</w:t>
      </w:r>
      <w:r>
        <w:rPr>
          <w:rFonts w:ascii="Times New Roman" w:cs="Times New Roman" w:eastAsia="Times New Roman" w:hAnsi="Times New Roman"/>
          <w:sz w:val="18"/>
          <w:szCs w:val="18"/>
          <w:u w:val="single" w:color="auto"/>
          <w:color w:val="auto"/>
        </w:rPr>
        <w:t>Roth</w:t>
      </w:r>
      <w:r>
        <w:rPr>
          <w:rFonts w:ascii="Times New Roman" w:cs="Times New Roman" w:eastAsia="Times New Roman" w:hAnsi="Times New Roman"/>
          <w:sz w:val="18"/>
          <w:szCs w:val="18"/>
          <w:color w:val="auto"/>
        </w:rPr>
        <w:t>”) and StockBlock Securities LLC (“</w:t>
      </w:r>
      <w:r>
        <w:rPr>
          <w:rFonts w:ascii="Times New Roman" w:cs="Times New Roman" w:eastAsia="Times New Roman" w:hAnsi="Times New Roman"/>
          <w:sz w:val="18"/>
          <w:szCs w:val="18"/>
          <w:u w:val="single" w:color="auto"/>
          <w:color w:val="auto"/>
        </w:rPr>
        <w:t>StockBlock</w:t>
      </w:r>
      <w:r>
        <w:rPr>
          <w:rFonts w:ascii="Times New Roman" w:cs="Times New Roman" w:eastAsia="Times New Roman" w:hAnsi="Times New Roman"/>
          <w:sz w:val="18"/>
          <w:szCs w:val="18"/>
          <w:color w:val="auto"/>
        </w:rPr>
        <w:t>,” and each of Barclays, Cantor, AGP, Benchmark, B. Riley Securities, BTIG, KBW, Needham, Northland, Rosenblatt, Roth and StockBlock, an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Agents</w:t>
      </w:r>
      <w:r>
        <w:rPr>
          <w:rFonts w:ascii="Times New Roman" w:cs="Times New Roman" w:eastAsia="Times New Roman" w:hAnsi="Times New Roman"/>
          <w:sz w:val="18"/>
          <w:szCs w:val="18"/>
          <w:color w:val="auto"/>
        </w:rPr>
        <w:t>”) as follows:</w:t>
      </w:r>
    </w:p>
    <w:p>
      <w:pPr>
        <w:spacing w:after="0" w:line="187" w:lineRule="exact"/>
        <w:rPr>
          <w:sz w:val="20"/>
          <w:szCs w:val="20"/>
          <w:color w:val="auto"/>
        </w:rPr>
      </w:pPr>
    </w:p>
    <w:p>
      <w:pPr>
        <w:jc w:val="both"/>
        <w:ind w:firstLine="656"/>
        <w:spacing w:after="0" w:line="255" w:lineRule="auto"/>
        <w:tabs>
          <w:tab w:leader="none" w:pos="828"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and Sale of Shares</w:t>
      </w:r>
      <w:r>
        <w:rPr>
          <w:rFonts w:ascii="Times New Roman" w:cs="Times New Roman" w:eastAsia="Times New Roman" w:hAnsi="Times New Roman"/>
          <w:sz w:val="18"/>
          <w:szCs w:val="18"/>
          <w:color w:val="auto"/>
        </w:rPr>
        <w:t>. The Company agrees that, from time to time during the term of this Agreement, on the terms and subject to the conditions set forth herein, it may issue and sell through the Agents, acting as sales agent, or to the Agents, acting as principal, the Company’s Class A ordinary shares, par value $0.0000001 per share (the “</w:t>
      </w:r>
      <w:r>
        <w:rPr>
          <w:rFonts w:ascii="Times New Roman" w:cs="Times New Roman" w:eastAsia="Times New Roman" w:hAnsi="Times New Roman"/>
          <w:sz w:val="18"/>
          <w:szCs w:val="18"/>
          <w:u w:val="single" w:color="auto"/>
          <w:color w:val="auto"/>
        </w:rPr>
        <w:t>Ordinary Shares</w:t>
      </w:r>
      <w:r>
        <w:rPr>
          <w:rFonts w:ascii="Times New Roman" w:cs="Times New Roman" w:eastAsia="Times New Roman" w:hAnsi="Times New Roman"/>
          <w:sz w:val="18"/>
          <w:szCs w:val="18"/>
          <w:color w:val="auto"/>
        </w:rPr>
        <w:t>”) (such Ordinary Shares to be offered hereby, the “</w:t>
      </w:r>
      <w:r>
        <w:rPr>
          <w:rFonts w:ascii="Times New Roman" w:cs="Times New Roman" w:eastAsia="Times New Roman" w:hAnsi="Times New Roman"/>
          <w:sz w:val="18"/>
          <w:szCs w:val="18"/>
          <w:u w:val="single" w:color="auto"/>
          <w:color w:val="auto"/>
        </w:rPr>
        <w:t>Placement Shares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however, </w:t>
      </w:r>
      <w:r>
        <w:rPr>
          <w:rFonts w:ascii="Times New Roman" w:cs="Times New Roman" w:eastAsia="Times New Roman" w:hAnsi="Times New Roman"/>
          <w:sz w:val="18"/>
          <w:szCs w:val="18"/>
          <w:color w:val="auto"/>
        </w:rPr>
        <w:t>that in no event shall the Company issue or sell through or to the Agents, as applicable, such number or dollar amount of Placement Shares that</w:t>
      </w:r>
    </w:p>
    <w:p>
      <w:pPr>
        <w:spacing w:after="0" w:line="2" w:lineRule="exact"/>
        <w:rPr>
          <w:rFonts w:ascii="Times New Roman" w:cs="Times New Roman" w:eastAsia="Times New Roman" w:hAnsi="Times New Roman"/>
          <w:sz w:val="18"/>
          <w:szCs w:val="18"/>
          <w:color w:val="auto"/>
        </w:rPr>
      </w:pPr>
    </w:p>
    <w:p>
      <w:pPr>
        <w:jc w:val="both"/>
        <w:ind w:firstLine="8"/>
        <w:spacing w:after="0" w:line="251" w:lineRule="auto"/>
        <w:tabs>
          <w:tab w:leader="none" w:pos="24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exceeds the number of shares or dollar amount of Ordinary Shares registered on the then effective Registration Statement (as defined below) pursuant to which the offering is being made, (b) exceeds the number of shares or dollar amount for which the Company has filed a Prospectus (as defined below), (c) exceeds the amount permitted to be sold under Form F-3 (including General Instruction I.B.5 thereof, if applicable), or (d) the amount authorized from time to time to be issued and sold under this Agreement by the Company’s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a duly authorized committee thereof or a duly authorized executive officer of the Company (each, an “</w:t>
      </w:r>
      <w:r>
        <w:rPr>
          <w:rFonts w:ascii="Times New Roman" w:cs="Times New Roman" w:eastAsia="Times New Roman" w:hAnsi="Times New Roman"/>
          <w:sz w:val="18"/>
          <w:szCs w:val="18"/>
          <w:u w:val="single" w:color="auto"/>
          <w:color w:val="auto"/>
        </w:rPr>
        <w:t>Authorized Officer</w:t>
      </w:r>
      <w:r>
        <w:rPr>
          <w:rFonts w:ascii="Times New Roman" w:cs="Times New Roman" w:eastAsia="Times New Roman" w:hAnsi="Times New Roman"/>
          <w:sz w:val="18"/>
          <w:szCs w:val="18"/>
          <w:color w:val="auto"/>
        </w:rPr>
        <w:t>”) (the lesser of (a), (b), (c) or (d) the “</w:t>
      </w:r>
      <w:r>
        <w:rPr>
          <w:rFonts w:ascii="Times New Roman" w:cs="Times New Roman" w:eastAsia="Times New Roman" w:hAnsi="Times New Roman"/>
          <w:sz w:val="18"/>
          <w:szCs w:val="18"/>
          <w:u w:val="single" w:color="auto"/>
          <w:color w:val="auto"/>
        </w:rPr>
        <w:t>Maximum Amount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 however</w:t>
      </w:r>
      <w:r>
        <w:rPr>
          <w:rFonts w:ascii="Times New Roman" w:cs="Times New Roman" w:eastAsia="Times New Roman" w:hAnsi="Times New Roman"/>
          <w:sz w:val="18"/>
          <w:szCs w:val="18"/>
          <w:color w:val="auto"/>
        </w:rPr>
        <w:t>, that in no event shall the aggregate number of Placement Shares sold pursuant to this Agreement exceed the number of authorized but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unissued shares of Ordinary Shares. Notwithstanding anything to the contrary contained herein, the parties hereto agree that compliance with the limitations set forth in this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on the number or dollar amount of Placement Shares that may be issued and sold under this Agreement from time to time shall be the sole responsibility of the Company and that the Agents shall have no obligation in connection with such compliance,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Designated Agent (as defined below) complies with parameters set forth by the Company in any Placement Notice (as defined below) issued to such Designated Agent. The issuance and sale of Placement Shares through or to the Agents, as applicable, will be effected pursuant to the Registration Statement (as defined below), although nothing in this Agreement shall be construed as requiring the Company to use the Registration Statement to issue any Placement Shares.</w:t>
      </w:r>
    </w:p>
    <w:p>
      <w:pPr>
        <w:spacing w:after="0" w:line="200" w:lineRule="exact"/>
        <w:rPr>
          <w:sz w:val="20"/>
          <w:szCs w:val="20"/>
          <w:color w:val="auto"/>
        </w:rPr>
      </w:pPr>
    </w:p>
    <w:p>
      <w:pPr>
        <w:spacing w:after="0" w:line="20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The Company has filed or shall file, in accordance with the provisions of the Securities Act of 1933, as amended and the rules and regulations thereunder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a registration statement on Form F-3, including a base prospectus, relating to certain securities including the Placement Shares to be issued from time to time by the Company, and which incorporates by reference documents that the Company has filed or shall file in accordance with the provisions of the Securities Exchange Act of 1934, as amended and the rules and regulations thereunder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The Company has prepared a prospectus supplement included as part of such registration statement specifically relating to the Placement Shares (the “</w:t>
      </w:r>
      <w:r>
        <w:rPr>
          <w:rFonts w:ascii="Times New Roman" w:cs="Times New Roman" w:eastAsia="Times New Roman" w:hAnsi="Times New Roman"/>
          <w:sz w:val="18"/>
          <w:szCs w:val="18"/>
          <w:u w:val="single" w:color="auto"/>
          <w:color w:val="auto"/>
        </w:rPr>
        <w:t>ATM Prospectus Supplement</w:t>
      </w:r>
      <w:r>
        <w:rPr>
          <w:rFonts w:ascii="Times New Roman" w:cs="Times New Roman" w:eastAsia="Times New Roman" w:hAnsi="Times New Roman"/>
          <w:sz w:val="18"/>
          <w:szCs w:val="18"/>
          <w:color w:val="auto"/>
        </w:rPr>
        <w:t>”) and shall, if necessary, prepare a prospectus supplement to the base prospectus included as part of such registration statement specifically relating to the Placement Shares (any such prospectus supplement, a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Supplement</w:t>
      </w:r>
      <w:r>
        <w:rPr>
          <w:rFonts w:ascii="Times New Roman" w:cs="Times New Roman" w:eastAsia="Times New Roman" w:hAnsi="Times New Roman"/>
          <w:sz w:val="18"/>
          <w:szCs w:val="18"/>
          <w:color w:val="auto"/>
        </w:rPr>
        <w:t xml:space="preserve">”). The Company will furnish to the Agents, for use by the Agents, electronic copies of the ATM Prospectus Supplement, as supplemented by the Prospectus Supplement, if any, relating to the Placement Shares;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Company shall not be required to furnish any document to the Agents to the extent such document is available on its Electronic Data Gathering Analysis and Retrieval System or if applicable, the Interactive Data Electronic Application system when used by the Commission (collectively, “</w:t>
      </w:r>
      <w:r>
        <w:rPr>
          <w:rFonts w:ascii="Times New Roman" w:cs="Times New Roman" w:eastAsia="Times New Roman" w:hAnsi="Times New Roman"/>
          <w:sz w:val="18"/>
          <w:szCs w:val="18"/>
          <w:u w:val="single" w:color="auto"/>
          <w:color w:val="auto"/>
        </w:rPr>
        <w:t>EDGAR</w:t>
      </w:r>
      <w:r>
        <w:rPr>
          <w:rFonts w:ascii="Times New Roman" w:cs="Times New Roman" w:eastAsia="Times New Roman" w:hAnsi="Times New Roman"/>
          <w:sz w:val="18"/>
          <w:szCs w:val="18"/>
          <w:color w:val="auto"/>
        </w:rPr>
        <w:t>”). Except where the context otherwise requires, such registration statement, and any post-effective amendment thereto, including all documents filed as part thereof or incorporated or deemed incorporated by reference therein, and including any information contained in a Prospectus (as defined below) subsequently filed with the Commission pursuant to Rule 424(b) under the Securities Act or deemed to be a part of such registration statement pursuant to Rule 430B of the Securities Act or any subsequent registration statement on Form F-3 filed pursuant to Rule 415 under the Securities Act by the Company to cover any Placement Shares, as from time to time amended or supplemented, is herein called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The base prospectus constitutes part of the Registration Statement, including all documents incorporated or deemed incorporated therein by reference to the extent such information has not been superseded or modified in accordance with Rule 412 under the Securities Act (as qualified by Rule 430B(g) of the Securities Act), included in the Registration Statement, together with the ATM Prospectus Supplement and Prospectus Supplement, if any, in the form in which such base prospectus, ATM Prospectus Supplement and/or Prospectus Supplement have most recently been filed by the Company with the Commission pursuant to Rule 424(b) under the Securities Act, as from time to time amended or supplemented, is herein called the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Any reference herein to the Registration Statement, the Prospectus or any amendment or supplement thereto shall be deemed to refer to and include the documents incorporated or deemed to be incorporated by reference therein, and any reference herein to the terms “amend,” “amendment” or “supplement” with respect to the Registration Statement or the Prospectus shall be deemed to refer to and include the filing after the execution hereof of any document under the Exchange Act on or after the most recent effective date of the Registration Statement, or the date of the Prospectus, the ATM Prospectus Supplement, any other Prospectus Supplement, or such Issuer Free Writing Prospectus, as the case may be, with the Commission and deemed to be incorporated by reference therein (the “</w:t>
      </w:r>
      <w:r>
        <w:rPr>
          <w:rFonts w:ascii="Times New Roman" w:cs="Times New Roman" w:eastAsia="Times New Roman" w:hAnsi="Times New Roman"/>
          <w:sz w:val="18"/>
          <w:szCs w:val="18"/>
          <w:u w:val="single" w:color="auto"/>
          <w:color w:val="auto"/>
        </w:rPr>
        <w:t>Incorporated Documents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ind w:firstLine="648"/>
        <w:spacing w:after="0" w:line="282" w:lineRule="auto"/>
        <w:rPr>
          <w:sz w:val="20"/>
          <w:szCs w:val="20"/>
          <w:color w:val="auto"/>
        </w:rPr>
      </w:pPr>
      <w:r>
        <w:rPr>
          <w:rFonts w:ascii="Times New Roman" w:cs="Times New Roman" w:eastAsia="Times New Roman" w:hAnsi="Times New Roman"/>
          <w:sz w:val="18"/>
          <w:szCs w:val="18"/>
          <w:color w:val="auto"/>
        </w:rPr>
        <w:t>For purposes of this Agreement, all references to the Registration Statement, the Prospectus or to any amendment or supplement thereto shall be deemed to include the most recent copy filed with the Commission pursuant to EDGAR.</w:t>
      </w:r>
    </w:p>
    <w:p>
      <w:pPr>
        <w:spacing w:after="0" w:line="162" w:lineRule="exact"/>
        <w:rPr>
          <w:sz w:val="20"/>
          <w:szCs w:val="20"/>
          <w:color w:val="auto"/>
        </w:rPr>
      </w:pPr>
    </w:p>
    <w:p>
      <w:pPr>
        <w:jc w:val="both"/>
        <w:ind w:firstLine="656"/>
        <w:spacing w:after="0" w:line="252" w:lineRule="auto"/>
        <w:tabs>
          <w:tab w:leader="none" w:pos="84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Placements</w:t>
      </w:r>
      <w:r>
        <w:rPr>
          <w:rFonts w:ascii="Times New Roman" w:cs="Times New Roman" w:eastAsia="Times New Roman" w:hAnsi="Times New Roman"/>
          <w:sz w:val="18"/>
          <w:szCs w:val="18"/>
          <w:color w:val="auto"/>
        </w:rPr>
        <w:t>. Following effectiveness of the Registration Statement, each time that the Company wishes to issue and sell Placement Shares hereunder (each, a “</w:t>
      </w:r>
      <w:r>
        <w:rPr>
          <w:rFonts w:ascii="Times New Roman" w:cs="Times New Roman" w:eastAsia="Times New Roman" w:hAnsi="Times New Roman"/>
          <w:sz w:val="18"/>
          <w:szCs w:val="18"/>
          <w:u w:val="single" w:color="auto"/>
          <w:color w:val="auto"/>
        </w:rPr>
        <w:t>Placement</w:t>
      </w:r>
      <w:r>
        <w:rPr>
          <w:rFonts w:ascii="Times New Roman" w:cs="Times New Roman" w:eastAsia="Times New Roman" w:hAnsi="Times New Roman"/>
          <w:sz w:val="18"/>
          <w:szCs w:val="18"/>
          <w:color w:val="auto"/>
        </w:rPr>
        <w:t>”), it will notify one of the Agents that the Company may select in its sole discretion from time to time (the “</w:t>
      </w:r>
      <w:r>
        <w:rPr>
          <w:rFonts w:ascii="Times New Roman" w:cs="Times New Roman" w:eastAsia="Times New Roman" w:hAnsi="Times New Roman"/>
          <w:sz w:val="18"/>
          <w:szCs w:val="18"/>
          <w:u w:val="single" w:color="auto"/>
          <w:color w:val="auto"/>
        </w:rPr>
        <w:t>Designated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by electronic mail (or other method mutually agreed to in writing by the parties) of the number of Placement Shares to be issued, the time period during which sales are requested to be made, any limitation on the number of Placement Shares that may be sold in any one day and any minimum price below which sales may not be made (a “</w:t>
      </w:r>
      <w:r>
        <w:rPr>
          <w:rFonts w:ascii="Times New Roman" w:cs="Times New Roman" w:eastAsia="Times New Roman" w:hAnsi="Times New Roman"/>
          <w:sz w:val="18"/>
          <w:szCs w:val="18"/>
          <w:u w:val="single" w:color="auto"/>
          <w:color w:val="auto"/>
        </w:rPr>
        <w:t>Placement Notice</w:t>
      </w:r>
      <w:r>
        <w:rPr>
          <w:rFonts w:ascii="Times New Roman" w:cs="Times New Roman" w:eastAsia="Times New Roman" w:hAnsi="Times New Roman"/>
          <w:sz w:val="18"/>
          <w:szCs w:val="18"/>
          <w:color w:val="auto"/>
        </w:rPr>
        <w:t xml:space="preserve">”), the form of which is attached hereto as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The Placement Notice shall originate from any of the individuals from the Company set forth on </w:t>
      </w:r>
      <w:r>
        <w:rPr>
          <w:rFonts w:ascii="Times New Roman" w:cs="Times New Roman" w:eastAsia="Times New Roman" w:hAnsi="Times New Roman"/>
          <w:sz w:val="18"/>
          <w:szCs w:val="18"/>
          <w:u w:val="single" w:color="auto"/>
          <w:color w:val="auto"/>
        </w:rPr>
        <w:t>Schedule 3</w:t>
      </w:r>
      <w:r>
        <w:rPr>
          <w:rFonts w:ascii="Times New Roman" w:cs="Times New Roman" w:eastAsia="Times New Roman" w:hAnsi="Times New Roman"/>
          <w:sz w:val="18"/>
          <w:szCs w:val="18"/>
          <w:color w:val="auto"/>
        </w:rPr>
        <w:t xml:space="preserve"> (with a copy to each of the other individuals from the Company listed on such schedule), and shall be addressed to each of the individuals from the Designated Agent set forth on </w:t>
      </w:r>
      <w:r>
        <w:rPr>
          <w:rFonts w:ascii="Times New Roman" w:cs="Times New Roman" w:eastAsia="Times New Roman" w:hAnsi="Times New Roman"/>
          <w:sz w:val="18"/>
          <w:szCs w:val="18"/>
          <w:u w:val="single" w:color="auto"/>
          <w:color w:val="auto"/>
        </w:rPr>
        <w:t>Schedule 3,</w:t>
      </w:r>
      <w:r>
        <w:rPr>
          <w:rFonts w:ascii="Times New Roman" w:cs="Times New Roman" w:eastAsia="Times New Roman" w:hAnsi="Times New Roman"/>
          <w:sz w:val="18"/>
          <w:szCs w:val="18"/>
          <w:color w:val="auto"/>
        </w:rPr>
        <w:t xml:space="preserve"> as such </w:t>
      </w:r>
      <w:r>
        <w:rPr>
          <w:rFonts w:ascii="Times New Roman" w:cs="Times New Roman" w:eastAsia="Times New Roman" w:hAnsi="Times New Roman"/>
          <w:sz w:val="18"/>
          <w:szCs w:val="18"/>
          <w:u w:val="single" w:color="auto"/>
          <w:color w:val="auto"/>
        </w:rPr>
        <w:t>Schedule 3</w:t>
      </w:r>
      <w:r>
        <w:rPr>
          <w:rFonts w:ascii="Times New Roman" w:cs="Times New Roman" w:eastAsia="Times New Roman" w:hAnsi="Times New Roman"/>
          <w:sz w:val="18"/>
          <w:szCs w:val="18"/>
          <w:color w:val="auto"/>
        </w:rPr>
        <w:t xml:space="preserve"> may be amended from time to time. The Placement Notice shall be effective immediately upon receipt by the Designated Agent unless and until (i) the Designated Agent promptly declines in writing to accept the terms contained therein for any reason, in its sole discretion; (ii) the entire amount of the Placement Shares thereunder has been sold; (iii) the Company amends, supersedes, suspends or terminates the Placement Notice, which suspension and termination rights may be exercised by the Company in its sole discretion; or (iv) this Agreement has been terminated under the provisions of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The amount of any discount, commission or other compensation to be paid by the Company to the Designated Agent in connection with the sale of the Placement Shares shall be calculated in accordance with the terms set forth in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 xml:space="preserve">. It is expressly acknowledged and agreed that neither the Company nor the Designated Agent will have any obligation whatsoever with respect to a Placement or any Placement Shares unless and until the Company delivers a Placement Notice to the Designated Agent and the Designated Agent does not decline (and the Company does not suspend or terminate) such Placement Notice pursuant to the terms set forth above, and then only upon the terms specified therein and herein. In the event of a conflict between the terms of </w:t>
      </w:r>
      <w:r>
        <w:rPr>
          <w:rFonts w:ascii="Times New Roman" w:cs="Times New Roman" w:eastAsia="Times New Roman" w:hAnsi="Times New Roman"/>
          <w:sz w:val="18"/>
          <w:szCs w:val="18"/>
          <w:u w:val="single" w:color="auto"/>
          <w:color w:val="auto"/>
        </w:rPr>
        <w:t>Sections 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xml:space="preserve"> of this Agreement and the terms of a Placement Notice, the terms of the Placement Notice will control.</w:t>
      </w:r>
    </w:p>
    <w:p>
      <w:pPr>
        <w:spacing w:after="0" w:line="193" w:lineRule="exact"/>
        <w:rPr>
          <w:rFonts w:ascii="Times New Roman" w:cs="Times New Roman" w:eastAsia="Times New Roman" w:hAnsi="Times New Roman"/>
          <w:sz w:val="18"/>
          <w:szCs w:val="18"/>
          <w:color w:val="auto"/>
        </w:rPr>
      </w:pPr>
    </w:p>
    <w:p>
      <w:pPr>
        <w:jc w:val="both"/>
        <w:ind w:firstLine="656"/>
        <w:spacing w:after="0" w:line="252" w:lineRule="auto"/>
        <w:tabs>
          <w:tab w:leader="none" w:pos="8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 of Placement Shares by the Agents</w:t>
      </w:r>
      <w:r>
        <w:rPr>
          <w:rFonts w:ascii="Times New Roman" w:cs="Times New Roman" w:eastAsia="Times New Roman" w:hAnsi="Times New Roman"/>
          <w:sz w:val="18"/>
          <w:szCs w:val="18"/>
          <w:color w:val="auto"/>
        </w:rPr>
        <w:t>. Subject to the terms and conditions of this Agreement, for the period specified in a Placement Notice, the Designated Agent will use its commercially reasonable efforts consistent with its normal trading and sales practices and applicable state and federal laws, rules and regulations and the rules of the Nasdaq Capital Market (the “</w:t>
      </w:r>
      <w:r>
        <w:rPr>
          <w:rFonts w:ascii="Times New Roman" w:cs="Times New Roman" w:eastAsia="Times New Roman" w:hAnsi="Times New Roman"/>
          <w:sz w:val="18"/>
          <w:szCs w:val="18"/>
          <w:u w:val="single" w:color="auto"/>
          <w:color w:val="auto"/>
        </w:rPr>
        <w:t>Exchange</w:t>
      </w:r>
      <w:r>
        <w:rPr>
          <w:rFonts w:ascii="Times New Roman" w:cs="Times New Roman" w:eastAsia="Times New Roman" w:hAnsi="Times New Roman"/>
          <w:sz w:val="18"/>
          <w:szCs w:val="18"/>
          <w:color w:val="auto"/>
        </w:rPr>
        <w:t xml:space="preserve">”), to sell the Placement Shares up to the amount specified in, and otherwise in accordance with the terms of, such Placement Notice. The Designated Agent will provide written confirmation to the Company no later than the opening of the Trading Day (as defined below) immediately following the Trading Day on which it has made sales of Placement Shares hereunder setting forth the number of Placement Shares sold on such day, the compensation payable by the Company to the Designated Agent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with respect to such sales, and the Net Proceeds (as defined below) payable to the Company, with an itemization of the deductions made by the Designated Agent (as set forth in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 xml:space="preserve"> from the gross proceeds that it receives from such sales. Subject to the terms of a Placement Notice, the Designated Agent may sell Placement Shares by any method permitted by law deemed to be an “at the market offering” as defined in Rule 415(a)(4) of the Securities Act. “</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xml:space="preserve">” means any day on which Ordinary Shares are purchased and sold on the Exchange. Except as provided for in </w:t>
      </w:r>
      <w:r>
        <w:rPr>
          <w:rFonts w:ascii="Times New Roman" w:cs="Times New Roman" w:eastAsia="Times New Roman" w:hAnsi="Times New Roman"/>
          <w:sz w:val="18"/>
          <w:szCs w:val="18"/>
          <w:u w:val="single" w:color="auto"/>
          <w:color w:val="auto"/>
        </w:rPr>
        <w:t>Section 7(h)</w:t>
      </w:r>
      <w:r>
        <w:rPr>
          <w:rFonts w:ascii="Times New Roman" w:cs="Times New Roman" w:eastAsia="Times New Roman" w:hAnsi="Times New Roman"/>
          <w:sz w:val="18"/>
          <w:szCs w:val="18"/>
          <w:color w:val="auto"/>
        </w:rPr>
        <w:t xml:space="preserve"> herein, nothing herein restricts, prohibits or limits the ability of the Company from engaging in (i) the committed equity facility established under the Ordinary Shares purchase agreement, dated as of August 8, 2023, by and between the Company and B. Riley Principal Capital II, LLC (“</w:t>
      </w:r>
      <w:r>
        <w:rPr>
          <w:rFonts w:ascii="Times New Roman" w:cs="Times New Roman" w:eastAsia="Times New Roman" w:hAnsi="Times New Roman"/>
          <w:sz w:val="18"/>
          <w:szCs w:val="18"/>
          <w:u w:val="single" w:color="auto"/>
          <w:color w:val="auto"/>
        </w:rPr>
        <w:t>BRPI</w:t>
      </w:r>
      <w:r>
        <w:rPr>
          <w:rFonts w:ascii="Times New Roman" w:cs="Times New Roman" w:eastAsia="Times New Roman" w:hAnsi="Times New Roman"/>
          <w:sz w:val="18"/>
          <w:szCs w:val="18"/>
          <w:color w:val="auto"/>
        </w:rPr>
        <w:t>”), as such agreement may be amended, supplemented, modified, restated or replaced from time to time (the “</w:t>
      </w:r>
      <w:r>
        <w:rPr>
          <w:rFonts w:ascii="Times New Roman" w:cs="Times New Roman" w:eastAsia="Times New Roman" w:hAnsi="Times New Roman"/>
          <w:sz w:val="18"/>
          <w:szCs w:val="18"/>
          <w:u w:val="single" w:color="auto"/>
          <w:color w:val="auto"/>
        </w:rPr>
        <w:t>Committed Equity Facility</w:t>
      </w:r>
      <w:r>
        <w:rPr>
          <w:rFonts w:ascii="Times New Roman" w:cs="Times New Roman" w:eastAsia="Times New Roman" w:hAnsi="Times New Roman"/>
          <w:sz w:val="18"/>
          <w:szCs w:val="18"/>
          <w:color w:val="auto"/>
        </w:rPr>
        <w:t>”) or (ii) the “at the market” offering facility established under the At Market Issuance Sales Agreement, dated March 18, 2024, by and among the Company and B. Riley Securities, Inc.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Riley Securities</w:t>
      </w:r>
      <w:r>
        <w:rPr>
          <w:rFonts w:ascii="Times New Roman" w:cs="Times New Roman" w:eastAsia="Times New Roman" w:hAnsi="Times New Roman"/>
          <w:sz w:val="18"/>
          <w:szCs w:val="18"/>
          <w:color w:val="auto"/>
        </w:rPr>
        <w:t>”), Cantor, Needham, StockBlock, Roth and Rosenblatt, as such agreement may be amended, supplemented, modified, restated or replaced from time to time (the “</w:t>
      </w:r>
      <w:r>
        <w:rPr>
          <w:rFonts w:ascii="Times New Roman" w:cs="Times New Roman" w:eastAsia="Times New Roman" w:hAnsi="Times New Roman"/>
          <w:sz w:val="18"/>
          <w:szCs w:val="18"/>
          <w:u w:val="single" w:color="auto"/>
          <w:color w:val="auto"/>
        </w:rPr>
        <w:t>Prior Sales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both"/>
        <w:ind w:left="-636" w:firstLine="636"/>
        <w:spacing w:after="0" w:line="254" w:lineRule="auto"/>
        <w:tabs>
          <w:tab w:leader="none" w:pos="17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Suspension of Sales</w:t>
      </w:r>
      <w:r>
        <w:rPr>
          <w:rFonts w:ascii="Times New Roman" w:cs="Times New Roman" w:eastAsia="Times New Roman" w:hAnsi="Times New Roman"/>
          <w:sz w:val="18"/>
          <w:szCs w:val="18"/>
          <w:color w:val="auto"/>
        </w:rPr>
        <w:t xml:space="preserve">. The Company or the Designated Agent may, upon notice to the other party in writing (including by email correspondence to each of the individuals of the other party set forth on </w:t>
      </w:r>
      <w:r>
        <w:rPr>
          <w:rFonts w:ascii="Times New Roman" w:cs="Times New Roman" w:eastAsia="Times New Roman" w:hAnsi="Times New Roman"/>
          <w:sz w:val="18"/>
          <w:szCs w:val="18"/>
          <w:u w:val="single" w:color="auto"/>
          <w:color w:val="auto"/>
        </w:rPr>
        <w:t>Schedule 3</w:t>
      </w:r>
      <w:r>
        <w:rPr>
          <w:rFonts w:ascii="Times New Roman" w:cs="Times New Roman" w:eastAsia="Times New Roman" w:hAnsi="Times New Roman"/>
          <w:sz w:val="18"/>
          <w:szCs w:val="18"/>
          <w:color w:val="auto"/>
        </w:rPr>
        <w:t xml:space="preserve">, if receipt of such correspondence is actually acknowledged by any of the individuals to whom the notice is sent, other than via auto-reply) or by telephone (confirmed immediately by verifiable facsimile transmission or email correspondence to each of the individuals of the other party set forth on </w:t>
      </w:r>
      <w:r>
        <w:rPr>
          <w:rFonts w:ascii="Times New Roman" w:cs="Times New Roman" w:eastAsia="Times New Roman" w:hAnsi="Times New Roman"/>
          <w:sz w:val="18"/>
          <w:szCs w:val="18"/>
          <w:u w:val="single" w:color="auto"/>
          <w:color w:val="auto"/>
        </w:rPr>
        <w:t>Schedule 3</w:t>
      </w:r>
      <w:r>
        <w:rPr>
          <w:rFonts w:ascii="Times New Roman" w:cs="Times New Roman" w:eastAsia="Times New Roman" w:hAnsi="Times New Roman"/>
          <w:sz w:val="18"/>
          <w:szCs w:val="18"/>
          <w:color w:val="auto"/>
        </w:rPr>
        <w:t>), suspend any sale of Placement Shares (a “</w:t>
      </w:r>
      <w:r>
        <w:rPr>
          <w:rFonts w:ascii="Times New Roman" w:cs="Times New Roman" w:eastAsia="Times New Roman" w:hAnsi="Times New Roman"/>
          <w:sz w:val="18"/>
          <w:szCs w:val="18"/>
          <w:u w:val="single" w:color="auto"/>
          <w:color w:val="auto"/>
        </w:rPr>
        <w:t>Suspension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such Suspension shall not affect or impair any party’s obligations with respect to any Placement Shares sold hereunder prior to the receipt of such notice. While a Suspension is in effect, any obligation under </w:t>
      </w:r>
      <w:r>
        <w:rPr>
          <w:rFonts w:ascii="Times New Roman" w:cs="Times New Roman" w:eastAsia="Times New Roman" w:hAnsi="Times New Roman"/>
          <w:sz w:val="18"/>
          <w:szCs w:val="18"/>
          <w:u w:val="single" w:color="auto"/>
          <w:color w:val="auto"/>
        </w:rPr>
        <w:t>Sections 7(l)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7(n)</w:t>
      </w:r>
      <w:r>
        <w:rPr>
          <w:rFonts w:ascii="Times New Roman" w:cs="Times New Roman" w:eastAsia="Times New Roman" w:hAnsi="Times New Roman"/>
          <w:sz w:val="18"/>
          <w:szCs w:val="18"/>
          <w:color w:val="auto"/>
        </w:rPr>
        <w:t xml:space="preserve"> with respect to the delivery of certificates, opinions, or comfort letters to the Agents, shall be waived. Each of the parties agrees that no such notice under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shall be effective against any other party unless it is made to one of the individuals named on </w:t>
      </w:r>
      <w:r>
        <w:rPr>
          <w:rFonts w:ascii="Times New Roman" w:cs="Times New Roman" w:eastAsia="Times New Roman" w:hAnsi="Times New Roman"/>
          <w:sz w:val="18"/>
          <w:szCs w:val="18"/>
          <w:u w:val="single" w:color="auto"/>
          <w:color w:val="auto"/>
        </w:rPr>
        <w:t>Schedule 3</w:t>
      </w:r>
      <w:r>
        <w:rPr>
          <w:rFonts w:ascii="Times New Roman" w:cs="Times New Roman" w:eastAsia="Times New Roman" w:hAnsi="Times New Roman"/>
          <w:sz w:val="18"/>
          <w:szCs w:val="18"/>
          <w:color w:val="auto"/>
        </w:rPr>
        <w:t xml:space="preserve"> hereto, as such Schedule may be amended from time to time.</w:t>
      </w:r>
    </w:p>
    <w:p>
      <w:pPr>
        <w:spacing w:after="0" w:line="191" w:lineRule="exact"/>
        <w:rPr>
          <w:rFonts w:ascii="Times New Roman" w:cs="Times New Roman" w:eastAsia="Times New Roman" w:hAnsi="Times New Roman"/>
          <w:sz w:val="18"/>
          <w:szCs w:val="18"/>
          <w:color w:val="auto"/>
        </w:rPr>
      </w:pPr>
    </w:p>
    <w:p>
      <w:pPr>
        <w:ind w:left="204" w:hanging="190"/>
        <w:spacing w:after="0"/>
        <w:tabs>
          <w:tab w:leader="none" w:pos="20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 and Delivery to the Designated Agent; Settlement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56" w:firstLine="1304"/>
        <w:spacing w:after="0" w:line="253" w:lineRule="auto"/>
        <w:tabs>
          <w:tab w:leader="none" w:pos="81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 of Placement Shares</w:t>
      </w:r>
      <w:r>
        <w:rPr>
          <w:rFonts w:ascii="Times New Roman" w:cs="Times New Roman" w:eastAsia="Times New Roman" w:hAnsi="Times New Roman"/>
          <w:sz w:val="18"/>
          <w:szCs w:val="18"/>
          <w:color w:val="auto"/>
        </w:rPr>
        <w:t>. On the basis of the representations and warranties herein contained and subject to the terms and conditions herein set forth, upon the Designated Agent’s acceptance of the terms of a Placement Notice, and unless the sale of the Placement Shares described therein has been declined, suspended, or otherwise terminated in accordance with the terms of this Agreement, the Designated Agent, for the period specified in the Placement Notice, will use its commercially reasonable efforts consistent with its normal trading and sales practices and applicable state and federal laws, rules and regulations and the rules of the Exchange to sell such Placement Shares up to the amount specified in, and otherwise in accordance with the terms of, such Placement Notice. The Company acknowledges and agrees that (i) there can be no assurance that the Designated Agent will be successful in selling Placement Shares, (ii) the Designated Agent will incur no liability or obligation to the Company or any other person or entity if it does not sell Placement Shares for any reason other than a failure by the Designated Agent to use its commercially reasonable efforts consistent with its normal trading and sales practices and applicable state and federal laws, rules and regulations and the rules of the Exchange to sell such Placement Shares as required under this Agreement and (iii) the Designated Agent shall be under no obligation to purchase Placement Shares on a principal basis pursuant to this Agreement, except as otherwise agreed by the Designated Agent and the Company.</w:t>
      </w:r>
    </w:p>
    <w:p>
      <w:pPr>
        <w:spacing w:after="0" w:line="191" w:lineRule="exact"/>
        <w:rPr>
          <w:rFonts w:ascii="Times New Roman" w:cs="Times New Roman" w:eastAsia="Times New Roman" w:hAnsi="Times New Roman"/>
          <w:sz w:val="18"/>
          <w:szCs w:val="18"/>
          <w:color w:val="auto"/>
        </w:rPr>
      </w:pPr>
    </w:p>
    <w:p>
      <w:pPr>
        <w:jc w:val="both"/>
        <w:ind w:left="-656" w:firstLine="1304"/>
        <w:spacing w:after="0" w:line="233" w:lineRule="auto"/>
        <w:tabs>
          <w:tab w:leader="none" w:pos="834"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of Placement Shares</w:t>
      </w:r>
      <w:r>
        <w:rPr>
          <w:rFonts w:ascii="Times New Roman" w:cs="Times New Roman" w:eastAsia="Times New Roman" w:hAnsi="Times New Roman"/>
          <w:sz w:val="18"/>
          <w:szCs w:val="18"/>
          <w:color w:val="auto"/>
        </w:rPr>
        <w:t>. Unless otherwise specified in the applicable Placement Notice, settlement for sales of Placement Shares will occur on the first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Trading Day immediately following the date on which such sales are made (each, a “</w:t>
      </w:r>
      <w:r>
        <w:rPr>
          <w:rFonts w:ascii="Times New Roman" w:cs="Times New Roman" w:eastAsia="Times New Roman" w:hAnsi="Times New Roman"/>
          <w:sz w:val="18"/>
          <w:szCs w:val="18"/>
          <w:u w:val="single" w:color="auto"/>
          <w:color w:val="auto"/>
        </w:rPr>
        <w:t>Settlement Date</w:t>
      </w:r>
      <w:r>
        <w:rPr>
          <w:rFonts w:ascii="Times New Roman" w:cs="Times New Roman" w:eastAsia="Times New Roman" w:hAnsi="Times New Roman"/>
          <w:sz w:val="18"/>
          <w:szCs w:val="18"/>
          <w:color w:val="auto"/>
        </w:rPr>
        <w:t>”). The Designated Agent shall notify the Company of each sale of Placement Shares no later than the opening of the Trading Day immediately following the Trading Day on which that the Designated Agent sold Placement Shares. The amount of proceeds to be delivered to the Company on a Settlement Date against receipt of the Placement Shares sold (the “</w:t>
      </w:r>
      <w:r>
        <w:rPr>
          <w:rFonts w:ascii="Times New Roman" w:cs="Times New Roman" w:eastAsia="Times New Roman" w:hAnsi="Times New Roman"/>
          <w:sz w:val="18"/>
          <w:szCs w:val="18"/>
          <w:u w:val="single" w:color="auto"/>
          <w:color w:val="auto"/>
        </w:rPr>
        <w:t>Net Proceeds</w:t>
      </w:r>
      <w:r>
        <w:rPr>
          <w:rFonts w:ascii="Times New Roman" w:cs="Times New Roman" w:eastAsia="Times New Roman" w:hAnsi="Times New Roman"/>
          <w:sz w:val="18"/>
          <w:szCs w:val="18"/>
          <w:color w:val="auto"/>
        </w:rPr>
        <w:t xml:space="preserve">”) will be equal to the aggregate sales price received by the Designated Agent, after deduction for (i) the Designated Agent’s commission, discount or other compensation for such sales payable by the Company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hereof, and (ii) any transaction fees imposed by any governmental or self-regulatory organization in respect of such sales.</w:t>
      </w:r>
    </w:p>
    <w:p>
      <w:pPr>
        <w:spacing w:after="0" w:line="198" w:lineRule="exact"/>
        <w:rPr>
          <w:rFonts w:ascii="Times New Roman" w:cs="Times New Roman" w:eastAsia="Times New Roman" w:hAnsi="Times New Roman"/>
          <w:sz w:val="18"/>
          <w:szCs w:val="18"/>
          <w:color w:val="auto"/>
        </w:rPr>
      </w:pPr>
    </w:p>
    <w:p>
      <w:pPr>
        <w:jc w:val="both"/>
        <w:ind w:left="-656" w:firstLine="1304"/>
        <w:spacing w:after="0" w:line="253" w:lineRule="auto"/>
        <w:tabs>
          <w:tab w:leader="none" w:pos="810"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Placement Shares</w:t>
      </w:r>
      <w:r>
        <w:rPr>
          <w:rFonts w:ascii="Times New Roman" w:cs="Times New Roman" w:eastAsia="Times New Roman" w:hAnsi="Times New Roman"/>
          <w:sz w:val="18"/>
          <w:szCs w:val="18"/>
          <w:color w:val="auto"/>
        </w:rPr>
        <w:t xml:space="preserve">. On or before each Settlement Date, the Company will, or will cause its transfer agent to, electronically transfer the Placement Shares being sold by crediting the Designated Agent’s or its designee’s account (provided the Designated Agent shall have given the Company written notice of such designee and such designee’s account information at least one Trading Day prior to the Settlement Date) at The Depository Trust Company through its Deposit and Withdrawal at Custodian System or by such other means of delivery as may be mutually agreed upon by the parties hereto which in all cases shall be freely tradable, transferable, registered shares in good deliverable form. On each Settlement Date, the Designated Agent will deliver the related Net Proceeds in same day funds to an account designated by the Company on, or prior to, the Settlement Date. The Company agrees that if the Company, or its transfer agent (if applicable), defaults in its obligation to deliver Placement Shares on a Settlement Date through no fault of the Designated Agent, then in addition to and in no way limiting the rights and obligations set forth in </w:t>
      </w:r>
      <w:r>
        <w:rPr>
          <w:rFonts w:ascii="Times New Roman" w:cs="Times New Roman" w:eastAsia="Times New Roman" w:hAnsi="Times New Roman"/>
          <w:sz w:val="18"/>
          <w:szCs w:val="18"/>
          <w:u w:val="single" w:color="auto"/>
          <w:color w:val="auto"/>
        </w:rPr>
        <w:t>Section 10(a)</w:t>
      </w:r>
      <w:r>
        <w:rPr>
          <w:rFonts w:ascii="Times New Roman" w:cs="Times New Roman" w:eastAsia="Times New Roman" w:hAnsi="Times New Roman"/>
          <w:sz w:val="18"/>
          <w:szCs w:val="18"/>
          <w:color w:val="auto"/>
        </w:rPr>
        <w:t xml:space="preserve"> hereto, it will (i) hold the Designated Agent harmless against any loss, claim, damage, or reasonable, documented expense (including reasonable and documented legal fees and expenses), as incurred, arising out of or in connection with such default by the Company or its transfer agent (if applicable) through no fault of the Agents and (ii) pay to the Designated Agent (without duplication) any commission, discount, or other compensation to which it would otherwise have been entitled absent such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243205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sectPr>
      </w:pPr>
    </w:p>
    <w:bookmarkStart w:id="8" w:name="page9"/>
    <w:bookmarkEnd w:id="8"/>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Limitations on Offering Size</w:t>
      </w:r>
      <w:r>
        <w:rPr>
          <w:rFonts w:ascii="Times New Roman" w:cs="Times New Roman" w:eastAsia="Times New Roman" w:hAnsi="Times New Roman"/>
          <w:sz w:val="18"/>
          <w:szCs w:val="18"/>
          <w:color w:val="auto"/>
        </w:rPr>
        <w:t>. Under no circumstances shall the Company cause or request the offer or sale of any Placement Shares if, after giving effect to the sale of such Placement Shares, the aggregate number or dollar amount of Placement Shares sold pursuant to this Agreement would exceed the lesser of (A) together with all sales of Placement Shares under this Agreement, the Maximum Amount, (B) the amount available for offer and sale under the currently effective Registration Statement and (C) the amount authorized from time to time to be issued and sold under this Agreement by the Board, a duly authorized committee thereof or an Authorized Officer, and notified to the Designated Agent in writing. Under no circumstances shall the Company cause or request the offer or sale of any Placement Shares pursuant to this Agreement at a price lower than the minimum price authorized from time to time by the Board, a duly authorized committee thereof or an Authorized Officer, and notified to the Designated Agent in writing.</w:t>
      </w:r>
    </w:p>
    <w:p>
      <w:pPr>
        <w:spacing w:after="0" w:line="18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Sales Through Agents</w:t>
      </w:r>
      <w:r>
        <w:rPr>
          <w:rFonts w:ascii="Times New Roman" w:cs="Times New Roman" w:eastAsia="Times New Roman" w:hAnsi="Times New Roman"/>
          <w:sz w:val="18"/>
          <w:szCs w:val="18"/>
          <w:color w:val="auto"/>
        </w:rPr>
        <w:t xml:space="preserve">. The Company agrees that any offer to sell, any solicitation of an offer to buy, or any sales of Placement Shares or any other equity security of the Company shall only be effected by or through an Agent, and only a single Agent, on any single given date, and in no event shall the Company request that more than one Agent sell Placement Shares on the same day;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 the foregoing limitation shall not apply to (A) the exercise of any option, warrant, right or any conversion privilege set forth in the instruction governing such securities, or (B) sales solely to employees, directors or security holders of the Company or its subsidiaries, or to a trustee or other person acquiring such securities for the accounts of such person and (ii) such limitation shall not apply (A) on any day during which no sales are made pursuant to this Agreement or (B) during a period in which the Company has notified the Agents that it will not sell Ordinary Shares under this Agreement and (1) no Placement Notice is pending or</w:t>
      </w:r>
    </w:p>
    <w:p>
      <w:pPr>
        <w:spacing w:after="0" w:line="3" w:lineRule="exact"/>
        <w:rPr>
          <w:sz w:val="20"/>
          <w:szCs w:val="20"/>
          <w:color w:val="auto"/>
        </w:rPr>
      </w:pPr>
    </w:p>
    <w:p>
      <w:pPr>
        <w:ind w:left="260" w:hanging="252"/>
        <w:spacing w:after="0"/>
        <w:tabs>
          <w:tab w:leader="none" w:pos="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a Placement Notice has been withdrawn.</w:t>
      </w:r>
    </w:p>
    <w:p>
      <w:pPr>
        <w:spacing w:after="0" w:line="206" w:lineRule="exact"/>
        <w:rPr>
          <w:rFonts w:ascii="Times New Roman" w:cs="Times New Roman" w:eastAsia="Times New Roman" w:hAnsi="Times New Roman"/>
          <w:sz w:val="18"/>
          <w:szCs w:val="18"/>
          <w:color w:val="auto"/>
        </w:rPr>
      </w:pPr>
    </w:p>
    <w:p>
      <w:pPr>
        <w:jc w:val="both"/>
        <w:ind w:left="20" w:firstLine="636"/>
        <w:spacing w:after="0" w:line="266" w:lineRule="auto"/>
        <w:tabs>
          <w:tab w:leader="none" w:pos="845"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Except as disclosed in the Registration Statement or Prospectus (including the Incorporated Documents), the Company represents and warrants to, and agrees with each of the Agents that as of the date of this Agreement and as of each Applicable Time (as defined below), unless such representation, warranty or agreement specifies a different date or time:</w:t>
      </w:r>
    </w:p>
    <w:p>
      <w:pPr>
        <w:spacing w:after="0" w:line="175" w:lineRule="exact"/>
        <w:rPr>
          <w:rFonts w:ascii="Times New Roman" w:cs="Times New Roman" w:eastAsia="Times New Roman" w:hAnsi="Times New Roman"/>
          <w:sz w:val="18"/>
          <w:szCs w:val="18"/>
          <w:color w:val="auto"/>
        </w:rPr>
      </w:pPr>
    </w:p>
    <w:p>
      <w:pPr>
        <w:jc w:val="both"/>
        <w:ind w:firstLine="1304"/>
        <w:spacing w:after="0" w:line="252" w:lineRule="auto"/>
        <w:tabs>
          <w:tab w:leader="none" w:pos="1466"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 and Prospectus</w:t>
      </w:r>
      <w:r>
        <w:rPr>
          <w:rFonts w:ascii="Times New Roman" w:cs="Times New Roman" w:eastAsia="Times New Roman" w:hAnsi="Times New Roman"/>
          <w:sz w:val="18"/>
          <w:szCs w:val="18"/>
          <w:color w:val="auto"/>
        </w:rPr>
        <w:t>. The transactions contemplated by this Agreement meet the requirements for and comply with the conditions for the use of Form F-3 under the Securities Act. The Registration Statement has been or will be filed with the Commission and has been declared effective, or will be declared effective prior to issuance of the first Placement Notice by the Company, by the Commission under the Securities Act at each Applicable Time. The Prospectus will name Barclays, Cantor, AGP, Benchmark, B. Riley, BTIG, KBW, Needham, Northland, Rosenblatt, Roth and StockBlock as the agents in the section entitled “Plan of Distribution.” The Company has not received, and has no notice of, any order of the Commission preventing or suspending the use of the Registration Statement, or threatening or instituting proceedings for that purpose. The Registration Statement and the offer and sale of Placement Shares as contemplated hereby meet the requirements of Rule 415 under the Securities Act and comply in all material respects with said Rule. Any statutes, regulations, contracts or other documents that are required to be described in the Registration Statement or the Prospectus or to be filed as exhibits to the Registration Statement have been so described or filed, as applicable. Copies of the Registration Statement, the Prospectus, and any such amendments or supplements and all documents incorporated by reference therein that were filed with the Commission on or prior to the date of this Agreement have been delivered, or are available through EDGAR, to the Agents and their counsel. The Company has not distributed and, prior to the later to occur of each Settlement Date and completion of distribution of the Placement Shares, will not distribute any offering material in connection with the offering or sale of the Placement Shares other than the Registration Statement, the Prospectus and any Issuer Free Writing Prospectus (as defined below) to which the Agents have consented, which consent will not be unreasonably withheld or delayed, or that is required by applicable law or the listing maintenance requirements of the Exchange. The Ordinary Shares are currently quoted on the Exchange under the trading symbol “BTDR.” The Company has not, in the 12 months preceding the date hereof, received notice from the Exchange to the effect that the Company is not in compliance with the listing or maintenance requirements of the Exchange. To the Company’s knowledge, it is in compliance with all such listing and maintenance requirements of the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245110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No Misstatement or Omission</w:t>
      </w:r>
      <w:r>
        <w:rPr>
          <w:rFonts w:ascii="Times New Roman" w:cs="Times New Roman" w:eastAsia="Times New Roman" w:hAnsi="Times New Roman"/>
          <w:sz w:val="18"/>
          <w:szCs w:val="18"/>
          <w:color w:val="auto"/>
        </w:rPr>
        <w:t>. At each Settlement Date, the Registration Statement and the Prospectus, as of such date, will conform in all material respects with the requirements of the Securities Act. The Registration Statement, as of its effective date, did not or will not, as applicable, contain any untrue statement of a material fact or omit to state a material fact required to be stated therein or necessary to make the statements therein not misleading. The Prospectus and any amendment and supplement thereto, on the date thereof and at each Applicable Time, did not or will not include any untrue statement of a material fact or omit to state a material fact necessary to make the statements therein, in light of the circumstances under which they were made, not misleading. The documents incorporated by reference in the Prospectus or any Prospectus Supplement did not, and any further documents filed and incorporated by reference therein will not, when filed with the Commission, contain an untrue statement of a material fact or omit to state a material fact required to be stated in such document or necessary to make the statements in such document, in light of the circumstances under which they were made, not misleading. The foregoing shall not apply to statements in, or omissions from, any such document made in reliance upon, and in conformity with, Agents’ Information (as defined below).</w:t>
      </w:r>
    </w:p>
    <w:p>
      <w:pPr>
        <w:spacing w:after="0" w:line="194"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Conformity with Securities Act and Exchange Act</w:t>
      </w:r>
      <w:r>
        <w:rPr>
          <w:rFonts w:ascii="Times New Roman" w:cs="Times New Roman" w:eastAsia="Times New Roman" w:hAnsi="Times New Roman"/>
          <w:sz w:val="18"/>
          <w:szCs w:val="18"/>
          <w:color w:val="auto"/>
        </w:rPr>
        <w:t>. The Registration Statement, the Prospectus, any Issuer Free Writing Prospectus or any amendment or supplement thereto, and the Incorporated Documents, when such documents were or are filed with the Commission under the Securities Act or the Exchange Act or became or become effective under the Securities Act, as the case may be, conformed or will conform in all material respects with the requirements of the Securities Act and the Exchange Act, as applicable.</w:t>
      </w:r>
    </w:p>
    <w:p>
      <w:pPr>
        <w:spacing w:after="0" w:line="18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Organization, Good Standing and Power</w:t>
      </w:r>
      <w:r>
        <w:rPr>
          <w:rFonts w:ascii="Times New Roman" w:cs="Times New Roman" w:eastAsia="Times New Roman" w:hAnsi="Times New Roman"/>
          <w:sz w:val="18"/>
          <w:szCs w:val="18"/>
          <w:color w:val="auto"/>
        </w:rPr>
        <w:t>. Each of the Company and its subsidiaries has been duly incorporated or organized, and is validly existing and in good standing (to the extent such concept is applicable) under the laws of their respective jurisdictions of incorporation or organization, are duly qualified to do business and are in good standing (to the extent such concept is applicable) in each jurisdiction in which their respective ownership or lease of property or the conduct of their respective businesses requires such qualification, and have all power and authority necessary to own or hold their respective properties and to conduct the businesses in which they are engaged, except where the failure to be so qualified or in good standing would not, individually or in the aggregate, have a material adverse effect on the business, properties, management, financial position, shareholders’ equity, results of operations or prospects of the Company and its subsidiaries taken as a whole or on the performance by the Company of its obligations under this Agreement (a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The amended and restated memorandum and articles of association of the Company comply with the requirements of applicable Cayman law and are in full force and effect.</w:t>
      </w:r>
    </w:p>
    <w:p>
      <w:pPr>
        <w:spacing w:after="0" w:line="188"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The Company owns, directly or indirectly, all of the equity interests of the subsidiaries free and clear of any lien, charge, security interest, encumbrance, right of first refusal or other restriction, and all the equity interests of the subsidiaries are validly issued and are fully paid, nonassessable and free of preemptive and similar rights. The Company does not own or control, directly or indirectly, any corporation, association or other entity other than the subsidiaries listed in Exhibit 8.1 to the Company’s most recent Annual Report on Form 20-F for the most recently ended fiscal year (the “</w:t>
      </w:r>
      <w:r>
        <w:rPr>
          <w:rFonts w:ascii="Times New Roman" w:cs="Times New Roman" w:eastAsia="Times New Roman" w:hAnsi="Times New Roman"/>
          <w:sz w:val="18"/>
          <w:szCs w:val="18"/>
          <w:u w:val="single" w:color="auto"/>
          <w:color w:val="auto"/>
        </w:rPr>
        <w:t>Annual Report</w:t>
      </w:r>
      <w:r>
        <w:rPr>
          <w:rFonts w:ascii="Times New Roman" w:cs="Times New Roman" w:eastAsia="Times New Roman" w:hAnsi="Times New Roman"/>
          <w:sz w:val="18"/>
          <w:szCs w:val="18"/>
          <w:color w:val="auto"/>
        </w:rPr>
        <w:t>”) and other than (i) those subsidiaries not required to be listed on Exhibit 8.1 by Item 601 of Regulation S-K under the Exchange Act and (ii) those subsidiaries formed or acquired since the last day of the most recently ended fiscal year.</w:t>
      </w:r>
    </w:p>
    <w:p>
      <w:pPr>
        <w:spacing w:after="0" w:line="18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Authorization, Enforcement</w:t>
      </w:r>
      <w:r>
        <w:rPr>
          <w:rFonts w:ascii="Times New Roman" w:cs="Times New Roman" w:eastAsia="Times New Roman" w:hAnsi="Times New Roman"/>
          <w:sz w:val="18"/>
          <w:szCs w:val="18"/>
          <w:color w:val="auto"/>
        </w:rPr>
        <w:t>. The Company has the requisite corporate power and authority to enter into this Agreement and perform the transactions contemplated hereby and to issue the Placement Shares in accordance with the terms hereof and thereof. The execution, delivery and performance by the Company of this Agreement and the consummation by it of the transactions contemplated hereby and thereby have been duly and validly authorized by all necessary corporate action, and no further consent or authorization of the Company, the Board or the Company’s shareholders is required. This Agreement has been duly executed and delivered by the Company and constitutes a valid and binding obligation of the Company enforceable against the Company in accordance with its terms, except as such enforceability may be limited by applicable bankruptcy, insolvency, reorganization and other laws of general applicability relating to or affecting creditors’ rights and relating to general equity principles.</w:t>
      </w:r>
    </w:p>
    <w:p>
      <w:pPr>
        <w:spacing w:after="0" w:line="18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u w:val="single" w:color="auto"/>
          <w:color w:val="auto"/>
        </w:rPr>
        <w:t>F-3 Eligibility</w:t>
      </w:r>
      <w:r>
        <w:rPr>
          <w:rFonts w:ascii="Times New Roman" w:cs="Times New Roman" w:eastAsia="Times New Roman" w:hAnsi="Times New Roman"/>
          <w:sz w:val="18"/>
          <w:szCs w:val="18"/>
          <w:color w:val="auto"/>
        </w:rPr>
        <w:t>. (i) At the time of filing the Registration Statement and (ii) at the time of the most recent amendment thereto for the purposes of complying with Section 10(a)(3) of the Securities Act (whether such amendment was by post-effective amendment, incorporated report filed pursuant to Section 13 or 15(d) of the Exchange Act or form of prospectus), the Company met the then applicable requirements for use of Form F-3 under the Securities Act, including compliance with General Instruction I.B.1 of Form F-3,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h.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xml:space="preserve">. The Company has an authorized capitalization as set forth in the Registration Statement and the Prospectus as of the dates set forth therein; all the outstanding capital shares of the Company have been duly and validly authorized and issued and are fully paid (other than any Ordinary Shares issued pursuant to this Agreement which have not yet settled pursuant to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 and non-assessable and are not subject to any pre-emptive or similar rights. There are no outstanding rights (including pre-emptive rights or warrants, except as described in or expressly contemplated by the Registration Statement or the Prospectus as of the dates set forth therein, or options to acquire, or instruments convertible into or exchangeable for, any capital shares or other equity interest in the Company or any of its subsidiaries, or any contract, commitment, agreement, understanding or arrangement of any kind relating to the issuance of any capital shares of the Company or any such subsidiary, any such convertible or exchangeable securities or any such rights, warrants or options; the capital shares of the Company conform in all material respects to the description thereof contained in the Registration Statement or the Prospectus as of the dates set forth therein. All the outstanding capital shares or other equity interests of each subsidiary owned, directly or indirectly, by the Company have been duly and validly authorized and issued, are fully paid and non-assessable and are owned directly or indirectly by the Company, free and clear of any lien, charge, encumbrance, security interest, restriction on voting or transfer or any other claim of any third party, except as would not reasonably be expected to have a Material Adverse Effect.</w:t>
      </w:r>
    </w:p>
    <w:p>
      <w:pPr>
        <w:spacing w:after="0" w:line="190"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Issuance of Placement Shares</w:t>
      </w:r>
      <w:r>
        <w:rPr>
          <w:rFonts w:ascii="Times New Roman" w:cs="Times New Roman" w:eastAsia="Times New Roman" w:hAnsi="Times New Roman"/>
          <w:sz w:val="18"/>
          <w:szCs w:val="18"/>
          <w:color w:val="auto"/>
        </w:rPr>
        <w:t>. The Placement Shares, when issued and delivered pursuant to the terms approved by the Board or a duly authorized committee thereof, or an Authorized Officer, against payment received therefor, and settled, in each case, as provided herein (including pursuant to Section 5(b)), will be duly and validly authorized and issued and fully paid and nonassessable, free and clear of any pledge, lien, encumbrance, security interest or other claim (other than any pledge, lien, encumbrance, security interest or other claim arising from an act or omission of an Agent or a purchaser or arising under any applicable securities laws), including any statutory or contractual preemptive rights, resale rights, rights of first refusal or other similar rights, and will be registered pursuant to Section 12 of the Exchange Act. The Placement Shares, when issued, will conform in all material respects to the description thereof set forth in or incorporated into the Prospectus.</w:t>
      </w:r>
    </w:p>
    <w:p>
      <w:pPr>
        <w:spacing w:after="0" w:line="18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j. </w:t>
      </w:r>
      <w:r>
        <w:rPr>
          <w:rFonts w:ascii="Times New Roman" w:cs="Times New Roman" w:eastAsia="Times New Roman" w:hAnsi="Times New Roman"/>
          <w:sz w:val="18"/>
          <w:szCs w:val="18"/>
          <w:u w:val="single" w:color="auto"/>
          <w:color w:val="auto"/>
        </w:rPr>
        <w:t>No Violation or Default</w:t>
      </w:r>
      <w:r>
        <w:rPr>
          <w:rFonts w:ascii="Times New Roman" w:cs="Times New Roman" w:eastAsia="Times New Roman" w:hAnsi="Times New Roman"/>
          <w:sz w:val="18"/>
          <w:szCs w:val="18"/>
          <w:color w:val="auto"/>
        </w:rPr>
        <w:t>. Neither the Company nor any of its subsidiaries is (i) in violation of its respective memorandum and articles of association, charter or by-laws or similar 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property or asset of the Company or any of its subsidiaries is subject or (iii) in violation of any statute, law, rule, regulation, ordinance, directive, judgment, decree, guideline, notice or order of any judicial, regulatory or other legal or governmental agency or body, foreign or domestic, having jurisdiction over the Company or any of its subsidiaries, except, in the case of clauses (ii) and (iii), (1) as described in the Registration Statement or Prospectus, or (2) for any such default or violation that would not have a Material Adverse Effect.</w:t>
      </w:r>
    </w:p>
    <w:p>
      <w:pPr>
        <w:spacing w:after="0" w:line="19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k. </w:t>
      </w: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by the Company of this Agreement, the application of the Net Proceeds under “Use of Proceeds” in the Prospectus and the consummation by the Company of the transactions contemplated hereby and thereby will not (i) conflict with or result in a breach or violation of any of the terms or provisions of, or constitute a default under, result in the termination, modification or acceleration of, or result in the creation or imposition of any lien, charge or encumbrance upon any property, right or asset of the Company or any of its subsidiaries pursuant to, any indenture, mortgage, deed of trust, loan agreement or other agreement or instrument to which the Company or any of its subsidiaries is a party or by which the Company or any of its subsidiaries is bound or to which any property, right or asset of the Company or any of its subsidiaries is subject, (ii) result in any violation of the provisions of the memorandum and articles of association, charter or by-laws or similar organizational documents of the Company or any of its subsidiaries or (iii) result in the violation of any Cayman Islands, Singapore or U.S. law or statute or any judgment, order, rule or regulation of any court or arbitrator or governmental or regulatory authority or body having jurisdiction over the Company or any of its subsidiaries or their properties, except, in the case of clauses (i) and (iii) above, (1) as described in the Registration Statement or Prospectus, or (2) for any such conflict, breach, violation, default, lien, charge or encumbrance that would not reasonably be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245110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l. </w:t>
      </w:r>
      <w:r>
        <w:rPr>
          <w:rFonts w:ascii="Times New Roman" w:cs="Times New Roman" w:eastAsia="Times New Roman" w:hAnsi="Times New Roman"/>
          <w:sz w:val="18"/>
          <w:szCs w:val="18"/>
          <w:u w:val="single" w:color="auto"/>
          <w:color w:val="auto"/>
        </w:rPr>
        <w:t>No Consents Required</w:t>
      </w:r>
      <w:r>
        <w:rPr>
          <w:rFonts w:ascii="Times New Roman" w:cs="Times New Roman" w:eastAsia="Times New Roman" w:hAnsi="Times New Roman"/>
          <w:sz w:val="18"/>
          <w:szCs w:val="18"/>
          <w:color w:val="auto"/>
        </w:rPr>
        <w:t>. No consent, approval, authorization, order, registration or qualification of or with any court or arbitrator or any governmental or regulatory authority or applicable law is required for the execution, delivery and performance by the Company of this Agreement, and the issuance and sale by the Company of the Placement Shares as contemplated hereby, except for such consents, approvals, authorizations, orders and registrations or qualifications (i) as may be required under applicable state securities laws or by the laws and rules of the Financial Industry Regulatory Authority (“</w:t>
      </w: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 or the Exchange, including any notices that may be required by the Exchange, in connection with the sale of the Placement Shares by the Agents, (ii) as may be required under the Securities Act and (iii) as have been previously obtained by the Company.</w:t>
      </w:r>
    </w:p>
    <w:p>
      <w:pPr>
        <w:spacing w:after="0" w:line="187"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m.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The consolidated financial statements (including the related notes thereto) of the Company and its consolidated subsidiaries included or incorporated by reference in the Registration Statement and the Prospectus comply in all material respects with the applicable requirements of the Securities Act and present fairly the financial position of the Company and its consolidated subsidiaries as of the dates indicated and the results of their operations and the changes in their cash flows for the periods specified; such consolidated financial statements have been prepared in conformity with the International Financial Reporting Standards as issued by the International Accounting Standards Boards (“</w:t>
      </w:r>
      <w:r>
        <w:rPr>
          <w:rFonts w:ascii="Times New Roman" w:cs="Times New Roman" w:eastAsia="Times New Roman" w:hAnsi="Times New Roman"/>
          <w:sz w:val="18"/>
          <w:szCs w:val="18"/>
          <w:u w:val="single" w:color="auto"/>
          <w:color w:val="auto"/>
        </w:rPr>
        <w:t>IFRS</w:t>
      </w:r>
      <w:r>
        <w:rPr>
          <w:rFonts w:ascii="Times New Roman" w:cs="Times New Roman" w:eastAsia="Times New Roman" w:hAnsi="Times New Roman"/>
          <w:sz w:val="18"/>
          <w:szCs w:val="18"/>
          <w:color w:val="auto"/>
        </w:rPr>
        <w:t>”) applied on a consistent basis throughout the periods covered thereby, and any supporting schedules included in the Registration Statement and the Prospectus present fairly the information required to be stated therein; and the other financial information included in the Registration Statement and the Prospectus has been derived from the accounting records of the Company and its consolidated subsidiaries and presents fairly the information shown thereby; all disclosures included in the Registration Statement and the Prospectus regarding “non-IFRS financial measures” (as such term is defined by the rules and regulations of the Commission) comply in all material respects with Regulation G of the Exchange Act and Item 10 of Regulation S-K of the Securities Act, to the extent applicable. The Company and its consolidated subsidiaries do not have any material liabilities or obligations, direct or contingent (including any off-balance sheet obligations), that are not described in the Registration Statement and the Prospectus. The interactive data in eXtensible Business Reporting Language included or incorporated by reference in the Registration Statement and the Prospectus fairly present the information called for in all material respects and have been prepared in accordance with the Commission’s rules and guidelines applicable thereto.</w:t>
      </w:r>
    </w:p>
    <w:p>
      <w:pPr>
        <w:spacing w:after="0" w:line="197"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n. </w:t>
      </w:r>
      <w:r>
        <w:rPr>
          <w:rFonts w:ascii="Times New Roman" w:cs="Times New Roman" w:eastAsia="Times New Roman" w:hAnsi="Times New Roman"/>
          <w:sz w:val="18"/>
          <w:szCs w:val="18"/>
          <w:u w:val="single" w:color="auto"/>
          <w:color w:val="auto"/>
        </w:rPr>
        <w:t>Internal Controls Over Financial Reporting</w:t>
      </w:r>
      <w:r>
        <w:rPr>
          <w:rFonts w:ascii="Times New Roman" w:cs="Times New Roman" w:eastAsia="Times New Roman" w:hAnsi="Times New Roman"/>
          <w:sz w:val="18"/>
          <w:szCs w:val="18"/>
          <w:color w:val="auto"/>
        </w:rPr>
        <w:t>. The Company and its subsidiaries maintain systems of “internal control over financial reporting” (as defined in Rule 13a-15(f) of the Exchange Act) that comply with the requirements of the Exchange Act, as applicable to the Company,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IFRS as issued by the International Accounting Standards Board (the “</w:t>
      </w:r>
      <w:r>
        <w:rPr>
          <w:rFonts w:ascii="Times New Roman" w:cs="Times New Roman" w:eastAsia="Times New Roman" w:hAnsi="Times New Roman"/>
          <w:sz w:val="18"/>
          <w:szCs w:val="18"/>
          <w:u w:val="single" w:color="auto"/>
          <w:color w:val="auto"/>
        </w:rPr>
        <w:t>IASB</w:t>
      </w:r>
      <w:r>
        <w:rPr>
          <w:rFonts w:ascii="Times New Roman" w:cs="Times New Roman" w:eastAsia="Times New Roman" w:hAnsi="Times New Roman"/>
          <w:sz w:val="18"/>
          <w:szCs w:val="18"/>
          <w:color w:val="auto"/>
        </w:rPr>
        <w:t>”). The Company and its subsidiaries maintain internal accounting controls designed to provide reasonable assurance that (i) transactions are executed in accordance with management’s general or specific authorizations; (ii) transactions are recorded as necessary to permit preparation of financial statements in conformity with IFRS as issued by the IASB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disclosed in the Registration Statement and the Prospectus, there are no material weaknesses in the Company’s internal controls (it being understood that the Company is not required as of the date hereof to comply with Section 404(b) of the Sarbanes-Oxley Act of 2002 (the “</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As of the date of the most recent balance sheet of the Company reviewed or audited by the Company’s auditors and the Audit Committee of the Board, there was: (i) no material weakness in the design or operation of internal controls over financial reporting which have adversely affected or are reasonably likely to adversely affect the Company’s ability to record, process, summarize and report financial information; (ii) no fraud, whether or not material, that involves management or other employees who have a significant role in the Company’s internal controls over financial reporting; and (iii) the interactive data in eXtensible Business Reporting Language included or incorporated by reference in the Registration Statement and the Prospectus fairly present the information called for in all material respects and have been prepared in accordance with the Commission’s rules and guidelines applicable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245110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u w:val="single" w:color="auto"/>
          <w:color w:val="auto"/>
        </w:rPr>
        <w:t>Accountants</w:t>
      </w:r>
      <w:r>
        <w:rPr>
          <w:rFonts w:ascii="Times New Roman" w:cs="Times New Roman" w:eastAsia="Times New Roman" w:hAnsi="Times New Roman"/>
          <w:sz w:val="18"/>
          <w:szCs w:val="18"/>
          <w:color w:val="auto"/>
        </w:rPr>
        <w:t>. MaloneBailey, LLP, whose report on the consolidated financial statements of the Company is filed with the Commission as part of the Annual Report filed with the Commission and incorporated into the Registration Statement are and during the periods covered by their report, were independent registered public accountants within the meaning of the Securities Act and the Public Company Accounting Oversight Board (United States).</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p. </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Since April 13, 2023, the Company has timely filed all certifications and statements the Company is required to file or furnish under (i) Rule 13a-14 or Rule 15d-14 under the Exchange Act or (ii) 18 U.S.C. Section 1350 (Section 906 of the Sarbanes-Oxley Act) with respect to all Commission Documents with respect to which the Company is required to file such certifications and statements thereunder.</w:t>
      </w:r>
    </w:p>
    <w:p>
      <w:pPr>
        <w:spacing w:after="0" w:line="17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q. </w:t>
      </w:r>
      <w:r>
        <w:rPr>
          <w:rFonts w:ascii="Times New Roman" w:cs="Times New Roman" w:eastAsia="Times New Roman" w:hAnsi="Times New Roman"/>
          <w:sz w:val="18"/>
          <w:szCs w:val="18"/>
          <w:u w:val="single" w:color="auto"/>
          <w:color w:val="auto"/>
        </w:rPr>
        <w:t>No Material Adverse Effect or Material Adverse Change</w:t>
      </w:r>
      <w:r>
        <w:rPr>
          <w:rFonts w:ascii="Times New Roman" w:cs="Times New Roman" w:eastAsia="Times New Roman" w:hAnsi="Times New Roman"/>
          <w:sz w:val="18"/>
          <w:szCs w:val="18"/>
          <w:color w:val="auto"/>
        </w:rPr>
        <w:t>. Since the date of the most recent financial statements of the Company included or incorporated by reference in the Registration Statement or the Prospectus, (i) the Company has not experienced or suffered any Material Adverse Effect, and there exists no current state of facts, condition or event which would reasonably be expected to have a Material Adverse Effect; and (ii) there has been (A) no dividend or distribution of any kind declared, paid or made by the Company on any class of its share capital and (B) no material adverse change in the share capital, short-term indebtedness or long-term indebtedness of the Company and its subsidiaries, taken as a whole. Neither the Company nor any of its subsidiaries has entered (a) into any material transaction or agreement or incurred any material liability or obligation, direct or contingent, that is not disclosed or contemplated in the Registration Statement and the Prospectus, or (b) sustained any material loss or material interference with its business from fire, explosion, flood or other calamity, whether or not covered by insurance, or from any labor dispute or court or governmental action, order or decree.</w:t>
      </w:r>
    </w:p>
    <w:p>
      <w:pPr>
        <w:spacing w:after="0" w:line="188"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r. </w:t>
      </w:r>
      <w:r>
        <w:rPr>
          <w:rFonts w:ascii="Times New Roman" w:cs="Times New Roman" w:eastAsia="Times New Roman" w:hAnsi="Times New Roman"/>
          <w:sz w:val="18"/>
          <w:szCs w:val="18"/>
          <w:u w:val="single" w:color="auto"/>
          <w:color w:val="auto"/>
        </w:rPr>
        <w:t>Title To Assets</w:t>
      </w:r>
      <w:r>
        <w:rPr>
          <w:rFonts w:ascii="Times New Roman" w:cs="Times New Roman" w:eastAsia="Times New Roman" w:hAnsi="Times New Roman"/>
          <w:sz w:val="18"/>
          <w:szCs w:val="18"/>
          <w:color w:val="auto"/>
        </w:rPr>
        <w:t>. Except as disclosed in the Registration Statement or the Prospectus, the Company and its subsidiaries have good and marketable title to, or have valid rights to lease or otherwise use, all items of real and personal property that are material to the respective businesses of the Company and its subsidiaries taken as a whole, in each case free and clear of all liens, encumbrances, claims and defects and imperfections of title except those that (i) do not materially interfere with the use made and proposed to be made of such property by the Company and its subsidiaries or (ii) could not reasonably be expected to have a Material Adverse Effect.</w:t>
      </w:r>
    </w:p>
    <w:p>
      <w:pPr>
        <w:spacing w:after="0" w:line="183"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u w:val="single" w:color="auto"/>
          <w:color w:val="auto"/>
        </w:rPr>
        <w:t>Actions Pending</w:t>
      </w:r>
      <w:r>
        <w:rPr>
          <w:rFonts w:ascii="Times New Roman" w:cs="Times New Roman" w:eastAsia="Times New Roman" w:hAnsi="Times New Roman"/>
          <w:sz w:val="18"/>
          <w:szCs w:val="18"/>
          <w:color w:val="auto"/>
        </w:rPr>
        <w:t>. Except as disclosed in the Registration Statement or the Prospectus, the are no legal, governmental or regulatory investigations, actions, demands, claims, suits, arbitrations, inquiries or proceedings (“</w:t>
      </w:r>
      <w:r>
        <w:rPr>
          <w:rFonts w:ascii="Times New Roman" w:cs="Times New Roman" w:eastAsia="Times New Roman" w:hAnsi="Times New Roman"/>
          <w:sz w:val="18"/>
          <w:szCs w:val="18"/>
          <w:u w:val="single" w:color="auto"/>
          <w:color w:val="auto"/>
        </w:rPr>
        <w:t>Actions</w:t>
      </w:r>
      <w:r>
        <w:rPr>
          <w:rFonts w:ascii="Times New Roman" w:cs="Times New Roman" w:eastAsia="Times New Roman" w:hAnsi="Times New Roman"/>
          <w:sz w:val="18"/>
          <w:szCs w:val="18"/>
          <w:color w:val="auto"/>
        </w:rPr>
        <w:t>”) pending to which the Company or any of its subsidiaries is or may be a party or to which any property of the Company or any of its subsidiaries is or may be the subject that, if determined adversely to the Company or any of its subsidiaries, would reasonably be expected to have a Material Adverse Effect or which are otherwise material in the context of the sale of the Placement Shares or could, in the aggregate, reasonably be expected to have a Material Adverse Effect on the performance by the Company of its obligations under the Agreement or the consummation of the transactions contemplated hereby or that are required to be described in the Registration Statement or the Prospectus; except as described in the Registration Statement or the Prospectus, no such Actions are, to the Company’s Knowledge, threatened or contemplated by any governmental or regulatory authority or threatened by others. There are (i) no current or pending Actions or statutes or regulations that are required to be described in the Registration Statement or the Prospectus filed under the Securities Act to be described in the Registration Statement or the Prospectus that are not so described in the Registration Statement or the Prospectus and (ii) no contracts or other documents that are required under the Securities Act to be filed as exhibits to the Registration Statement or the Prospectus or described in the Registration Statement or the Prospectus (collectively, the “</w:t>
      </w:r>
      <w:r>
        <w:rPr>
          <w:rFonts w:ascii="Times New Roman" w:cs="Times New Roman" w:eastAsia="Times New Roman" w:hAnsi="Times New Roman"/>
          <w:sz w:val="18"/>
          <w:szCs w:val="18"/>
          <w:u w:val="single" w:color="auto"/>
          <w:color w:val="auto"/>
        </w:rPr>
        <w:t>Filed Documents</w:t>
      </w:r>
      <w:r>
        <w:rPr>
          <w:rFonts w:ascii="Times New Roman" w:cs="Times New Roman" w:eastAsia="Times New Roman" w:hAnsi="Times New Roman"/>
          <w:sz w:val="18"/>
          <w:szCs w:val="18"/>
          <w:color w:val="auto"/>
        </w:rPr>
        <w:t>”) that are not so filed as exhibits to Registration Statement or the Prospectus or described in the Registration Statement or the Prospectus. To the Knowledge of the Company, there is no actual or threatened material breach by any other party to any Filed Documents of their respective obligations contemplated by the terms thereof.</w:t>
      </w:r>
    </w:p>
    <w:p>
      <w:pPr>
        <w:spacing w:after="0" w:line="19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t.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Except (i) where the failure to be, or to have been, in compliance with such Laws would not reasonably be expected to have a Material Adverse Effect and (ii) as otherwise disclosed in the Registration Statement or the Prospectus, the Company and its subsidiaries are, and since April 13, 2023 have been, in compliance in all material respects with all applicable Laws. Except where the failure to have or to comply would not reasonably be expected to have a Material Adverse Effect, each of the Company and its subsidiaries: (i) is in compliance in all material respects with all Laws applicable to its business, operations, and assets; and (ii) except as disclosed in the Registration Statement or the Prospectus, has not received any written notice from any Governmental Authority of or been charged by any Governmental Authority with the violation of any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u. </w:t>
      </w:r>
      <w:r>
        <w:rPr>
          <w:rFonts w:ascii="Times New Roman" w:cs="Times New Roman" w:eastAsia="Times New Roman" w:hAnsi="Times New Roman"/>
          <w:sz w:val="18"/>
          <w:szCs w:val="18"/>
          <w:u w:val="single" w:color="auto"/>
          <w:color w:val="auto"/>
        </w:rPr>
        <w:t>Certain Fees</w:t>
      </w:r>
      <w:r>
        <w:rPr>
          <w:rFonts w:ascii="Times New Roman" w:cs="Times New Roman" w:eastAsia="Times New Roman" w:hAnsi="Times New Roman"/>
          <w:sz w:val="18"/>
          <w:szCs w:val="18"/>
          <w:color w:val="auto"/>
        </w:rPr>
        <w:t>. Neither the Company nor any of its subsidiaries is a party to any contract, agreement or understanding with any person (other than this Agreement) that would give rise to a valid claim against any of them or the Agents for a brokerage commission, finder’s fee or like payment in connection with the transactions contemplated by this Agreement and the offering and sale of the Placement Shares.</w:t>
      </w:r>
    </w:p>
    <w:p>
      <w:pPr>
        <w:spacing w:after="0" w:line="176" w:lineRule="exact"/>
        <w:rPr>
          <w:sz w:val="20"/>
          <w:szCs w:val="20"/>
          <w:color w:val="auto"/>
        </w:rPr>
      </w:pPr>
    </w:p>
    <w:p>
      <w:pPr>
        <w:ind w:left="1480" w:hanging="176"/>
        <w:spacing w:after="0"/>
        <w:tabs>
          <w:tab w:leader="none" w:pos="1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5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Permits and Licenses</w:t>
      </w:r>
      <w:r>
        <w:rPr>
          <w:rFonts w:ascii="Times New Roman" w:cs="Times New Roman" w:eastAsia="Times New Roman" w:hAnsi="Times New Roman"/>
          <w:sz w:val="18"/>
          <w:szCs w:val="18"/>
          <w:color w:val="auto"/>
        </w:rPr>
        <w:t>. The Company and its subsidiaries possess all licenses, sub-licenses, certificates, permits and other authorizations issued by, and have made all declarations and filings with, the appropriate federal, state, local or foreign governmental or regulatory authorities that are necessary for the ownership or lease of their respective properties or the conduct of their respective businesses as described in the Registration Statement or the Prospectus, except where the failure to possess or make the same would not have a Material Adverse Effect. Except as described in the Registration Statement or the Prospectus or would not have a Material Adverse Effect neither the Company nor any of its subsidiaries received notice of any revocation or modification of any such license, sub-license, certificate, permit or authorization or has any reason to believe that any such license, sub-license, certificate, permit or authorization will not be renewed in the ordinary course. This paragraph does not relate to environmental matters, such items being the subject of paragraph (y) below.</w:t>
      </w:r>
    </w:p>
    <w:p>
      <w:pPr>
        <w:spacing w:after="0" w:line="191" w:lineRule="exact"/>
        <w:rPr>
          <w:rFonts w:ascii="Times New Roman" w:cs="Times New Roman" w:eastAsia="Times New Roman" w:hAnsi="Times New Roman"/>
          <w:sz w:val="18"/>
          <w:szCs w:val="18"/>
          <w:color w:val="auto"/>
        </w:rPr>
      </w:pPr>
    </w:p>
    <w:p>
      <w:pPr>
        <w:jc w:val="both"/>
        <w:ind w:firstLine="1304"/>
        <w:spacing w:after="0" w:line="252" w:lineRule="auto"/>
        <w:tabs>
          <w:tab w:leader="none" w:pos="147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Except as otherwise disclosed in the Registration Statement or the Prospectus or where the failure to have any of the following would not reasonably be expected to have a Material Adverse Effect: (i) the Company and its subsidiaries own or have valid and enforceable rights to use all patents, trademarks, service marks, trade names, domain names and other source indicators, copyrights and copyrightable works, know-how (including trade secrets and other unpatented or unpatentable proprietary or confidential information, systems or procedures) and all other similar intellectual property, industrial property and proprietary rights (including all registrations and applications for registration of, and all goodwill associated with, the foregoing) (collectively,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used in or necessary for the conduct of their respective businesses and as proposed to be conducted; (ii) the Company’s and its subsidiaries’ conduct of their respective businesses has not infringed, misappropriated or otherwise violated any Intellectual Property of any third party; (iii) the Company and its subsidiaries have not received any written notice and are not otherwise aware of any pending or threatened claim alleging infringement, misappropriation or other violation of any Intellectual Property of any third party, or challenging the validity, enforceability, scope or ownership of any Intellectual Property of the Company or its subsidiaries; (iv) to the Knowledge of the Company, no Intellectual Property owned by or exclusively licensed to the Company and its subsidiaries has been infringed, misappropriated or otherwise violated by any third party; (v) to the Knowledge of the Company, all Intellectual Property owned by or exclusively licensed to the Company and its subsidiaries is valid and enforceable in all material respects; and (vi) the Company and its subsidiaries have taken reasonable steps in accordance with normal industry practice to maintain the confidentiality of all Intellectual Property, the value of which to the Company or any of its subsidiaries is contingent upon maintaining the confidentiality thereof.</w:t>
      </w:r>
    </w:p>
    <w:p>
      <w:pPr>
        <w:spacing w:after="0" w:line="195"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0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Environmental Compliance</w:t>
      </w:r>
      <w:r>
        <w:rPr>
          <w:rFonts w:ascii="Times New Roman" w:cs="Times New Roman" w:eastAsia="Times New Roman" w:hAnsi="Times New Roman"/>
          <w:sz w:val="18"/>
          <w:szCs w:val="18"/>
          <w:color w:val="auto"/>
        </w:rPr>
        <w:t>. (i) The Company and each of its subsidiaries (x) are and since December 31, 2022 have been in compliance with all, and have not violated any, applicable federal, state, local and foreign laws (including common law), rules, regulations, decisions, judgments, decrees, orders and other legally enforceable requirements relating to pollution, the protection of human health or safety, the environment, hazardous or toxic substances or wastes, chemicals, pollutants or contaminants (collectively, “</w:t>
      </w:r>
      <w:r>
        <w:rPr>
          <w:rFonts w:ascii="Times New Roman" w:cs="Times New Roman" w:eastAsia="Times New Roman" w:hAnsi="Times New Roman"/>
          <w:sz w:val="18"/>
          <w:szCs w:val="18"/>
          <w:u w:val="single" w:color="auto"/>
          <w:color w:val="auto"/>
        </w:rPr>
        <w:t>Hazardous Substances</w:t>
      </w:r>
      <w:r>
        <w:rPr>
          <w:rFonts w:ascii="Times New Roman" w:cs="Times New Roman" w:eastAsia="Times New Roman" w:hAnsi="Times New Roman"/>
          <w:sz w:val="18"/>
          <w:szCs w:val="18"/>
          <w:color w:val="auto"/>
        </w:rPr>
        <w:t>”), or the protection of natural resources from Hazardous Substances (collectively,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(y) have received and are and have been in compliance with all, and have not violated any, permits, licenses, certificates or other authorizations or approvals required of them under any Environmental Laws to conduct their respective businesses; and (z) have not received notice of any actual or potential liability or obligation under or relating to, or any actual or potential violation of, any Environmental Laws, including for the investigation or remediation of any Hazardous Substances, and have no Knowledge of any event or condition that would reasonably be expected to result in any such notice, liability, obligation or violation; and (ii) there are no costs, obligations or liabilities associated with Environmental Laws of or relating to the Company or any of its subsidiaries, except in the case of each of (i) and (ii) above, (1) as otherwise disclosed in the Registration Statement or the Prospectus or (2) for any such matter as would not reasonably be expected to have a Material Adverse Effect; and (iii) except as described in the Registration Statement or the Prospectus, (x) there is no proceeding that is pending, or to the Company’s Knowledge. that is contemplated, against the Company or any of its subsidiaries under any Environmental Laws in which a governmental entity is also a party, (y) the Company and its subsidiaries are not aware of any facts or issues regarding compliance with Environmental Laws that would reasonably be expected to have a material effect on the capital expenditures, earnings or competitive position of the Company and its subsidiaries, and (z) none of the Company or its subsidiaries anticipates any material capital expenditures relating to any Environmental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z. </w:t>
      </w:r>
      <w:r>
        <w:rPr>
          <w:rFonts w:ascii="Times New Roman" w:cs="Times New Roman" w:eastAsia="Times New Roman" w:hAnsi="Times New Roman"/>
          <w:sz w:val="18"/>
          <w:szCs w:val="18"/>
          <w:u w:val="single" w:color="auto"/>
          <w:color w:val="auto"/>
        </w:rPr>
        <w:t>Transactions With Affiliates</w:t>
      </w:r>
      <w:r>
        <w:rPr>
          <w:rFonts w:ascii="Times New Roman" w:cs="Times New Roman" w:eastAsia="Times New Roman" w:hAnsi="Times New Roman"/>
          <w:sz w:val="18"/>
          <w:szCs w:val="18"/>
          <w:color w:val="auto"/>
        </w:rPr>
        <w:t>. No relationship, direct or indirect, exists between or among the Company or any of its subsidiaries, on the one hand, and the directors, officers, shareholders, customers, suppliers or other affiliates of the Company or any of its subsidiaries, on the other, that is required by the Securities Act to be described in the Registration Statement or the Prospectus and that is not so described in the Registration Statement or the Prospectus.</w:t>
      </w:r>
    </w:p>
    <w:p>
      <w:pPr>
        <w:spacing w:after="0" w:line="180" w:lineRule="exact"/>
        <w:rPr>
          <w:sz w:val="20"/>
          <w:szCs w:val="20"/>
          <w:color w:val="auto"/>
        </w:rPr>
      </w:pPr>
    </w:p>
    <w:p>
      <w:pPr>
        <w:jc w:val="both"/>
        <w:ind w:firstLine="1304"/>
        <w:spacing w:after="0" w:line="256" w:lineRule="auto"/>
        <w:tabs>
          <w:tab w:leader="none" w:pos="155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Labor Disputes</w:t>
      </w:r>
      <w:r>
        <w:rPr>
          <w:rFonts w:ascii="Times New Roman" w:cs="Times New Roman" w:eastAsia="Times New Roman" w:hAnsi="Times New Roman"/>
          <w:sz w:val="18"/>
          <w:szCs w:val="18"/>
          <w:color w:val="auto"/>
        </w:rPr>
        <w:t>. No labor disturbance by or dispute with employees of the Company or any of its subsidiaries exists or, to the Knowledge of the Company, is contemplated or threatened, and the Company is not aware of any existing or imminent labor disturbance by, or dispute with, the employees of any of its or its subsidiaries’ principal suppliers, contractors, third-party logistics providers, IT service providers or customers, except (1) as otherwise disclosed in the Registration Statement or the Prospectus or (2) as would not have, or be reasonably expected to have, a Material Adverse Effect. Neither the Company nor any of its subsidiaries has received any notice of cancellation or termination with respect to any collective bargaining agreement to which it is a party.</w:t>
      </w:r>
    </w:p>
    <w:p>
      <w:pPr>
        <w:spacing w:after="0" w:line="187"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6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proceeds from the sale of the Placement Shares by the Company to the Agents shall be used by the Company and its subsidiaries in the manner as will be set forth in the Registration Statement or the Prospectus. The application of the net proceeds received by the Company in connection with the offering of the Placement Shares as described in the Registration Statement and the Prospectus will not (i) contravene any provision of any laws applicable to the Company or any of its subsidiaries, (ii) contravene the memorandum and articles of association, charter or other constitutive documents of the Company or any of its subsidiaries, (iii) contravene the terms or provisions of, or constitute a default under, any indenture, mortgage, deed of trust, loan agreement, note, lease or other agreement or instrument currently binding upon the Company or any of its subsidiaries, or (iv) contravene or violate the terms or provisions of any governmental authorization applicable to any of the Company or any of its subsidiaries, except, in the case of (iii) and (iv) above, such contravention or violation that would not have a Material Adverse Effect.</w:t>
      </w:r>
    </w:p>
    <w:p>
      <w:pPr>
        <w:spacing w:after="0" w:line="19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4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 Act Status</w:t>
      </w:r>
      <w:r>
        <w:rPr>
          <w:rFonts w:ascii="Times New Roman" w:cs="Times New Roman" w:eastAsia="Times New Roman" w:hAnsi="Times New Roman"/>
          <w:sz w:val="18"/>
          <w:szCs w:val="18"/>
          <w:color w:val="auto"/>
        </w:rPr>
        <w:t>. The Company is not, and will not be, either after giving effect to the receipt of gross proceeds from the offering and sale of the Placement Shares as contemplated by this Agreement or after the application of the proceeds thereof as described in the Registration Statement and the Prospectus, required to register as an “investment company” as such term is defined in the U.S. Investment Company Act of 1940, as amended (the “</w:t>
      </w: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7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(i) Each employee benefit plan, within the meaning of Section 3(3) of the Employee Retirement Income Security Act of 1974, as amended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that is maintained, administered or contributed to by the Company or any of its subsidiaries for employees or former employees, directors or independent contractors of the Company, or under which the Company has had or has any present or future obligation or liability, has been maintained in material compliance with its terms and the requirements of any applicable laws, including but not limited to ERISA and the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(ii) no prohibited transaction, within the meaning of Section 406 of ERISA or Section 4975 of the Code, has occurred which would result in a material liability to the Company with respect to any such plan excluding transactions effected pursuant to a statutory or administrative exemption; (iii) no event has occurred (including a “reportable event” as such term is defined in Section 4043 of ERISA) and no condition exists that would subject the Company to any material tax, fine, lien, penalty, or liability imposed by ERISA, the Code or other applicable law; and for each such plan that is subject to the funding rules of Section 412 of the Code or Section 302 of ERISA, no “accumulated funding deficiency” as defined in Section 412 of the Code has been incurred, whether or not waived, and the fair market value of the assets of each such plan (excluding for these purposes accrued but unpaid contributions) exceeds the present value of all benefits accrued under such plan determined using reasonable actuarial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382270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both"/>
        <w:ind w:left="-1120" w:firstLine="1304"/>
        <w:spacing w:after="0" w:line="258" w:lineRule="auto"/>
        <w:tabs>
          <w:tab w:leader="none" w:pos="42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Except as otherwise disclosed in the Registration Statement or the Prospectus, the Company and its subsidiaries have paid all Cayman Islands federal, state, local and foreign taxes and filed all tax returns required to be paid or filed through the date hereof except, in each case, where the failure to pay or file would not have a Material Adverse Effect; and except as otherwise disclosed in the Registration Statement or the Prospectus, there is no tax deficiency that has been, or would reasonably be expected to be, asserted against the Company or any of its subsidiaries or any of their respective properties or assets, except a tax deficiency that would not have a Material Adverse Effect.</w:t>
      </w:r>
    </w:p>
    <w:p>
      <w:pPr>
        <w:spacing w:after="0" w:line="183" w:lineRule="exact"/>
        <w:rPr>
          <w:rFonts w:ascii="Times New Roman" w:cs="Times New Roman" w:eastAsia="Times New Roman" w:hAnsi="Times New Roman"/>
          <w:sz w:val="18"/>
          <w:szCs w:val="18"/>
          <w:color w:val="auto"/>
        </w:rPr>
      </w:pPr>
    </w:p>
    <w:p>
      <w:pPr>
        <w:jc w:val="both"/>
        <w:ind w:left="-1120" w:firstLine="1304"/>
        <w:spacing w:after="0" w:line="253" w:lineRule="auto"/>
        <w:tabs>
          <w:tab w:leader="none" w:pos="39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Except as otherwise disclosed in the Registration Statement or the Prospectus, the Company and the subsidiaries have insurance covering their respective material properties, operations, personnel and businesses, which insurance is in amounts and insures against such losses and risks as are appropriate and commercially reasonable (including reference to standard industry practice) to protect the Company and the subsidiaries and their respective businesses (which shall exclude business interruption insurance); and except as otherwise disclosed in the Registration Statement or the Prospectus, neither the Company nor any of its subsidiaries has (i) received notice from any insurer or agent of such insurer that capital improvements or other expenditures are required or necessary to be made in order to continue such insurance or (ii) to the Company’s Knowledge, any reason to believe that it will not be able to renew its existing insurance coverage as and when such coverage expires or to obtain similar coverage from similar insurers as may be necessary to continue its business without a significant increase in cost other than increases in premium costs generally applicable to the types of insurance maintained by the Company. There is no material insurance claim made by or against the Company or any of its subsidiaries, pending, outstanding or threatened, and no facts or circumstances exist which would reasonably be expected to give rise to any such claim and all due premiums in respect thereof have been paid.</w:t>
      </w:r>
    </w:p>
    <w:p>
      <w:pPr>
        <w:spacing w:after="0" w:line="191" w:lineRule="exact"/>
        <w:rPr>
          <w:rFonts w:ascii="Times New Roman" w:cs="Times New Roman" w:eastAsia="Times New Roman" w:hAnsi="Times New Roman"/>
          <w:sz w:val="18"/>
          <w:szCs w:val="18"/>
          <w:color w:val="auto"/>
        </w:rPr>
      </w:pPr>
    </w:p>
    <w:p>
      <w:pPr>
        <w:ind w:left="-1120" w:firstLine="1304"/>
        <w:spacing w:after="0" w:line="282" w:lineRule="auto"/>
        <w:tabs>
          <w:tab w:leader="none" w:pos="44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Status Under the Securities Act</w:t>
      </w:r>
      <w:r>
        <w:rPr>
          <w:rFonts w:ascii="Times New Roman" w:cs="Times New Roman" w:eastAsia="Times New Roman" w:hAnsi="Times New Roman"/>
          <w:sz w:val="18"/>
          <w:szCs w:val="18"/>
          <w:color w:val="auto"/>
        </w:rPr>
        <w:t>. The Company was not and is not an ineligible issuer as defined in Rule 405 under the Securities Act at the times specified in Rules 164 and 433 under the Securities Act in connection with the offering of the Placement Shares.</w:t>
      </w:r>
    </w:p>
    <w:p>
      <w:pPr>
        <w:spacing w:after="0" w:line="161" w:lineRule="exact"/>
        <w:rPr>
          <w:rFonts w:ascii="Times New Roman" w:cs="Times New Roman" w:eastAsia="Times New Roman" w:hAnsi="Times New Roman"/>
          <w:sz w:val="18"/>
          <w:szCs w:val="18"/>
          <w:color w:val="auto"/>
        </w:rPr>
      </w:pPr>
    </w:p>
    <w:p>
      <w:pPr>
        <w:jc w:val="both"/>
        <w:ind w:left="-1120" w:firstLine="1304"/>
        <w:spacing w:after="0" w:line="258" w:lineRule="auto"/>
        <w:tabs>
          <w:tab w:leader="none" w:pos="44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Manipulation of Price</w:t>
      </w:r>
      <w:r>
        <w:rPr>
          <w:rFonts w:ascii="Times New Roman" w:cs="Times New Roman" w:eastAsia="Times New Roman" w:hAnsi="Times New Roman"/>
          <w:sz w:val="18"/>
          <w:szCs w:val="18"/>
          <w:color w:val="auto"/>
        </w:rPr>
        <w:t>. Neither the Company nor any of its officers and directors nor, to the Knowledge of the Company, its affiliates has taken, directly or indirectly, any action designed to or that might cause or result in stabilization or manipulation of the price of the Ordinary Shares or of any “reference security” (as defined in Rule 100 of Regulation M under the Exchange Act (“</w:t>
      </w:r>
      <w:r>
        <w:rPr>
          <w:rFonts w:ascii="Times New Roman" w:cs="Times New Roman" w:eastAsia="Times New Roman" w:hAnsi="Times New Roman"/>
          <w:sz w:val="18"/>
          <w:szCs w:val="18"/>
          <w:u w:val="single" w:color="auto"/>
          <w:color w:val="auto"/>
        </w:rPr>
        <w:t>Regulation M</w:t>
      </w:r>
      <w:r>
        <w:rPr>
          <w:rFonts w:ascii="Times New Roman" w:cs="Times New Roman" w:eastAsia="Times New Roman" w:hAnsi="Times New Roman"/>
          <w:sz w:val="18"/>
          <w:szCs w:val="18"/>
          <w:color w:val="auto"/>
        </w:rPr>
        <w:t>”)) with respect to the Ordinary Shares, whether to facilitate the sale or resale of the Placement Shares or otherwise, in each case that would violate Regulation M, and has taken no action which would directly or indirectly violate Regulation M.</w:t>
      </w:r>
    </w:p>
    <w:p>
      <w:pPr>
        <w:spacing w:after="0" w:line="183" w:lineRule="exact"/>
        <w:rPr>
          <w:rFonts w:ascii="Times New Roman" w:cs="Times New Roman" w:eastAsia="Times New Roman" w:hAnsi="Times New Roman"/>
          <w:sz w:val="18"/>
          <w:szCs w:val="18"/>
          <w:color w:val="auto"/>
        </w:rPr>
      </w:pPr>
    </w:p>
    <w:p>
      <w:pPr>
        <w:jc w:val="both"/>
        <w:ind w:left="-1120" w:firstLine="1304"/>
        <w:spacing w:after="0" w:line="258" w:lineRule="auto"/>
        <w:tabs>
          <w:tab w:leader="none" w:pos="40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and Maintenance Requirements; DTC Eligibility</w:t>
      </w:r>
      <w:r>
        <w:rPr>
          <w:rFonts w:ascii="Times New Roman" w:cs="Times New Roman" w:eastAsia="Times New Roman" w:hAnsi="Times New Roman"/>
          <w:sz w:val="18"/>
          <w:szCs w:val="18"/>
          <w:color w:val="auto"/>
        </w:rPr>
        <w:t>. The Ordinary Shares are registered pursuant to Section 12(b) of the Exchange Act, and the Company has taken no action designed to, or which to its Knowledge is likely to have the effect of, terminating the registration of the Ordinary Shares under the Exchange Act, nor has the Company received any notification that the Commission is contemplating terminating such registration. The Company has not received notice from the Exchange to the effect that the Company is not in compliance with the listing or maintenance requirements of the Exchange.</w:t>
      </w:r>
    </w:p>
    <w:p>
      <w:pPr>
        <w:spacing w:after="0" w:line="183" w:lineRule="exact"/>
        <w:rPr>
          <w:rFonts w:ascii="Times New Roman" w:cs="Times New Roman" w:eastAsia="Times New Roman" w:hAnsi="Times New Roman"/>
          <w:sz w:val="18"/>
          <w:szCs w:val="18"/>
          <w:color w:val="auto"/>
        </w:rPr>
      </w:pPr>
    </w:p>
    <w:p>
      <w:pPr>
        <w:jc w:val="both"/>
        <w:ind w:left="-1120" w:firstLine="1304"/>
        <w:spacing w:after="0" w:line="253" w:lineRule="auto"/>
        <w:tabs>
          <w:tab w:leader="none" w:pos="36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Unlawful Payments</w:t>
      </w:r>
      <w:r>
        <w:rPr>
          <w:rFonts w:ascii="Times New Roman" w:cs="Times New Roman" w:eastAsia="Times New Roman" w:hAnsi="Times New Roman"/>
          <w:sz w:val="18"/>
          <w:szCs w:val="18"/>
          <w:color w:val="auto"/>
        </w:rPr>
        <w:t>. Neither the Company nor any of its subsidiaries, any of the Company’s affiliates, nor any director, officer, nor, to the Knowledge of the Company, after due inquiry, agent, employee or other person associated with or acting on behalf of the Company or any of its subsidiaries, has in the course of its actions for, or on behalf of, the Company or any of its subsidiaries: (i) made any unlawful contribution, gift or other unlawful expense relating to political activity; (ii) made any direct or indirect bribe, kickback, rebate, payoff, influence payment, or otherwise unlawfully provided anything of value, to any “foreign official” (as defined in the U.S. Foreign Corrupt Practices Act of 1977, as amended (collectively, the “</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or domestic government official; or (iii) violated or is in violation of any provision of the FCPA, the Bribery Act 2010 of the United Kingdom, as amended (the “</w:t>
      </w:r>
      <w:r>
        <w:rPr>
          <w:rFonts w:ascii="Times New Roman" w:cs="Times New Roman" w:eastAsia="Times New Roman" w:hAnsi="Times New Roman"/>
          <w:sz w:val="18"/>
          <w:szCs w:val="18"/>
          <w:u w:val="single" w:color="auto"/>
          <w:color w:val="auto"/>
        </w:rPr>
        <w:t>Bribery Act 2010</w:t>
      </w:r>
      <w:r>
        <w:rPr>
          <w:rFonts w:ascii="Times New Roman" w:cs="Times New Roman" w:eastAsia="Times New Roman" w:hAnsi="Times New Roman"/>
          <w:sz w:val="18"/>
          <w:szCs w:val="18"/>
          <w:color w:val="auto"/>
        </w:rPr>
        <w:t>”), or any other applicable anti-corruption or anti-bribery statute or regulation. The Company and its subsidiaries and, to the Knowledge of the Company, the Company’s affiliates, have conducted their respective businesses in compliance with the FCPA, Bribery Act 2010, and all other applicable anti-corruption and anti-bribery statutes or regulations, and have instituted and maintain policies and procedures designed to ensure, and which are reasonably expected to ensure, continued compliance therewith and with the representations and warranties contained herein. Neither the Company nor any of its subsidiaries will use, directly or indirectly, the proceeds of the offering in furtherance of an offer, payment, promise to pay, or authorization of the payment or giving of money, or anything else of value, to any person in violation of any applicable anti-corruption or anti-bribery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243205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16" w:name="page17"/>
    <w:bookmarkEnd w:id="16"/>
    <w:p>
      <w:pPr>
        <w:jc w:val="both"/>
        <w:ind w:left="-1120" w:firstLine="1304"/>
        <w:spacing w:after="0" w:line="252" w:lineRule="auto"/>
        <w:tabs>
          <w:tab w:leader="none" w:pos="48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Cybersecurity; Data Protection</w:t>
      </w:r>
      <w:r>
        <w:rPr>
          <w:rFonts w:ascii="Times New Roman" w:cs="Times New Roman" w:eastAsia="Times New Roman" w:hAnsi="Times New Roman"/>
          <w:sz w:val="18"/>
          <w:szCs w:val="18"/>
          <w:color w:val="auto"/>
        </w:rPr>
        <w:t>. The Company and its subsidiaries’ information technology assets and equipment, computers, systems, networks, hardware, software, websites, applications, and databases (including the data of their respective customers, employees, suppliers, vendors and any third party data maintained by or on behalf of the Company and its subsidiaries) (collectively, “</w:t>
      </w:r>
      <w:r>
        <w:rPr>
          <w:rFonts w:ascii="Times New Roman" w:cs="Times New Roman" w:eastAsia="Times New Roman" w:hAnsi="Times New Roman"/>
          <w:sz w:val="18"/>
          <w:szCs w:val="18"/>
          <w:u w:val="single" w:color="auto"/>
          <w:color w:val="auto"/>
        </w:rPr>
        <w:t>IT Systems</w:t>
      </w:r>
      <w:r>
        <w:rPr>
          <w:rFonts w:ascii="Times New Roman" w:cs="Times New Roman" w:eastAsia="Times New Roman" w:hAnsi="Times New Roman"/>
          <w:sz w:val="18"/>
          <w:szCs w:val="18"/>
          <w:color w:val="auto"/>
        </w:rPr>
        <w:t>”) are adequate for, and operate and perform in all material respects as required in connection with, the operation of the business of the Company and to the Knowledge of the Company, its subsidiaries are free and clear of all material bugs, errors, defects, Trojan horses, time bombs, malware and other corruptants. The Company and its subsidiaries have implemented and maintained appropriate controls, policies, procedures, and safeguards necessary to maintain and protect their material confidential information and the integrity, continuous operation, redundancy and security of all IT Systems and data (including all personal, personally identifiable, sensitive, confidential or regulated data (collectively, “</w:t>
      </w:r>
      <w:r>
        <w:rPr>
          <w:rFonts w:ascii="Times New Roman" w:cs="Times New Roman" w:eastAsia="Times New Roman" w:hAnsi="Times New Roman"/>
          <w:sz w:val="18"/>
          <w:szCs w:val="18"/>
          <w:u w:val="single" w:color="auto"/>
          <w:color w:val="auto"/>
        </w:rPr>
        <w:t>Data</w:t>
      </w:r>
      <w:r>
        <w:rPr>
          <w:rFonts w:ascii="Times New Roman" w:cs="Times New Roman" w:eastAsia="Times New Roman" w:hAnsi="Times New Roman"/>
          <w:sz w:val="18"/>
          <w:szCs w:val="18"/>
          <w:color w:val="auto"/>
        </w:rPr>
        <w:t>”)) used in connection with their businesses. Without limiting the foregoing, the Company and its subsidiaries have used reasonable efforts to establish, maintain, implement and comply with reasonable information technology, information security, cyber security and data protection controls, policies and procedures, including oversight, access controls, encryption, technological and physical safeguards and business continuity/disaster recovery and security plans that are designed to protect against and prevent breach, destruction, loss, unauthorized distribution, use, access, disablement, misappropriation or modification, or other compromise or misuse of or relating to any information technology system or Data used in connection with the operation of the Company’s and its subsidiaries’ businesses (“</w:t>
      </w:r>
      <w:r>
        <w:rPr>
          <w:rFonts w:ascii="Times New Roman" w:cs="Times New Roman" w:eastAsia="Times New Roman" w:hAnsi="Times New Roman"/>
          <w:sz w:val="18"/>
          <w:szCs w:val="18"/>
          <w:u w:val="single" w:color="auto"/>
          <w:color w:val="auto"/>
        </w:rPr>
        <w:t>Breach</w:t>
      </w:r>
      <w:r>
        <w:rPr>
          <w:rFonts w:ascii="Times New Roman" w:cs="Times New Roman" w:eastAsia="Times New Roman" w:hAnsi="Times New Roman"/>
          <w:sz w:val="18"/>
          <w:szCs w:val="18"/>
          <w:color w:val="auto"/>
        </w:rPr>
        <w:t>”) and, there has been no such Breach. The Company and its subsidiaries have not been notified of and have no Knowledge of any event or condition that would reasonably be expected to result in, any such Breach. This representation is limited in each case to the extent that such breach or noncompliance would not reasonably be expected to have a Material Adverse Effect, and except as otherwise disclosed in the Registration Statement or the Prospectus.</w:t>
      </w:r>
    </w:p>
    <w:p>
      <w:pPr>
        <w:spacing w:after="0" w:line="194" w:lineRule="exact"/>
        <w:rPr>
          <w:rFonts w:ascii="Times New Roman" w:cs="Times New Roman" w:eastAsia="Times New Roman" w:hAnsi="Times New Roman"/>
          <w:sz w:val="18"/>
          <w:szCs w:val="18"/>
          <w:color w:val="auto"/>
        </w:rPr>
      </w:pPr>
    </w:p>
    <w:p>
      <w:pPr>
        <w:jc w:val="both"/>
        <w:ind w:left="-1120" w:firstLine="1304"/>
        <w:spacing w:after="0" w:line="253" w:lineRule="auto"/>
        <w:tabs>
          <w:tab w:leader="none" w:pos="36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Privacy</w:t>
      </w:r>
      <w:r>
        <w:rPr>
          <w:rFonts w:ascii="Times New Roman" w:cs="Times New Roman" w:eastAsia="Times New Roman" w:hAnsi="Times New Roman"/>
          <w:sz w:val="18"/>
          <w:szCs w:val="18"/>
          <w:color w:val="auto"/>
        </w:rPr>
        <w:t>. The Company and its subsidiaries have complied, and are presently in compliance, in all material respects, with all internal and external privacy policies, contractual obligations, industry standards, applicable laws, statutes, judgments, orders, rules and regulations of any court or arbitrator or other governmental or regulatory authority and any legal obligations regarding the collection, use, transfer, import, export, storage, protection, disposal and disclosure by the Company and its subsidiaries of Data (“</w:t>
      </w:r>
      <w:r>
        <w:rPr>
          <w:rFonts w:ascii="Times New Roman" w:cs="Times New Roman" w:eastAsia="Times New Roman" w:hAnsi="Times New Roman"/>
          <w:sz w:val="18"/>
          <w:szCs w:val="18"/>
          <w:u w:val="single" w:color="auto"/>
          <w:color w:val="auto"/>
        </w:rPr>
        <w:t>Data Security Obligations</w:t>
      </w:r>
      <w:r>
        <w:rPr>
          <w:rFonts w:ascii="Times New Roman" w:cs="Times New Roman" w:eastAsia="Times New Roman" w:hAnsi="Times New Roman"/>
          <w:sz w:val="18"/>
          <w:szCs w:val="18"/>
          <w:color w:val="auto"/>
        </w:rPr>
        <w:t>”). Neither the Company nor any of its subsidiaries has received any notification of or complaint regarding, or have knowledge of any other facts that, individually or in the aggregate, would reasonably indicate non-compliance with any applicable Data Security Obligation in all material respects. There is no pending, or threatened, action, suit or proceeding by or before any court or governmental agency, authority or body pending or to the Knowledge of the Company, threatened alleging non-compliance with any applicable Data Security Obligation. The Company and its subsidiaries have at all times taken reasonable steps in accordance with industry standard practices to protect Data used in connection with their businesses against loss and against unauthorized access, use, modification, disclosure or other misuse. There has been no unauthorized access to such information. To the extent applicable to the operations of the Company and its subsidiaries, the Company and its subsidiaries are in material compliance with the European Union General Data Protection Regulation (and all other laws and regulations applicable to the operations of the Company and its subsidiaries with respect to Data).</w:t>
      </w:r>
    </w:p>
    <w:p>
      <w:pPr>
        <w:spacing w:after="0" w:line="189" w:lineRule="exact"/>
        <w:rPr>
          <w:rFonts w:ascii="Times New Roman" w:cs="Times New Roman" w:eastAsia="Times New Roman" w:hAnsi="Times New Roman"/>
          <w:sz w:val="18"/>
          <w:szCs w:val="18"/>
          <w:color w:val="auto"/>
        </w:rPr>
      </w:pPr>
    </w:p>
    <w:p>
      <w:pPr>
        <w:jc w:val="both"/>
        <w:ind w:left="-1120" w:firstLine="1304"/>
        <w:spacing w:after="0" w:line="255" w:lineRule="auto"/>
        <w:tabs>
          <w:tab w:leader="none" w:pos="54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Operations</w:t>
      </w:r>
      <w:r>
        <w:rPr>
          <w:rFonts w:ascii="Times New Roman" w:cs="Times New Roman" w:eastAsia="Times New Roman" w:hAnsi="Times New Roman"/>
          <w:sz w:val="18"/>
          <w:szCs w:val="18"/>
          <w:color w:val="auto"/>
        </w:rPr>
        <w:t>. The operations of the Company and each of its subsidiaries are and have been conducted at all times in compliance in all material respects with applicable financial record keeping and reporting requirements of the Currency and Foreign Transactions Reporting Act of 1970, as amended, the applicable money laundering statutes of all jurisdictions where the Company or any of its subsidiaries conducts business, the rules and regulations thereunder and any related or similar rules, regulations or guidelines, that have been issued, administered or enforced by any governmental agency (collectively, the “</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or non-governmental authority involving the Company or any of its subsidiaries with respect to the Money Laundering Laws is pending or, to the Knowledge of the Company, threatened.</w:t>
      </w:r>
    </w:p>
    <w:p>
      <w:pPr>
        <w:spacing w:after="0" w:line="188" w:lineRule="exact"/>
        <w:rPr>
          <w:rFonts w:ascii="Times New Roman" w:cs="Times New Roman" w:eastAsia="Times New Roman" w:hAnsi="Times New Roman"/>
          <w:sz w:val="18"/>
          <w:szCs w:val="18"/>
          <w:color w:val="auto"/>
        </w:rPr>
      </w:pPr>
    </w:p>
    <w:p>
      <w:pPr>
        <w:jc w:val="both"/>
        <w:ind w:left="-1120" w:firstLine="1304"/>
        <w:spacing w:after="0" w:line="266" w:lineRule="auto"/>
        <w:tabs>
          <w:tab w:leader="none" w:pos="44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Margin Rules</w:t>
      </w:r>
      <w:r>
        <w:rPr>
          <w:rFonts w:ascii="Times New Roman" w:cs="Times New Roman" w:eastAsia="Times New Roman" w:hAnsi="Times New Roman"/>
          <w:sz w:val="18"/>
          <w:szCs w:val="18"/>
          <w:color w:val="auto"/>
        </w:rPr>
        <w:t>. Neither the issuance, sale and delivery of the Securities nor the application of the proceeds thereof by the Company as described in the Registration Statement or the Prospectus will violate Regulation T, U or X of the Board of Governors of the Federal Reserve System or any other regulation of such Board of Governors.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234950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17" w:name="page18"/>
    <w:bookmarkEnd w:id="17"/>
    <w:p>
      <w:pPr>
        <w:jc w:val="both"/>
        <w:ind w:left="-1120" w:firstLine="1304"/>
        <w:spacing w:after="0" w:line="252" w:lineRule="auto"/>
        <w:tabs>
          <w:tab w:leader="none" w:pos="44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 with Sanctions Laws</w:t>
      </w:r>
      <w:r>
        <w:rPr>
          <w:rFonts w:ascii="Times New Roman" w:cs="Times New Roman" w:eastAsia="Times New Roman" w:hAnsi="Times New Roman"/>
          <w:sz w:val="18"/>
          <w:szCs w:val="18"/>
          <w:color w:val="auto"/>
        </w:rPr>
        <w:t>. Neither the Company nor any of its subsidiaries, nor, to the Knowledge of the Company, after due inquiry, any of the Company’s affiliates, any director, officer, agent, employee or affiliate of the Company or any of its subsidiaries is (i) currently the subject or the target of any sanctions administered or enforced by the Office of Foreign Assets Control of the U.S. Treasury Department, the U.S. Department of State, the United Nations Security Council, the European Union, His Majesty’s Treasury, or other relevant sanctions authority (collectively, “</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or (ii) located, organized or resident in a country or territory that is the subject or target of Sanctions (including, without limitation, Cuba, Iran, North Korea, Syria, the Crimea region of Ukraine, the so-called Donetsk People’s Republic and the so-called Luhansk People’s Republic); and the Company will not directly or indirectly use the proceeds of the offering, or lend, contribute or otherwise make available such proceeds to any subsidiary, joint venture partner or other person or entity, for the purpose of financing or facilitating the activities or business of any person, or in any country or territory, that at the time of such financing or facilitation and is the subject or target of Sanctions or in any other manner that will result in a violation by any person (including any person participating in the transaction whether as an underwriter, advisor, investor or otherwise) of Sanctions. The Company and each of its subsidiaries have not knowingly engaged in for the past five years, are not now knowingly engaged in, and will not engage in, any dealings or transactions with any individual or entity, or in any country or territory, that at the time of the dealing or transaction, is or was the subject or target of Sanction. Each of the Company and its subsidiaries have instituted, and maintain, policies and procedures designed to promote and achieve compliance with Sanctions or applicable export control laws and regulations administered by the Bureau of Industry and Security, or other relevant authorities, including the Export Administration Regulations.</w:t>
      </w:r>
    </w:p>
    <w:p>
      <w:pPr>
        <w:spacing w:after="0" w:line="195" w:lineRule="exact"/>
        <w:rPr>
          <w:rFonts w:ascii="Times New Roman" w:cs="Times New Roman" w:eastAsia="Times New Roman" w:hAnsi="Times New Roman"/>
          <w:sz w:val="18"/>
          <w:szCs w:val="18"/>
          <w:color w:val="auto"/>
        </w:rPr>
      </w:pPr>
    </w:p>
    <w:p>
      <w:pPr>
        <w:jc w:val="both"/>
        <w:ind w:left="-1120" w:firstLine="1304"/>
        <w:spacing w:after="0" w:line="256" w:lineRule="auto"/>
        <w:tabs>
          <w:tab w:leader="none" w:pos="44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Restrictions on Subsidiaries</w:t>
      </w:r>
      <w:r>
        <w:rPr>
          <w:rFonts w:ascii="Times New Roman" w:cs="Times New Roman" w:eastAsia="Times New Roman" w:hAnsi="Times New Roman"/>
          <w:sz w:val="18"/>
          <w:szCs w:val="18"/>
          <w:color w:val="auto"/>
        </w:rPr>
        <w:t>. Except pursuant to any other financing arrangements the Company has entered into or may enter into from time to time and disclosed in the Registration Statement or the Prospectus, no subsidiary of the Company is currently prohibited, directly or indirectly, under any applicable laws or regulations, or agreement or other instrument to which it is a party or is subject, from paying any dividends to the Company, from making any other distribution on such subsidiary’s capital shares or similar ownership interest, from repaying to the Company any loans or advances to such subsidiary from the Company or from transferring any of such subsidiary’s properties or assets to the Company or any other subsidiary of the Company except as would be reasonably expected to have a Material Adverse Effect.</w:t>
      </w:r>
    </w:p>
    <w:p>
      <w:pPr>
        <w:spacing w:after="0" w:line="187" w:lineRule="exact"/>
        <w:rPr>
          <w:rFonts w:ascii="Times New Roman" w:cs="Times New Roman" w:eastAsia="Times New Roman" w:hAnsi="Times New Roman"/>
          <w:sz w:val="18"/>
          <w:szCs w:val="18"/>
          <w:color w:val="auto"/>
        </w:rPr>
      </w:pPr>
    </w:p>
    <w:p>
      <w:pPr>
        <w:jc w:val="both"/>
        <w:ind w:left="-1120" w:firstLine="1304"/>
        <w:spacing w:after="0" w:line="254" w:lineRule="auto"/>
        <w:tabs>
          <w:tab w:leader="none" w:pos="45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Broker/Dealer Relationships; FINRA Information</w:t>
      </w:r>
      <w:r>
        <w:rPr>
          <w:rFonts w:ascii="Times New Roman" w:cs="Times New Roman" w:eastAsia="Times New Roman" w:hAnsi="Times New Roman"/>
          <w:sz w:val="18"/>
          <w:szCs w:val="18"/>
          <w:color w:val="auto"/>
        </w:rPr>
        <w:t>. Neither the Company nor any of the subsidiaries (i) is required to register as a “broker” or “dealer” in accordance with the provisions of the Exchange Act or (ii) directly or indirectly through one or more intermediaries, controls or is a “person associated with a member” or “associated person of a member” (within the meaning set forth in the FINRA Manual). All of the information provided to the Agents or to their counsel, specifically for use in connection with any filing with FINRA pursuant to FINRA Rule 5510 with regard to the transactions contemplated by this Agreement, by the Company, and, to the Company’s Knowledge, by its counsel, its officers and directors and the holders of any securities (debt or equity) or options to acquire any securities of the Company, in connection with the transactions contemplated by the Registration Statement or the Prospectus is true, complete, correct and compliant with FINRA’s rules in all material respects. Any questionnaires relating to FINRA Rule 5110 provided to the Investor or to counsel for the Investor in connection with letters, filings or other supplemental information provided to FINRA pursuant to FINRA’s conduct rules are, to the Company’s Knowledge, true and correct in all material respects.</w:t>
      </w:r>
    </w:p>
    <w:p>
      <w:pPr>
        <w:spacing w:after="0" w:line="188" w:lineRule="exact"/>
        <w:rPr>
          <w:rFonts w:ascii="Times New Roman" w:cs="Times New Roman" w:eastAsia="Times New Roman" w:hAnsi="Times New Roman"/>
          <w:sz w:val="18"/>
          <w:szCs w:val="18"/>
          <w:color w:val="auto"/>
        </w:rPr>
      </w:pPr>
    </w:p>
    <w:p>
      <w:pPr>
        <w:jc w:val="both"/>
        <w:ind w:left="-1120" w:firstLine="1304"/>
        <w:spacing w:after="0" w:line="258" w:lineRule="auto"/>
        <w:tabs>
          <w:tab w:leader="none" w:pos="40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Stamp Taxes</w:t>
      </w:r>
      <w:r>
        <w:rPr>
          <w:rFonts w:ascii="Times New Roman" w:cs="Times New Roman" w:eastAsia="Times New Roman" w:hAnsi="Times New Roman"/>
          <w:sz w:val="18"/>
          <w:szCs w:val="18"/>
          <w:color w:val="auto"/>
        </w:rPr>
        <w:t>. Except for any Cayman Islands stamp duty if this Agreement is executed in, or brought to, the Cayman Islands (including being produced to a court of the Cayman Islands) in which case nominal stamp duty would be payable, no stamp duties or other issuance or transfer taxes are payable in the Cayman Islands or Singapore, or any political subdivision or taxing authority thereof solely in connection with (A) the execution, delivery and performance of this Agreement, (B) the issuance and delivery of the Placement Shares in the manner contemplated by this Agreement or (C) the sale and delivery of the Placement Shares as contemplated in this Agreement.</w:t>
      </w:r>
    </w:p>
    <w:p>
      <w:pPr>
        <w:spacing w:after="0" w:line="183" w:lineRule="exact"/>
        <w:rPr>
          <w:rFonts w:ascii="Times New Roman" w:cs="Times New Roman" w:eastAsia="Times New Roman" w:hAnsi="Times New Roman"/>
          <w:sz w:val="18"/>
          <w:szCs w:val="18"/>
          <w:color w:val="auto"/>
        </w:rPr>
      </w:pPr>
    </w:p>
    <w:p>
      <w:pPr>
        <w:jc w:val="both"/>
        <w:ind w:left="-1120" w:firstLine="1304"/>
        <w:spacing w:after="0" w:line="254" w:lineRule="auto"/>
        <w:tabs>
          <w:tab w:leader="none" w:pos="40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Immunity</w:t>
      </w:r>
      <w:r>
        <w:rPr>
          <w:rFonts w:ascii="Times New Roman" w:cs="Times New Roman" w:eastAsia="Times New Roman" w:hAnsi="Times New Roman"/>
          <w:sz w:val="18"/>
          <w:szCs w:val="18"/>
          <w:color w:val="auto"/>
        </w:rPr>
        <w:t xml:space="preserve">. Neither the Company nor any of its subsidiaries or their properties or assets has immunity under Cayman Islands, U.S. federal or New York state law from any legal action, suit or proceeding, from the giving of any relief in any such legal action, suit or proceeding, from set-off or counterclaim, from the jurisdiction of any Cayman Islands, U.S. federal or New York state court, from service of process, attachment upon or prior to judgment, or attachment in aid of execution of judgment, or from execution of a judgment, or other legal process or proceeding for the giving of any relief or for the enforcement of a judgment, in any such court with respect to their respective obligations, liabilities or any other matter under or arising out of or in connection herewith; and, to the extent that the Company or any of its subsidiaries or any of its properties, assets or revenues may have or may hereafter become entitled to any such right of immunity in any such court in which proceedings arising out of, or relating to the transactions contemplated by this Agreement, may at any time be commenced, the Company has, pursuant to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of this Agreement, waived, and it will waive, or will cause its subsidiaries to waive, such right to the extent permitted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242570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18" w:name="page19"/>
    <w:bookmarkEnd w:id="18"/>
    <w:p>
      <w:pPr>
        <w:jc w:val="both"/>
        <w:ind w:firstLine="1304"/>
        <w:spacing w:after="0" w:line="258" w:lineRule="auto"/>
        <w:tabs>
          <w:tab w:leader="none" w:pos="148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Enforcement of Foreign Judgments</w:t>
      </w:r>
      <w:r>
        <w:rPr>
          <w:rFonts w:ascii="Times New Roman" w:cs="Times New Roman" w:eastAsia="Times New Roman" w:hAnsi="Times New Roman"/>
          <w:sz w:val="18"/>
          <w:szCs w:val="18"/>
          <w:color w:val="auto"/>
        </w:rPr>
        <w:t>. Any final and conclusive judgment for a fixed, definite or determined sum of money and not in respect of a tax, fine or other penalty rendered by any U.S. District Court and other courts of the United States in the State of New York having jurisdiction under its own laws in respect of any suit, action or proceeding against the Company based upon this Agreement which was not obtained by fraud and is not of a kind, the enforcement of which is contrary to public policy in the Cayman Islands would be enforceable against the Company by the courts of the Cayman Islands, without re-examination or re-litigation of the matters adjudicated upon.</w:t>
      </w:r>
    </w:p>
    <w:p>
      <w:pPr>
        <w:spacing w:after="0" w:line="183"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6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Valid Choice of Law</w:t>
      </w:r>
      <w:r>
        <w:rPr>
          <w:rFonts w:ascii="Times New Roman" w:cs="Times New Roman" w:eastAsia="Times New Roman" w:hAnsi="Times New Roman"/>
          <w:sz w:val="18"/>
          <w:szCs w:val="18"/>
          <w:color w:val="auto"/>
        </w:rPr>
        <w:t xml:space="preserve">. The choice of laws of the State of New York as the governing law of this Agreement is a valid choice of law under the laws of the Cayman Islands and will be recognized and upheld by the courts of the Cayman Islands, subject to the restrictions described under the caption “Enforceability of Civil Liabilities” in the Registration Statement, and other exceptions including but not limited to fraud, public policy, and natural justice. The Company has the power to submit, and pursuant to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19</w:t>
      </w:r>
      <w:r>
        <w:rPr>
          <w:rFonts w:ascii="Times New Roman" w:cs="Times New Roman" w:eastAsia="Times New Roman" w:hAnsi="Times New Roman"/>
          <w:sz w:val="18"/>
          <w:szCs w:val="18"/>
          <w:color w:val="auto"/>
        </w:rPr>
        <w:t xml:space="preserve"> of this Agreement, has legally, validly, effectively and irrevocably submitted, to the personal jurisdiction of each New York state and United States federal court sitting in the City of New York and has validly and irrevocably waived any objection to the laying of venue of any suit, action or proceeding brought in such court. The Company has the power to designate, appoint and empower, and pursuant to Section 20 of this Agreement, has, legally, validly, effectively and irrevocably designated, appointed and empowered, an authorized agent for service of process in any action arising out of or relating to the Agreement or the transactions contemplated hereunder, in any New York Court, and service of process in any manner permitted by applicable laws effected on such authorized agent will be effective to confer valid personal jurisdiction over the Company as provided herein.</w:t>
      </w:r>
    </w:p>
    <w:p>
      <w:pPr>
        <w:spacing w:after="0" w:line="194"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and Contribution</w:t>
      </w:r>
      <w:r>
        <w:rPr>
          <w:rFonts w:ascii="Times New Roman" w:cs="Times New Roman" w:eastAsia="Times New Roman" w:hAnsi="Times New Roman"/>
          <w:sz w:val="18"/>
          <w:szCs w:val="18"/>
          <w:color w:val="auto"/>
        </w:rPr>
        <w:t>. The indemnification and contribution provisions set forth in Section 10 hereof do not contravene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Cayman Islands law.</w:t>
      </w:r>
    </w:p>
    <w:p>
      <w:pPr>
        <w:spacing w:after="0" w:line="206"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3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Passive Foreign Investment Company</w:t>
      </w:r>
      <w:r>
        <w:rPr>
          <w:rFonts w:ascii="Times New Roman" w:cs="Times New Roman" w:eastAsia="Times New Roman" w:hAnsi="Times New Roman"/>
          <w:sz w:val="18"/>
          <w:szCs w:val="18"/>
          <w:color w:val="auto"/>
        </w:rPr>
        <w:t>. Based on the information available to the Company at the time of the filing of the Form 20-F dated March 28, 2024, the Company believes that it was not a “passive foreign investment company” as defined in Section 1297 of the Code for the Company’s taxable year ended December 31, 2023.</w:t>
      </w:r>
    </w:p>
    <w:p>
      <w:pPr>
        <w:spacing w:after="0" w:line="17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6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Legality</w:t>
      </w:r>
      <w:r>
        <w:rPr>
          <w:rFonts w:ascii="Times New Roman" w:cs="Times New Roman" w:eastAsia="Times New Roman" w:hAnsi="Times New Roman"/>
          <w:sz w:val="18"/>
          <w:szCs w:val="18"/>
          <w:color w:val="auto"/>
        </w:rPr>
        <w:t>. The legality, validity or enforceability of any of the Registration Statement, the Prospectus, this Agreement or the Placement Shares in any jurisdiction in which the Company is organized or does business is not dependent upon such document being submitted into, filed or recorded with any court or other authority in any such jurisdiction on or before the date hereof or that any tax, imposition or charge be paid in any such jurisdiction on or in respect of any such document. Any final judgment for a fixed sum of money rendered by a New York Court having jurisdiction under its own domestic laws in respect of any suit, action or proceeding against the Company based upon this Agreement would be recognized and enforced by Cayman courts without reexamining the merits of the case.</w:t>
      </w:r>
    </w:p>
    <w:p>
      <w:pPr>
        <w:spacing w:after="0" w:line="187"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Action</w:t>
      </w:r>
      <w:r>
        <w:rPr>
          <w:rFonts w:ascii="Times New Roman" w:cs="Times New Roman" w:eastAsia="Times New Roman" w:hAnsi="Times New Roman"/>
          <w:sz w:val="18"/>
          <w:szCs w:val="18"/>
          <w:color w:val="auto"/>
        </w:rPr>
        <w:t xml:space="preserve">. Subject to the limitations described in </w:t>
      </w:r>
      <w:r>
        <w:rPr>
          <w:rFonts w:ascii="Times New Roman" w:cs="Times New Roman" w:eastAsia="Times New Roman" w:hAnsi="Times New Roman"/>
          <w:sz w:val="18"/>
          <w:szCs w:val="18"/>
          <w:u w:val="single" w:color="auto"/>
          <w:color w:val="auto"/>
        </w:rPr>
        <w:t>Section 19</w:t>
      </w:r>
      <w:r>
        <w:rPr>
          <w:rFonts w:ascii="Times New Roman" w:cs="Times New Roman" w:eastAsia="Times New Roman" w:hAnsi="Times New Roman"/>
          <w:sz w:val="18"/>
          <w:szCs w:val="18"/>
          <w:color w:val="auto"/>
        </w:rPr>
        <w:t xml:space="preserve"> hereof, the Agents are entitled to sue as plaintiff in the court of the jurisdiction of formation and domicile of the Company for the enforcement of its rights under this Agreement and the Placement Shares and such access to such courts will not be subject to any conditions which are not applicable to residents of such jurisdiction or a company incorporated in such jurisdiction except that plaintiffs not residing in the Cayman Islands may be required to guarantee payment of a possible order for payment of costs or damages at the request of the defendant.</w:t>
      </w:r>
    </w:p>
    <w:p>
      <w:pPr>
        <w:spacing w:after="0" w:line="183"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Issuer</w:t>
      </w:r>
      <w:r>
        <w:rPr>
          <w:rFonts w:ascii="Times New Roman" w:cs="Times New Roman" w:eastAsia="Times New Roman" w:hAnsi="Times New Roman"/>
          <w:sz w:val="18"/>
          <w:szCs w:val="18"/>
          <w:color w:val="auto"/>
        </w:rPr>
        <w:t>. The Company is a “foreign private issuer” as defined in Rule 405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ind w:left="-1120" w:firstLine="1304"/>
        <w:spacing w:after="0" w:line="282" w:lineRule="auto"/>
        <w:tabs>
          <w:tab w:leader="none" w:pos="50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Reliance</w:t>
      </w:r>
      <w:r>
        <w:rPr>
          <w:rFonts w:ascii="Times New Roman" w:cs="Times New Roman" w:eastAsia="Times New Roman" w:hAnsi="Times New Roman"/>
          <w:sz w:val="18"/>
          <w:szCs w:val="18"/>
          <w:color w:val="auto"/>
        </w:rPr>
        <w:t>. The Company has not relied upon any Agent or legal counsel for the Agents for any legal, tax or accounting advice in connection with the offering and sale of the Placement Shares.</w:t>
      </w:r>
    </w:p>
    <w:p>
      <w:pPr>
        <w:spacing w:after="0" w:line="161" w:lineRule="exact"/>
        <w:rPr>
          <w:rFonts w:ascii="Times New Roman" w:cs="Times New Roman" w:eastAsia="Times New Roman" w:hAnsi="Times New Roman"/>
          <w:sz w:val="18"/>
          <w:szCs w:val="18"/>
          <w:color w:val="auto"/>
        </w:rPr>
      </w:pPr>
    </w:p>
    <w:p>
      <w:pPr>
        <w:ind w:left="-1120" w:firstLine="1304"/>
        <w:spacing w:after="0" w:line="282" w:lineRule="auto"/>
        <w:tabs>
          <w:tab w:leader="none" w:pos="53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Underwriter Agreements</w:t>
      </w:r>
      <w:r>
        <w:rPr>
          <w:rFonts w:ascii="Times New Roman" w:cs="Times New Roman" w:eastAsia="Times New Roman" w:hAnsi="Times New Roman"/>
          <w:sz w:val="18"/>
          <w:szCs w:val="18"/>
          <w:color w:val="auto"/>
        </w:rPr>
        <w:t>. Other than with respect to this Agreement and the Committed Equity Facility, the Company is not a party to any agreement with an agent or underwriter for any other “at the market” or continuous equity transaction.</w:t>
      </w:r>
    </w:p>
    <w:p>
      <w:pPr>
        <w:spacing w:after="0" w:line="161" w:lineRule="exact"/>
        <w:rPr>
          <w:rFonts w:ascii="Times New Roman" w:cs="Times New Roman" w:eastAsia="Times New Roman" w:hAnsi="Times New Roman"/>
          <w:sz w:val="18"/>
          <w:szCs w:val="18"/>
          <w:color w:val="auto"/>
        </w:rPr>
      </w:pPr>
    </w:p>
    <w:p>
      <w:pPr>
        <w:jc w:val="both"/>
        <w:ind w:left="-1120" w:firstLine="1304"/>
        <w:spacing w:after="0" w:line="266" w:lineRule="auto"/>
        <w:tabs>
          <w:tab w:leader="none" w:pos="50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Forward-Looking Statements</w:t>
      </w:r>
      <w:r>
        <w:rPr>
          <w:rFonts w:ascii="Times New Roman" w:cs="Times New Roman" w:eastAsia="Times New Roman" w:hAnsi="Times New Roman"/>
          <w:sz w:val="18"/>
          <w:szCs w:val="18"/>
          <w:color w:val="auto"/>
        </w:rPr>
        <w:t>. No forward-looking statement (within the meaning of Section 27A of the Securities Act and Section 21E of the Exchange Act) contained in the Registration Statement and the Prospectus has been made or reaffirmed without a reasonable basis or has been disclosed other than in good faith.</w:t>
      </w:r>
    </w:p>
    <w:p>
      <w:pPr>
        <w:spacing w:after="0" w:line="175" w:lineRule="exact"/>
        <w:rPr>
          <w:rFonts w:ascii="Times New Roman" w:cs="Times New Roman" w:eastAsia="Times New Roman" w:hAnsi="Times New Roman"/>
          <w:sz w:val="18"/>
          <w:szCs w:val="18"/>
          <w:color w:val="auto"/>
        </w:rPr>
      </w:pPr>
    </w:p>
    <w:p>
      <w:pPr>
        <w:jc w:val="both"/>
        <w:ind w:left="-1120" w:firstLine="1304"/>
        <w:spacing w:after="0" w:line="261" w:lineRule="auto"/>
        <w:tabs>
          <w:tab w:leader="none" w:pos="53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 Neither the Company nor any of its subsidiaries has sent or received any communication regarding termination of, or, where applicable, intent not to renew, any of the material contracts or agreements referred to or described in the Registration Statement and the Prospectus or filed as an exhibit to the Annual Report, and no such termination or nonrenewal has been threatened by the Company or any of its subsidiaries or, to the Knowledge of the Company, by any other party to any such contract or agreement.</w:t>
      </w:r>
    </w:p>
    <w:p>
      <w:pPr>
        <w:spacing w:after="0" w:line="179" w:lineRule="exact"/>
        <w:rPr>
          <w:rFonts w:ascii="Times New Roman" w:cs="Times New Roman" w:eastAsia="Times New Roman" w:hAnsi="Times New Roman"/>
          <w:sz w:val="18"/>
          <w:szCs w:val="18"/>
          <w:color w:val="auto"/>
        </w:rPr>
      </w:pPr>
    </w:p>
    <w:p>
      <w:pPr>
        <w:jc w:val="both"/>
        <w:ind w:left="-1120" w:firstLine="1304"/>
        <w:spacing w:after="0" w:line="258" w:lineRule="auto"/>
        <w:tabs>
          <w:tab w:leader="none" w:pos="51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Except as disclosed in the Registration Statement and the Prospectus, there are no contracts, agreements or understandings between the Company and any person granting such person the right to require the Company to file a registration statement under the Securities Act with respect to any securities of the Company owned or to be owned by such person or to require the Company to include such securities in the securities registered pursuant to a registration statement or in any securities being registered pursuant to any other registration statement filed by the Company under the Securities Act.</w:t>
      </w:r>
    </w:p>
    <w:p>
      <w:pPr>
        <w:spacing w:after="0" w:line="183" w:lineRule="exact"/>
        <w:rPr>
          <w:rFonts w:ascii="Times New Roman" w:cs="Times New Roman" w:eastAsia="Times New Roman" w:hAnsi="Times New Roman"/>
          <w:sz w:val="18"/>
          <w:szCs w:val="18"/>
          <w:color w:val="auto"/>
        </w:rPr>
      </w:pPr>
    </w:p>
    <w:p>
      <w:pPr>
        <w:ind w:left="440" w:hanging="256"/>
        <w:spacing w:after="0"/>
        <w:tabs>
          <w:tab w:leader="none" w:pos="4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 Act Reporting Status</w:t>
      </w:r>
      <w:r>
        <w:rPr>
          <w:rFonts w:ascii="Times New Roman" w:cs="Times New Roman" w:eastAsia="Times New Roman" w:hAnsi="Times New Roman"/>
          <w:sz w:val="18"/>
          <w:szCs w:val="18"/>
          <w:color w:val="auto"/>
        </w:rPr>
        <w:t>. The Company is subject to Section 13 or 15(d) of the Exchange Act.</w:t>
      </w:r>
    </w:p>
    <w:p>
      <w:pPr>
        <w:spacing w:after="0" w:line="225" w:lineRule="exact"/>
        <w:rPr>
          <w:rFonts w:ascii="Times New Roman" w:cs="Times New Roman" w:eastAsia="Times New Roman" w:hAnsi="Times New Roman"/>
          <w:sz w:val="18"/>
          <w:szCs w:val="18"/>
          <w:color w:val="auto"/>
        </w:rPr>
      </w:pPr>
    </w:p>
    <w:p>
      <w:pPr>
        <w:ind w:left="-1120" w:right="20" w:firstLine="1304"/>
        <w:spacing w:after="0" w:line="282" w:lineRule="auto"/>
        <w:tabs>
          <w:tab w:leader="none" w:pos="53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Debt Securities</w:t>
      </w:r>
      <w:r>
        <w:rPr>
          <w:rFonts w:ascii="Times New Roman" w:cs="Times New Roman" w:eastAsia="Times New Roman" w:hAnsi="Times New Roman"/>
          <w:sz w:val="18"/>
          <w:szCs w:val="18"/>
          <w:color w:val="auto"/>
        </w:rPr>
        <w:t>. The Company has not issued any debt securities that have been or are rated by any “nationally recognized statistical rating organization”, as defined in Section 3(a)(62) of the Exchange Act.</w:t>
      </w:r>
    </w:p>
    <w:p>
      <w:pPr>
        <w:spacing w:after="0" w:line="161" w:lineRule="exact"/>
        <w:rPr>
          <w:rFonts w:ascii="Times New Roman" w:cs="Times New Roman" w:eastAsia="Times New Roman" w:hAnsi="Times New Roman"/>
          <w:sz w:val="18"/>
          <w:szCs w:val="18"/>
          <w:color w:val="auto"/>
        </w:rPr>
      </w:pPr>
    </w:p>
    <w:p>
      <w:pPr>
        <w:jc w:val="both"/>
        <w:ind w:left="-1120" w:firstLine="1304"/>
        <w:spacing w:after="0" w:line="258" w:lineRule="auto"/>
        <w:tabs>
          <w:tab w:leader="none" w:pos="53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 Controls</w:t>
      </w:r>
      <w:r>
        <w:rPr>
          <w:rFonts w:ascii="Times New Roman" w:cs="Times New Roman" w:eastAsia="Times New Roman" w:hAnsi="Times New Roman"/>
          <w:sz w:val="18"/>
          <w:szCs w:val="18"/>
          <w:color w:val="auto"/>
        </w:rPr>
        <w:t>. The Company maintains a system of “disclosure controls and procedures” (as defined in Rule 13a-15(e) under the Exchange Act) that is designed to ensure that material information relating to the Company and its subsidiaries is made known to the Company’s management as appropriate. The Company has carried out evaluations of the effectiveness of its disclosure controls and procedures as required by Rule 13a-15 under the Exchange Act. The Company’s disclosure controls and procedures were effective as of the last day of each fiscal year from and including December 31, 2023.</w:t>
      </w:r>
    </w:p>
    <w:p>
      <w:pPr>
        <w:spacing w:after="0" w:line="183" w:lineRule="exact"/>
        <w:rPr>
          <w:rFonts w:ascii="Times New Roman" w:cs="Times New Roman" w:eastAsia="Times New Roman" w:hAnsi="Times New Roman"/>
          <w:sz w:val="18"/>
          <w:szCs w:val="18"/>
          <w:color w:val="auto"/>
        </w:rPr>
      </w:pPr>
    </w:p>
    <w:p>
      <w:pPr>
        <w:jc w:val="both"/>
        <w:ind w:left="-1120" w:firstLine="1304"/>
        <w:spacing w:after="0" w:line="252" w:lineRule="auto"/>
        <w:tabs>
          <w:tab w:leader="none" w:pos="41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Accurate Summary</w:t>
      </w:r>
      <w:r>
        <w:rPr>
          <w:rFonts w:ascii="Times New Roman" w:cs="Times New Roman" w:eastAsia="Times New Roman" w:hAnsi="Times New Roman"/>
          <w:sz w:val="18"/>
          <w:szCs w:val="18"/>
          <w:color w:val="auto"/>
        </w:rPr>
        <w:t>. The statements in the Registration Statement and the Prospectus under the headings “Risk Factors,” “Description of Securities,” “Forms of Securities,” and “Tax Considerations” insofar as such statements summarize legal matters, agreements, documents or proceedings discussed therein, are accurate and fair summaries of such legal matters, agreements, documents or proceedings in all material respects. The preceding sentence, insofar as it relates to statements in the Registration Statement and the Prospectus under the heading “Plan of Distribution” does not apply to Agents’ Information. The statements set forth in the Annual Report under the headings “Item 4. Information on the Company - B. Business Overview,” “Item 5. Operating and Financial Review and Prospects - A.- Operating Results - Liquidity and Capital Resources,” “Item 6. Directors, Senior Management and Employees - B. Compensation,” “Item 6. Directors, Senior Management and Employees - C. Board Practices,” “Item 8. Financial Information – A. Consolidated Statements and Other Financial Information - Legal Proceedings,” “Item 10. Additional Information - B. Memorandum and Articles of Association” and “Item 10. Additional Information - E. Taxation,” as supplemented or modified by the information included in the Registration Statement and the Prospectus, and the statements set forth in Exhibit 99.1 filed as part of the interim report on Form 6-K as filed with the Commission on May 14, 2024, Exhibit 99.1 filed as part of the interim report on Form 6-K as filed with the Commission on August 12, 2024 and Exhibit 99.1 filed as part of the interim report on Form 6-K filed with the Commission on November 18, 2024, insofar as such statements summarize legal matters, agreements, documents or proceedings discussed therein, are accurate and fair summaries of such legal matters, agreements, documents or proceedings in all material respects.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386715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20" w:name="page21"/>
    <w:bookmarkEnd w:id="20"/>
    <w:p>
      <w:pPr>
        <w:jc w:val="both"/>
        <w:ind w:firstLine="1304"/>
        <w:spacing w:after="0" w:line="261" w:lineRule="auto"/>
        <w:tabs>
          <w:tab w:leader="none" w:pos="153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Statistical, Industry and Market-Related Data</w:t>
      </w:r>
      <w:r>
        <w:rPr>
          <w:rFonts w:ascii="Times New Roman" w:cs="Times New Roman" w:eastAsia="Times New Roman" w:hAnsi="Times New Roman"/>
          <w:sz w:val="18"/>
          <w:szCs w:val="18"/>
          <w:color w:val="auto"/>
        </w:rPr>
        <w:t>. Any third-party statistical, industry and market-related data included or incorporated by reference in the Registration Statement and the Prospectus are based on or derived from sources that the Company believes to be reliable and accurate, and such data agree with the sources from which they are derived. The Company has obtained written consents for the use of such data from such sources to the extent required as determined in the Company’s reasonable discretion.</w:t>
      </w:r>
    </w:p>
    <w:p>
      <w:pPr>
        <w:spacing w:after="0" w:line="179" w:lineRule="exact"/>
        <w:rPr>
          <w:rFonts w:ascii="Times New Roman" w:cs="Times New Roman" w:eastAsia="Times New Roman" w:hAnsi="Times New Roman"/>
          <w:sz w:val="18"/>
          <w:szCs w:val="18"/>
          <w:color w:val="auto"/>
        </w:rPr>
      </w:pPr>
    </w:p>
    <w:p>
      <w:pPr>
        <w:jc w:val="both"/>
        <w:ind w:right="20" w:firstLine="1304"/>
        <w:spacing w:after="0" w:line="312" w:lineRule="auto"/>
        <w:tabs>
          <w:tab w:leader="none" w:pos="165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Directors and Officers</w:t>
      </w:r>
      <w:r>
        <w:rPr>
          <w:rFonts w:ascii="Times New Roman" w:cs="Times New Roman" w:eastAsia="Times New Roman" w:hAnsi="Times New Roman"/>
          <w:sz w:val="17"/>
          <w:szCs w:val="17"/>
          <w:color w:val="auto"/>
        </w:rPr>
        <w:t>. To the Company’s Knowledge, the Company’s directors and executive officers are not a party to any legal, governmental or regulatory proceedings that would result in such director or officer to be unsuitable for his or her position on the Board or in the Company.</w:t>
      </w:r>
    </w:p>
    <w:p>
      <w:pPr>
        <w:spacing w:after="0" w:line="139" w:lineRule="exact"/>
        <w:rPr>
          <w:rFonts w:ascii="Times New Roman" w:cs="Times New Roman" w:eastAsia="Times New Roman" w:hAnsi="Times New Roman"/>
          <w:sz w:val="17"/>
          <w:szCs w:val="17"/>
          <w:color w:val="auto"/>
        </w:rPr>
      </w:pPr>
    </w:p>
    <w:p>
      <w:pPr>
        <w:jc w:val="both"/>
        <w:ind w:firstLine="1304"/>
        <w:spacing w:after="0" w:line="254" w:lineRule="auto"/>
        <w:tabs>
          <w:tab w:leader="none" w:pos="154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Accounting Policies</w:t>
      </w:r>
      <w:r>
        <w:rPr>
          <w:rFonts w:ascii="Times New Roman" w:cs="Times New Roman" w:eastAsia="Times New Roman" w:hAnsi="Times New Roman"/>
          <w:sz w:val="18"/>
          <w:szCs w:val="18"/>
          <w:color w:val="auto"/>
        </w:rPr>
        <w:t>. The section entitled “Item 5. Operating and Financial Review and Prospects - A. Operating Results - Critical Accounting Policies and Significant Judgments and Estimates” in the Annual Report, as updated by the Registration Statement and the Prospectus, fairly and accurately describes (i) material accounting policies that the Company believes are the most significant in the portrayal of the Company’s financial condition and results of operations and that require management’s most difficult, subjective or complex judgments, (ii) material judgments, estimates and uncertainties affecting the application of the foregoing critical accounting policies and (iii) the likelihood that different amounts would be reported under different conditions or using different assumptions and an explanation thereof (to the extent required to be so disclosed). The Company’s directors and management have reviewed and agreed with the selection, application and disclosure of the Company’s critical accounting policies as described in the Annual Report, the Registration Statement and the Prospectus.</w:t>
      </w:r>
    </w:p>
    <w:p>
      <w:pPr>
        <w:spacing w:after="0" w:line="19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80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Trends and Off-Balance Sheet Disclosure</w:t>
      </w:r>
      <w:r>
        <w:rPr>
          <w:rFonts w:ascii="Times New Roman" w:cs="Times New Roman" w:eastAsia="Times New Roman" w:hAnsi="Times New Roman"/>
          <w:sz w:val="18"/>
          <w:szCs w:val="18"/>
          <w:color w:val="auto"/>
        </w:rPr>
        <w:t>. The Registration Statement and the Prospectus fairly and accurately describe all material trends, demands, commitments and events known to the Company, that the Company believes would materially affect its liquidity and are reasonably likely to occur. The Registration Statement and the Prospectus fairly and accurately describe in all material respects all off-balance sheet transactions, arrangements, commitments and obligations of the Company and its subsidiaries.</w:t>
      </w:r>
    </w:p>
    <w:p>
      <w:pPr>
        <w:spacing w:after="0" w:line="180" w:lineRule="exact"/>
        <w:rPr>
          <w:sz w:val="20"/>
          <w:szCs w:val="20"/>
          <w:color w:val="auto"/>
        </w:rPr>
      </w:pPr>
    </w:p>
    <w:p>
      <w:pPr>
        <w:ind w:left="1300" w:right="180" w:firstLine="4"/>
        <w:spacing w:after="0" w:line="500" w:lineRule="auto"/>
        <w:tabs>
          <w:tab w:leader="none" w:pos="1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 a Shell Company</w:t>
      </w:r>
      <w:r>
        <w:rPr>
          <w:rFonts w:ascii="Times New Roman" w:cs="Times New Roman" w:eastAsia="Times New Roman" w:hAnsi="Times New Roman"/>
          <w:sz w:val="18"/>
          <w:szCs w:val="18"/>
          <w:color w:val="auto"/>
        </w:rPr>
        <w:t xml:space="preserve">. The Company ceased to be an issuer as described in Rule 144(i)(1)(i) of the Securities Act on March 9, 2024. nnn. </w:t>
      </w:r>
      <w:r>
        <w:rPr>
          <w:rFonts w:ascii="Times New Roman" w:cs="Times New Roman" w:eastAsia="Times New Roman" w:hAnsi="Times New Roman"/>
          <w:sz w:val="18"/>
          <w:szCs w:val="18"/>
          <w:u w:val="single" w:color="auto"/>
          <w:color w:val="auto"/>
        </w:rPr>
        <w:t>Not a “Legal Entity Customer”</w:t>
      </w:r>
      <w:r>
        <w:rPr>
          <w:rFonts w:ascii="Times New Roman" w:cs="Times New Roman" w:eastAsia="Times New Roman" w:hAnsi="Times New Roman"/>
          <w:sz w:val="18"/>
          <w:szCs w:val="18"/>
          <w:color w:val="auto"/>
        </w:rPr>
        <w:t>. The Company is not a “legal entity customer” for the purposes of 31 CFR § 1010.230(e).</w:t>
      </w:r>
    </w:p>
    <w:p>
      <w:pPr>
        <w:spacing w:after="0" w:line="2" w:lineRule="exact"/>
        <w:rPr>
          <w:sz w:val="20"/>
          <w:szCs w:val="20"/>
          <w:color w:val="auto"/>
        </w:rPr>
      </w:pPr>
    </w:p>
    <w:p>
      <w:pPr>
        <w:ind w:left="20" w:right="20" w:firstLine="635"/>
        <w:spacing w:after="0" w:line="282" w:lineRule="auto"/>
        <w:rPr>
          <w:sz w:val="20"/>
          <w:szCs w:val="20"/>
          <w:color w:val="auto"/>
        </w:rPr>
      </w:pPr>
      <w:r>
        <w:rPr>
          <w:rFonts w:ascii="Times New Roman" w:cs="Times New Roman" w:eastAsia="Times New Roman" w:hAnsi="Times New Roman"/>
          <w:sz w:val="18"/>
          <w:szCs w:val="18"/>
          <w:color w:val="auto"/>
        </w:rPr>
        <w:t>Any certificate signed by an officer of the Company and delivered to the Agents or to counsel for the Agents pursuant to or in connection with this Agreement shall be deemed to be a representation and warranty by the Company, as applicable, to the Agents as to the matters set forth therein.</w:t>
      </w:r>
    </w:p>
    <w:p>
      <w:pPr>
        <w:spacing w:after="0" w:line="162" w:lineRule="exact"/>
        <w:rPr>
          <w:sz w:val="20"/>
          <w:szCs w:val="20"/>
          <w:color w:val="auto"/>
        </w:rPr>
      </w:pPr>
    </w:p>
    <w:p>
      <w:pPr>
        <w:ind w:left="840" w:hanging="184"/>
        <w:spacing w:after="0"/>
        <w:tabs>
          <w:tab w:leader="none" w:pos="8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Covenants of the Company</w:t>
      </w:r>
      <w:r>
        <w:rPr>
          <w:rFonts w:ascii="Times New Roman" w:cs="Times New Roman" w:eastAsia="Times New Roman" w:hAnsi="Times New Roman"/>
          <w:sz w:val="18"/>
          <w:szCs w:val="18"/>
          <w:color w:val="auto"/>
        </w:rPr>
        <w:t>. The Company covenants and agrees with the Agents that:</w:t>
      </w:r>
    </w:p>
    <w:p>
      <w:pPr>
        <w:spacing w:after="0" w:line="225" w:lineRule="exact"/>
        <w:rPr>
          <w:rFonts w:ascii="Times New Roman" w:cs="Times New Roman" w:eastAsia="Times New Roman" w:hAnsi="Times New Roman"/>
          <w:sz w:val="18"/>
          <w:szCs w:val="18"/>
          <w:color w:val="auto"/>
        </w:rPr>
      </w:pPr>
    </w:p>
    <w:p>
      <w:pPr>
        <w:jc w:val="both"/>
        <w:ind w:firstLine="1296"/>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Registration Statement Amendments</w:t>
      </w:r>
      <w:r>
        <w:rPr>
          <w:rFonts w:ascii="Times New Roman" w:cs="Times New Roman" w:eastAsia="Times New Roman" w:hAnsi="Times New Roman"/>
          <w:sz w:val="18"/>
          <w:szCs w:val="18"/>
          <w:color w:val="auto"/>
        </w:rPr>
        <w:t>. After the date of this Agreement and during any period in which a Prospectus relating to any Placement Shares is required to be delivered by the Agents under the Securities Act (including in circumstances where such requirement may be satisfied pursuant to Rule 172 under the Securities Act) (the “</w:t>
      </w:r>
      <w:r>
        <w:rPr>
          <w:rFonts w:ascii="Times New Roman" w:cs="Times New Roman" w:eastAsia="Times New Roman" w:hAnsi="Times New Roman"/>
          <w:sz w:val="18"/>
          <w:szCs w:val="18"/>
          <w:u w:val="single" w:color="auto"/>
          <w:color w:val="auto"/>
        </w:rPr>
        <w:t>Prospectus Delivery Period</w:t>
      </w:r>
      <w:r>
        <w:rPr>
          <w:rFonts w:ascii="Times New Roman" w:cs="Times New Roman" w:eastAsia="Times New Roman" w:hAnsi="Times New Roman"/>
          <w:sz w:val="18"/>
          <w:szCs w:val="18"/>
          <w:color w:val="auto"/>
        </w:rPr>
        <w:t>”) (i) the Company will notify the Agents promptly of the time when any subsequent amendment to the Registration Statement, other than documents incorporated by reference or amendments not related to any Placement, has been filed with the Commission and/or has become effective or any subsequent supplement to the Prospectus has been filed and of any request by the Commission for any amendment or supplement to the Registration Statement or Prospectus related to the Placement or for additional information related to the Placement, (ii) the Company will prepare and file with the Commission, promptly upon the Agents’ reasonable request, any amendments or supplements to the Registration Statement or Prospectus that, upon the advice of the Company’s legal counsel, may be necessary or advisable in connection with the distribution of the Placement Shares by the Agents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failure of the Agents to make such request shall not relieve the Company of any obligation or liability hereunder, or affect the Agents’ right to rely on the representations and warranties made by the Company in this Agreement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the only remedy the Agents shall have with respect to the failure to make such filing shall be to cease making sales under this Agreement until such amendment or supplement is filed); (iii) the Company will not file any amendment or supplement to the Registration Statement or Prospectus relating to the Placement Shares or a security convertible into the Placement Shares (other than an Incorporated Document) unless a copy thereof has been submitted to the Agents within a reasonable period of time before the filing and the Agents have not reasonably objected thereto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 the failure of the Agents to make such objection shall not relieve the Company of any obligation or liability hereunder, or affect the Agents’ right to rely on the representations and warranties made by the Company in this Agreement and (B) the Company has no obligation to provide the Agents any advance copy of such filing or to provide the Agents an opportunity to object to such filing if the filing does not name the Agents or does not relate to the transaction herein provided;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the only remedy the Agents shall have with respect to the failure by the Company to obtain such consent shall be to cease making sales under this Agreement) and the Company will furnish to the Agents at the time of filing thereof a copy of any document that upon filing is deemed to be incorporated by reference into the Registration Statement or Prospectus, except for those documents available via EDGAR; and (iv) the Company will cause each amendment or supplement to the Prospectus to be filed with the Commission as required pursuant to the applicable paragraph of Rule 424(b) of the Securities Act or, in the case of any document to be incorporated therein by reference, to be filed with the Commission as required pursuant to the Exchange Act, within the time period prescribed (the determination to file or not file any amendment or supplement with the Commission under this </w:t>
      </w:r>
      <w:r>
        <w:rPr>
          <w:rFonts w:ascii="Times New Roman" w:cs="Times New Roman" w:eastAsia="Times New Roman" w:hAnsi="Times New Roman"/>
          <w:sz w:val="18"/>
          <w:szCs w:val="18"/>
          <w:u w:val="single" w:color="auto"/>
          <w:color w:val="auto"/>
        </w:rPr>
        <w:t>Section 7(a)</w:t>
      </w:r>
      <w:r>
        <w:rPr>
          <w:rFonts w:ascii="Times New Roman" w:cs="Times New Roman" w:eastAsia="Times New Roman" w:hAnsi="Times New Roman"/>
          <w:sz w:val="18"/>
          <w:szCs w:val="18"/>
          <w:color w:val="auto"/>
        </w:rPr>
        <w:t>, based on the Company’s reasonable opinion or reasonable objections, shall be made exclusively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Notice of Commission Stop Orders</w:t>
      </w:r>
      <w:r>
        <w:rPr>
          <w:rFonts w:ascii="Times New Roman" w:cs="Times New Roman" w:eastAsia="Times New Roman" w:hAnsi="Times New Roman"/>
          <w:sz w:val="18"/>
          <w:szCs w:val="18"/>
          <w:color w:val="auto"/>
        </w:rPr>
        <w:t>. The Company will advise the Agents, promptly after it receives notice or obtains Knowledge thereof, of the issuance or threatened issuance by the Commission of any stop order suspending the effectiveness of the Registration Statement, of the suspension of the qualification of the Placement Shares for offering or sale in any jurisdiction, or of the initiation or threatening of any proceeding for any such purpose; and it will use its commercially reasonable efforts to prevent the issuance of any stop order or to obtain its withdrawal if such a stop order should be issued. The Company will advise the Agents promptly after it receives any request by the Commission for any amendments to the Registration Statement or any amendment or supplements to the Prospectus or any Issuer Free Writing Prospectus or for additional information related to the offering of the Placement Shares or for additional information related to the Registration Statement, the Prospectus or any Issuer Free Writing Prospectus.</w:t>
      </w:r>
    </w:p>
    <w:p>
      <w:pPr>
        <w:spacing w:after="0" w:line="189"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Delivery of Prospectus; Subsequent Changes</w:t>
      </w:r>
      <w:r>
        <w:rPr>
          <w:rFonts w:ascii="Times New Roman" w:cs="Times New Roman" w:eastAsia="Times New Roman" w:hAnsi="Times New Roman"/>
          <w:sz w:val="18"/>
          <w:szCs w:val="18"/>
          <w:color w:val="auto"/>
        </w:rPr>
        <w:t xml:space="preserve">. During the Prospectus Delivery Period, the Company will comply with all requirements imposed upon it by the Securities Act, as from time to time in force, and to file on or before their respective due dates all reports and any definitive proxy or information statements required to be filed by the Company with the Commission pursuant to Sections 13(a), 13(c), 14, 15(d) or any other provision of or under the Exchange Act. If the Company has omitted any information from the Registration Statement pursuant to Rule 430B under the Securities Act, it will use its commercially reasonable efforts to comply with the provisions of and make all requisite filings with the Commission pursuant to said Rule 430B and to notify the Agents promptly of all such filings if not available on EDGAR. If during the Prospectus Delivery Period any event occurs as a result of which the Prospectus as then amended or supplemented would include an untrue statement of a material fact or omit to state a material fact necessary to make the statements therein, in the light of the circumstances then existing, not misleading, or if during such Prospectus Delivery Period it is necessary to amend or supplement the Registration Statement or Prospectus to comply with the Securities Act, the Company will promptly notify the Designated Agent to suspend the offering of Placement Shares during such period and the Company will promptly amend or supplement the Registration Statement or Prospectus (at the expense of the Company) so as to correct such statement or omission or effect such compliance;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Company may delay the filing of any amendment or supplement, if in the judgment of the Company, it is in the best interest of the Company; provided, however, that the Company may delay any such amendment or supplement if, in the reasonable judgment of the Company, it is in the interests of the Company to do so. Until such time as the Company shall have corrected such misstatement or omission or effected such compliance, the Company shall not notify the Agents to resume the offering of Placement Shares.</w:t>
      </w:r>
    </w:p>
    <w:p>
      <w:pPr>
        <w:spacing w:after="0" w:line="19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Listing of Placement Shares</w:t>
      </w:r>
      <w:r>
        <w:rPr>
          <w:rFonts w:ascii="Times New Roman" w:cs="Times New Roman" w:eastAsia="Times New Roman" w:hAnsi="Times New Roman"/>
          <w:sz w:val="18"/>
          <w:szCs w:val="18"/>
          <w:color w:val="auto"/>
        </w:rPr>
        <w:t xml:space="preserve">. During the Prospectus Delivery Period, the Company will use its commercially reasonable efforts to cause the Placement Shares to be listed on the Exchange and to qualify the Placement Shares for sale under the securities laws of such jurisdictions in the United States as the Agents reasonably designates and to continue such qualifications in effect so long as required for the distribution of the Placement Shares;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Company shall not be required in connection therewith to qualify as a foreign corporation or dealer in securities, file a general consent to service of process, or subject itself to taxation in any jurisdiction if it is not otherwise so subject.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Delivery of Registration Statement and Prospectus</w:t>
      </w:r>
      <w:r>
        <w:rPr>
          <w:rFonts w:ascii="Times New Roman" w:cs="Times New Roman" w:eastAsia="Times New Roman" w:hAnsi="Times New Roman"/>
          <w:sz w:val="18"/>
          <w:szCs w:val="18"/>
          <w:color w:val="auto"/>
        </w:rPr>
        <w:t xml:space="preserve">. The Company will furnish to the Agents and their counsel (at the reasonable expense of the Company) copies of the Registration Statement, the Prospectus (including all documents incorporated by reference therein) and all amendments and supplements to the Registration Statement or Prospectus that are filed with the Commission during the Prospectus Delivery Period (including all documents filed with the Commission during such period that are deemed to be incorporated by reference therein), in each case as soon as reasonably practicable and in such quantities as the Agents may from time to time reasonably request and, at the Agents’ request, will also furnish copies of the Prospectus to each exchange or market on which sales of the Placement Shares may be made;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Company shall not be required to furnish any document (other than the Prospectus) to the Agents to the extent such document is available on EDGAR.</w:t>
      </w:r>
    </w:p>
    <w:p>
      <w:pPr>
        <w:spacing w:after="0" w:line="18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Earnings Statement</w:t>
      </w:r>
      <w:r>
        <w:rPr>
          <w:rFonts w:ascii="Times New Roman" w:cs="Times New Roman" w:eastAsia="Times New Roman" w:hAnsi="Times New Roman"/>
          <w:sz w:val="18"/>
          <w:szCs w:val="18"/>
          <w:color w:val="auto"/>
        </w:rPr>
        <w:t xml:space="preserve">. The Company will make generally available to its security holders as soon as practicable, but in any event not later than 15 months after the end of the Company’s current fiscal quarter, an earnings statement covering a 12-month period that satisfies the provisions of Section 11(a) and Rule 158 of the Securities Act;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will be deemed to have furnished such statement to its security holders and the Agents to the extent it is available on EDGAR.</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Company will use the Net Proceeds as described in the Prospectus in the section entitled “Use of Proceeds.”</w:t>
      </w:r>
    </w:p>
    <w:p>
      <w:pPr>
        <w:spacing w:after="0" w:line="225"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h. </w:t>
      </w:r>
      <w:r>
        <w:rPr>
          <w:rFonts w:ascii="Times New Roman" w:cs="Times New Roman" w:eastAsia="Times New Roman" w:hAnsi="Times New Roman"/>
          <w:sz w:val="18"/>
          <w:szCs w:val="18"/>
          <w:u w:val="single" w:color="auto"/>
          <w:color w:val="auto"/>
        </w:rPr>
        <w:t>Notice of Other Sales</w:t>
      </w:r>
      <w:r>
        <w:rPr>
          <w:rFonts w:ascii="Times New Roman" w:cs="Times New Roman" w:eastAsia="Times New Roman" w:hAnsi="Times New Roman"/>
          <w:sz w:val="18"/>
          <w:szCs w:val="18"/>
          <w:color w:val="auto"/>
        </w:rPr>
        <w:t xml:space="preserve">. Without the prior written consent of the Agents, the Company will not, directly or indirectly, offer to sell, sell, contract to sell, grant any option to sell or otherwise dispose of any Ordinary Shares (other than the Placement Shares offered pursuant to this Agreement) or securities convertible into or exchangeable for Ordinary Shares, warrants or any rights to purchase or acquire, Ordinary Shares during the period beginning on the date on which any Placement Notice is delivered to the Agents hereunder and ending on the second (2nd) Trading Day immediately following the final Settlement Date with respect to Placement Shares sold pursuant to such Placement Notice (or, if the Placement Notice has been terminated or suspended prior to the sale of all Placement Shares covered by a Placement Notice, the date of such suspension or termination); and will not directly or indirectly in any other “at the market” or continuous equity transaction offer to sell, sell, contract to sell, grant any option to sell or otherwise dispose of any Ordinary Shares (other than the Placement Shares offered pursuant to this Agreement) or securities convertible into or exchangeable for Ordinary Shares, warrants or any rights to purchase or acquire, Ordinary Shares prior to the termination of this Agreement;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such restrictions will not apply in connection with the Company’s issuance or sale of (i) Ordinary Shares, options to purchase Ordinary Shares or Ordinary Shares issuable upon the exercise of options, including any Ordinary Shares sold on behalf of an employee to cover tax withholding obligations, pursuant to any stock option, or benefits plan, stock ownership plan or dividend reinvestment plan (but not Ordinary Shares subject to a waiver to exceed plan limits in its dividend reinvestment plan) of the Company whether now in effect or hereafter implemented; (ii) Ordinary Shares issuable upon conversion of securities or the exercise of warrants, options or other rights in effect or outstanding, and disclosed in filings by the Company available on EDGAR or otherwise in writing to the Agents, (iii) Ordinary Shares, or securities convertible into or exercisable for Ordinary Shares, offered and sold in a privately negotiated transaction to vendors, customers, strategic partners or potential strategic partners or other investors conducted in a manner so as not to be integrated with the offering of Ordinary Shares hereby, (iv) Ordinary Shares in connection with any acquisition, strategic investment or other similar transaction (including any joint venture, strategic alliance or partnership) and (v) Ordinary Shares pursuant to the Committed Equity Facility or the Prior Sales Agreement,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upon the issuance by the Company of the first Placement Notice hereunder, the Company shall no longer offer, issue or sell (other than the settlement of any Ordinary Shares issuances for sales made prior to the delivery of such first Placement Notice) Ordinary Shares pursuant to the Prior Sales Agreement. Notwithstanding the foregoing provisions, nothing herein shall be construed to restrict the Company’s ability, or require the consent of any Agent, to file a registration statement under the Securities Act. Notwithstanding anything to the contrary, during the term of this Agreement, the Company will not give a VWAP Purchase Notice or an Intraday VWAP Purchase Notice (as each such term is defined in the Ordinary Share Purchase Agreement with BRPI entered into in connection with the Committed Equity Facility (the “</w:t>
      </w:r>
      <w:r>
        <w:rPr>
          <w:rFonts w:ascii="Times New Roman" w:cs="Times New Roman" w:eastAsia="Times New Roman" w:hAnsi="Times New Roman"/>
          <w:sz w:val="18"/>
          <w:szCs w:val="18"/>
          <w:u w:val="single" w:color="auto"/>
          <w:color w:val="auto"/>
        </w:rPr>
        <w:t>ELOC Purchase Agreement</w:t>
      </w:r>
      <w:r>
        <w:rPr>
          <w:rFonts w:ascii="Times New Roman" w:cs="Times New Roman" w:eastAsia="Times New Roman" w:hAnsi="Times New Roman"/>
          <w:sz w:val="18"/>
          <w:szCs w:val="18"/>
          <w:color w:val="auto"/>
        </w:rPr>
        <w:t xml:space="preserve">”)) while a Placement Notice is in place under this Agreement. Additionally, during the term of this Agreement, the Company will not send any Placement Notice pursuant to this Agreement while BRPI, has a VWAP Purchase Notice or an Intraday VWAP Purchase Notice, provided that the foregoing restriction shall only apply for the applicable Purchase Date (as such term is defined in the ELOC Purchase Agreement) with respect to such VWAP Purchase Notice or Intraday VWAP Purchase Notice;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such restriction is waived by BRPI, such restriction shall not apply as of the Trading Day immediately following such waiver.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Change of Circumstances</w:t>
      </w:r>
      <w:r>
        <w:rPr>
          <w:rFonts w:ascii="Times New Roman" w:cs="Times New Roman" w:eastAsia="Times New Roman" w:hAnsi="Times New Roman"/>
          <w:sz w:val="18"/>
          <w:szCs w:val="18"/>
          <w:color w:val="auto"/>
        </w:rPr>
        <w:t>. The Company will, at any time during the pendency of a Placement Notice advise the Agents promptly after it shall have received notice or obtained Knowledge thereof, of any information or fact that would alter or affect in any material respect any opinion, certificate, letter or other document required to be provided to the Agents pursuant to this Agreement.</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j. </w:t>
      </w:r>
      <w:r>
        <w:rPr>
          <w:rFonts w:ascii="Times New Roman" w:cs="Times New Roman" w:eastAsia="Times New Roman" w:hAnsi="Times New Roman"/>
          <w:sz w:val="18"/>
          <w:szCs w:val="18"/>
          <w:u w:val="single" w:color="auto"/>
          <w:color w:val="auto"/>
        </w:rPr>
        <w:t>Due Diligence Cooperation</w:t>
      </w:r>
      <w:r>
        <w:rPr>
          <w:rFonts w:ascii="Times New Roman" w:cs="Times New Roman" w:eastAsia="Times New Roman" w:hAnsi="Times New Roman"/>
          <w:sz w:val="18"/>
          <w:szCs w:val="18"/>
          <w:color w:val="auto"/>
        </w:rPr>
        <w:t>. During the term of this Agreement, the Company will cooperate with any reasonable due diligence review conducted by the Agents or their representatives in connection with the transactions contemplated hereby, including, without limitation, providing information and making available documents and senior corporate officers, during regular business hours and at the Company’s principal offices, as the Agents may reasonably request.</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k. </w:t>
      </w:r>
      <w:r>
        <w:rPr>
          <w:rFonts w:ascii="Times New Roman" w:cs="Times New Roman" w:eastAsia="Times New Roman" w:hAnsi="Times New Roman"/>
          <w:sz w:val="18"/>
          <w:szCs w:val="18"/>
          <w:u w:val="single" w:color="auto"/>
          <w:color w:val="auto"/>
        </w:rPr>
        <w:t>Required Filings Relating to Placement of Placement Shares</w:t>
      </w:r>
      <w:r>
        <w:rPr>
          <w:rFonts w:ascii="Times New Roman" w:cs="Times New Roman" w:eastAsia="Times New Roman" w:hAnsi="Times New Roman"/>
          <w:sz w:val="18"/>
          <w:szCs w:val="18"/>
          <w:color w:val="auto"/>
        </w:rPr>
        <w:t>. The Company agrees that, during the term of this Agreement, solely to the extent required with respect to the Placement Shares, it will include in its Form 20-F, or Current Report on Form 6-K containing unaudited interim financial statements for any six-month period immediately following the Company’s fiscal year end, the number of Placement Shares sold through the Agents, the Net Proceeds to the Company and the Compensation payable by the Company to the Agents with respect to any Placement Shares during the relevant period in respect of which such disclosure, if any, is required by such Form 20-F or such Current Report on Form 6-K.</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l. </w:t>
      </w:r>
      <w:r>
        <w:rPr>
          <w:rFonts w:ascii="Times New Roman" w:cs="Times New Roman" w:eastAsia="Times New Roman" w:hAnsi="Times New Roman"/>
          <w:sz w:val="18"/>
          <w:szCs w:val="18"/>
          <w:u w:val="single" w:color="auto"/>
          <w:color w:val="auto"/>
        </w:rPr>
        <w:t>Representation Dates; Certificate</w:t>
      </w:r>
      <w:r>
        <w:rPr>
          <w:rFonts w:ascii="Times New Roman" w:cs="Times New Roman" w:eastAsia="Times New Roman" w:hAnsi="Times New Roman"/>
          <w:sz w:val="18"/>
          <w:szCs w:val="18"/>
          <w:color w:val="auto"/>
        </w:rPr>
        <w:t>. Each time during the term of this Agreement that the Company:</w:t>
      </w:r>
    </w:p>
    <w:p>
      <w:pPr>
        <w:spacing w:after="0" w:line="225" w:lineRule="exact"/>
        <w:rPr>
          <w:sz w:val="20"/>
          <w:szCs w:val="20"/>
          <w:color w:val="auto"/>
        </w:rPr>
      </w:pPr>
    </w:p>
    <w:p>
      <w:pPr>
        <w:jc w:val="both"/>
        <w:ind w:firstLine="1952"/>
        <w:spacing w:after="0" w:line="261" w:lineRule="auto"/>
        <w:tabs>
          <w:tab w:leader="none" w:pos="219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amends or supplements (other than a prospectus supplement relating solely to an offering of securities other than the Placement Shares) the Registration Statement or the Prospectus relating to the Placement Shares by means of a post-effective amendment, sticker, or supplement but not by means of incorporation of documents by reference into the Registration Statement or the Prospectus relating to the Placement Shares;</w:t>
      </w:r>
    </w:p>
    <w:p>
      <w:pPr>
        <w:spacing w:after="0" w:line="179" w:lineRule="exact"/>
        <w:rPr>
          <w:rFonts w:ascii="Times New Roman" w:cs="Times New Roman" w:eastAsia="Times New Roman" w:hAnsi="Times New Roman"/>
          <w:sz w:val="18"/>
          <w:szCs w:val="18"/>
          <w:color w:val="auto"/>
        </w:rPr>
      </w:pPr>
    </w:p>
    <w:p>
      <w:pPr>
        <w:ind w:firstLine="1952"/>
        <w:spacing w:after="0" w:line="282" w:lineRule="auto"/>
        <w:tabs>
          <w:tab w:leader="none" w:pos="223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files an annual report on Form 20-F under the Exchange Act (including any Form 20-F/A containing amended audited financial information or a material amendment to the previously filed Form 20-F);</w:t>
      </w:r>
    </w:p>
    <w:p>
      <w:pPr>
        <w:spacing w:after="0" w:line="161" w:lineRule="exact"/>
        <w:rPr>
          <w:rFonts w:ascii="Times New Roman" w:cs="Times New Roman" w:eastAsia="Times New Roman" w:hAnsi="Times New Roman"/>
          <w:sz w:val="18"/>
          <w:szCs w:val="18"/>
          <w:color w:val="auto"/>
        </w:rPr>
      </w:pPr>
    </w:p>
    <w:p>
      <w:pPr>
        <w:ind w:firstLine="1952"/>
        <w:spacing w:after="0" w:line="282" w:lineRule="auto"/>
        <w:tabs>
          <w:tab w:leader="none" w:pos="225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files or furnishes its interim unaudited financial statements as of the end of the Company’s first fiscal half of each fiscal year on Form 6-K under the Exchange Act; or</w:t>
      </w:r>
    </w:p>
    <w:p>
      <w:pPr>
        <w:spacing w:after="0" w:line="161" w:lineRule="exact"/>
        <w:rPr>
          <w:rFonts w:ascii="Times New Roman" w:cs="Times New Roman" w:eastAsia="Times New Roman" w:hAnsi="Times New Roman"/>
          <w:sz w:val="18"/>
          <w:szCs w:val="18"/>
          <w:color w:val="auto"/>
        </w:rPr>
      </w:pPr>
    </w:p>
    <w:p>
      <w:pPr>
        <w:ind w:firstLine="1952"/>
        <w:spacing w:after="0" w:line="282" w:lineRule="auto"/>
        <w:tabs>
          <w:tab w:leader="none" w:pos="225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files or furnishes a current report on Form 6-K containing amendments to its audited financial statements for any fiscal year or unaudited interim financial statements for any fiscal period under the Exchange Act;</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(each date of filing of one or more of the documents referred to in clauses (i) through (iv) shall be a “</w:t>
      </w:r>
      <w:r>
        <w:rPr>
          <w:rFonts w:ascii="Times New Roman" w:cs="Times New Roman" w:eastAsia="Times New Roman" w:hAnsi="Times New Roman"/>
          <w:sz w:val="18"/>
          <w:szCs w:val="18"/>
          <w:u w:val="single" w:color="auto"/>
          <w:color w:val="auto"/>
        </w:rPr>
        <w:t>Representation Date</w:t>
      </w:r>
      <w:r>
        <w:rPr>
          <w:rFonts w:ascii="Times New Roman" w:cs="Times New Roman" w:eastAsia="Times New Roman" w:hAnsi="Times New Roman"/>
          <w:sz w:val="18"/>
          <w:szCs w:val="18"/>
          <w:color w:val="auto"/>
        </w:rPr>
        <w:t xml:space="preserve">”), the Company shall furnish the Agents (but in the case of clause (iv) above only if any Agent reasonably determines that the information contained in such Form 6-K is material) with a certificate, in the form attached hereto as </w:t>
      </w:r>
      <w:r>
        <w:rPr>
          <w:rFonts w:ascii="Times New Roman" w:cs="Times New Roman" w:eastAsia="Times New Roman" w:hAnsi="Times New Roman"/>
          <w:sz w:val="18"/>
          <w:szCs w:val="18"/>
          <w:u w:val="single" w:color="auto"/>
          <w:color w:val="auto"/>
        </w:rPr>
        <w:t>Exhibit 7(l)</w:t>
      </w:r>
      <w:r>
        <w:rPr>
          <w:rFonts w:ascii="Times New Roman" w:cs="Times New Roman" w:eastAsia="Times New Roman" w:hAnsi="Times New Roman"/>
          <w:sz w:val="18"/>
          <w:szCs w:val="18"/>
          <w:color w:val="auto"/>
        </w:rPr>
        <w:t xml:space="preserve">. The requirement to provide a certificate under this </w:t>
      </w:r>
      <w:r>
        <w:rPr>
          <w:rFonts w:ascii="Times New Roman" w:cs="Times New Roman" w:eastAsia="Times New Roman" w:hAnsi="Times New Roman"/>
          <w:sz w:val="18"/>
          <w:szCs w:val="18"/>
          <w:u w:val="single" w:color="auto"/>
          <w:color w:val="auto"/>
        </w:rPr>
        <w:t>Section 7(l)</w:t>
      </w:r>
      <w:r>
        <w:rPr>
          <w:rFonts w:ascii="Times New Roman" w:cs="Times New Roman" w:eastAsia="Times New Roman" w:hAnsi="Times New Roman"/>
          <w:sz w:val="18"/>
          <w:szCs w:val="18"/>
          <w:color w:val="auto"/>
        </w:rPr>
        <w:t xml:space="preserve"> shall be waived for any Representation Date occurring at a time at which no Placement Notice is pending, which waiver shall continue until the earlier to occur of the date the Company delivers a Placement Notice hereunder (which for such calendar quarter shall be considered a Representation Date) and the next occurring Representation Date on which the Company files its annual report on Form 20-F. Notwithstanding the foregoing, (i) upon the delivery of the first Placement Notice hereunder and (ii) if the Company subsequently decides to sell Placement Shares following a Representation Date when the Company relied on such waiver and did not provide the Agents with a certificate under this </w:t>
      </w:r>
      <w:r>
        <w:rPr>
          <w:rFonts w:ascii="Times New Roman" w:cs="Times New Roman" w:eastAsia="Times New Roman" w:hAnsi="Times New Roman"/>
          <w:sz w:val="18"/>
          <w:szCs w:val="18"/>
          <w:u w:val="single" w:color="auto"/>
          <w:color w:val="auto"/>
        </w:rPr>
        <w:t>Section 7(l)</w:t>
      </w:r>
      <w:r>
        <w:rPr>
          <w:rFonts w:ascii="Times New Roman" w:cs="Times New Roman" w:eastAsia="Times New Roman" w:hAnsi="Times New Roman"/>
          <w:sz w:val="18"/>
          <w:szCs w:val="18"/>
          <w:color w:val="auto"/>
        </w:rPr>
        <w:t xml:space="preserve">, then before the Agents sell any Placement Shares, the Company shall provide the Agents with a certificate, in the form attached hereto as </w:t>
      </w:r>
      <w:r>
        <w:rPr>
          <w:rFonts w:ascii="Times New Roman" w:cs="Times New Roman" w:eastAsia="Times New Roman" w:hAnsi="Times New Roman"/>
          <w:sz w:val="18"/>
          <w:szCs w:val="18"/>
          <w:u w:val="single" w:color="auto"/>
          <w:color w:val="auto"/>
        </w:rPr>
        <w:t>Exhibit 7(l)</w:t>
      </w:r>
      <w:r>
        <w:rPr>
          <w:rFonts w:ascii="Times New Roman" w:cs="Times New Roman" w:eastAsia="Times New Roman" w:hAnsi="Times New Roman"/>
          <w:sz w:val="18"/>
          <w:szCs w:val="18"/>
          <w:color w:val="auto"/>
        </w:rPr>
        <w:t xml:space="preserve"> dated the date of the Placement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m. </w:t>
      </w:r>
      <w:r>
        <w:rPr>
          <w:rFonts w:ascii="Times New Roman" w:cs="Times New Roman" w:eastAsia="Times New Roman" w:hAnsi="Times New Roman"/>
          <w:sz w:val="18"/>
          <w:szCs w:val="18"/>
          <w:u w:val="single" w:color="auto"/>
          <w:color w:val="auto"/>
        </w:rPr>
        <w:t>Legal Opinion</w:t>
      </w:r>
      <w:r>
        <w:rPr>
          <w:rFonts w:ascii="Times New Roman" w:cs="Times New Roman" w:eastAsia="Times New Roman" w:hAnsi="Times New Roman"/>
          <w:sz w:val="18"/>
          <w:szCs w:val="18"/>
          <w:color w:val="auto"/>
        </w:rPr>
        <w:t>. On or prior to the date of the first Placement Notice given hereunder the Company shall cause to be furnished to the Agents a written opinion and a negative assurance letter of Cooley LLP (“</w:t>
      </w:r>
      <w:r>
        <w:rPr>
          <w:rFonts w:ascii="Times New Roman" w:cs="Times New Roman" w:eastAsia="Times New Roman" w:hAnsi="Times New Roman"/>
          <w:sz w:val="18"/>
          <w:szCs w:val="18"/>
          <w:u w:val="single" w:color="auto"/>
          <w:color w:val="auto"/>
        </w:rPr>
        <w:t>U.S. Company Counsel</w:t>
      </w:r>
      <w:r>
        <w:rPr>
          <w:rFonts w:ascii="Times New Roman" w:cs="Times New Roman" w:eastAsia="Times New Roman" w:hAnsi="Times New Roman"/>
          <w:sz w:val="18"/>
          <w:szCs w:val="18"/>
          <w:color w:val="auto"/>
        </w:rPr>
        <w:t>”) and a written opinion of Ogier (“</w:t>
      </w:r>
      <w:r>
        <w:rPr>
          <w:rFonts w:ascii="Times New Roman" w:cs="Times New Roman" w:eastAsia="Times New Roman" w:hAnsi="Times New Roman"/>
          <w:sz w:val="18"/>
          <w:szCs w:val="18"/>
          <w:u w:val="single" w:color="auto"/>
          <w:color w:val="auto"/>
        </w:rPr>
        <w:t>Cayman Islands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Company Counsel</w:t>
      </w:r>
      <w:r>
        <w:rPr>
          <w:rFonts w:ascii="Times New Roman" w:cs="Times New Roman" w:eastAsia="Times New Roman" w:hAnsi="Times New Roman"/>
          <w:sz w:val="18"/>
          <w:szCs w:val="18"/>
          <w:color w:val="auto"/>
        </w:rPr>
        <w:t>”), or other counsel reasonably satisfactory to the Agents, each in form and substance reasonably satisfactory to the Agents. Thereafter, within five (5) Trading Days of each Representation Date with respect to which the Company is obligated to deliver a certificate in the form attached hereto as Exhibit 7(l) for which no waiver is applicable, the Company shall cause to be furnished to the Agents a negative assurance letter of U.S. Company Counsel in form and substance reasonably satisfactory to the Agents; provided that, in lieu of such negative assurance for subsequent periodic filings under the Exchange Act, U.S. Company Counsel may furnish the Agents with a letter (a “</w:t>
      </w:r>
      <w:r>
        <w:rPr>
          <w:rFonts w:ascii="Times New Roman" w:cs="Times New Roman" w:eastAsia="Times New Roman" w:hAnsi="Times New Roman"/>
          <w:sz w:val="18"/>
          <w:szCs w:val="18"/>
          <w:u w:val="single" w:color="auto"/>
          <w:color w:val="auto"/>
        </w:rPr>
        <w:t>Reliance Letter</w:t>
      </w:r>
      <w:r>
        <w:rPr>
          <w:rFonts w:ascii="Times New Roman" w:cs="Times New Roman" w:eastAsia="Times New Roman" w:hAnsi="Times New Roman"/>
          <w:sz w:val="18"/>
          <w:szCs w:val="18"/>
          <w:color w:val="auto"/>
        </w:rPr>
        <w:t xml:space="preserve">”) to the effect that the Agents may rely on the negative assurance letter previously delivered by such counsel under this </w:t>
      </w:r>
      <w:r>
        <w:rPr>
          <w:rFonts w:ascii="Times New Roman" w:cs="Times New Roman" w:eastAsia="Times New Roman" w:hAnsi="Times New Roman"/>
          <w:sz w:val="18"/>
          <w:szCs w:val="18"/>
          <w:u w:val="single" w:color="auto"/>
          <w:color w:val="auto"/>
        </w:rPr>
        <w:t>Section 7(m)</w:t>
      </w:r>
      <w:r>
        <w:rPr>
          <w:rFonts w:ascii="Times New Roman" w:cs="Times New Roman" w:eastAsia="Times New Roman" w:hAnsi="Times New Roman"/>
          <w:sz w:val="18"/>
          <w:szCs w:val="18"/>
          <w:color w:val="auto"/>
        </w:rPr>
        <w:t xml:space="preserve"> to the same extent as if it were dated the date of such letter (except that statements in such prior letter shall be deemed to relate to the Registration Statement and the Prospectus as amended or supplemented as of the date of such Reliance Letter),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shall be required to furnish (i) no more than one negative assurance letter of U.S. Company Counsel hereunder per each filing of an annual report on Form 20-F and Form 6-K including interim unaudited financial statements, and (ii) no more than one written opinion of U.S. Company Counsel and Cayman Islands Company Counsel hereunder per each filing of an annual report on Form 20-F.</w:t>
      </w:r>
    </w:p>
    <w:p>
      <w:pPr>
        <w:spacing w:after="0" w:line="19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n. </w:t>
      </w:r>
      <w:r>
        <w:rPr>
          <w:rFonts w:ascii="Times New Roman" w:cs="Times New Roman" w:eastAsia="Times New Roman" w:hAnsi="Times New Roman"/>
          <w:sz w:val="18"/>
          <w:szCs w:val="18"/>
          <w:u w:val="single" w:color="auto"/>
          <w:color w:val="auto"/>
        </w:rPr>
        <w:t>Comfort Letter</w:t>
      </w:r>
      <w:r>
        <w:rPr>
          <w:rFonts w:ascii="Times New Roman" w:cs="Times New Roman" w:eastAsia="Times New Roman" w:hAnsi="Times New Roman"/>
          <w:sz w:val="18"/>
          <w:szCs w:val="18"/>
          <w:color w:val="auto"/>
        </w:rPr>
        <w:t>. On or prior to the date of the first Placement Notice given hereunder and within five (5) Trading Days after each subsequent Representation Date, with respect to which the Company is obligated to deliver a certificate in the form attached hereto as Exhibit 7(l) for which no waiver is applicable, the Company shall cause its independent accountants to furnish the Agents letters (the “</w:t>
      </w:r>
      <w:r>
        <w:rPr>
          <w:rFonts w:ascii="Times New Roman" w:cs="Times New Roman" w:eastAsia="Times New Roman" w:hAnsi="Times New Roman"/>
          <w:sz w:val="18"/>
          <w:szCs w:val="18"/>
          <w:u w:val="single" w:color="auto"/>
          <w:color w:val="auto"/>
        </w:rPr>
        <w:t>Comfort Letters</w:t>
      </w:r>
      <w:r>
        <w:rPr>
          <w:rFonts w:ascii="Times New Roman" w:cs="Times New Roman" w:eastAsia="Times New Roman" w:hAnsi="Times New Roman"/>
          <w:sz w:val="18"/>
          <w:szCs w:val="18"/>
          <w:color w:val="auto"/>
        </w:rPr>
        <w:t xml:space="preserve">”), dated the date the Comfort Letter is delivered, which shall meet the requirements set forth in this </w:t>
      </w:r>
      <w:r>
        <w:rPr>
          <w:rFonts w:ascii="Times New Roman" w:cs="Times New Roman" w:eastAsia="Times New Roman" w:hAnsi="Times New Roman"/>
          <w:sz w:val="18"/>
          <w:szCs w:val="18"/>
          <w:u w:val="single" w:color="auto"/>
          <w:color w:val="auto"/>
        </w:rPr>
        <w:t>Section 7(n)</w:t>
      </w:r>
      <w:r>
        <w:rPr>
          <w:rFonts w:ascii="Times New Roman" w:cs="Times New Roman" w:eastAsia="Times New Roman" w:hAnsi="Times New Roman"/>
          <w:sz w:val="18"/>
          <w:szCs w:val="18"/>
          <w:color w:val="auto"/>
        </w:rPr>
        <w:t>. The Comfort Letter from the Company’s independent accountants shall be in a form and substance reasonably satisfactory to the Agents, (i) confirming that they are an independent registered public accounting firm within the meaning of the Securities Act and the Public Company Accounting Oversight Board, (ii) stating, as of such date, the conclusions and findings of such firm with respect to the financial information and other matters ordinarily covered by accountants’ “comfort letters” to underwriters in connection with registered public offerings (the first such letter, the “</w:t>
      </w:r>
      <w:r>
        <w:rPr>
          <w:rFonts w:ascii="Times New Roman" w:cs="Times New Roman" w:eastAsia="Times New Roman" w:hAnsi="Times New Roman"/>
          <w:sz w:val="18"/>
          <w:szCs w:val="18"/>
          <w:u w:val="single" w:color="auto"/>
          <w:color w:val="auto"/>
        </w:rPr>
        <w:t>Initial Comfort Letter</w:t>
      </w:r>
      <w:r>
        <w:rPr>
          <w:rFonts w:ascii="Times New Roman" w:cs="Times New Roman" w:eastAsia="Times New Roman" w:hAnsi="Times New Roman"/>
          <w:sz w:val="18"/>
          <w:szCs w:val="18"/>
          <w:color w:val="auto"/>
        </w:rPr>
        <w:t>”) and (iii) updating the Initial Comfort Letter with any information that would have been included in the Initial Comfort Letter had it been given on such date and modified as necessary to relate to the Registration Statement and the Prospectus, as amended and supplemented to the date of such letter.</w:t>
      </w:r>
    </w:p>
    <w:p>
      <w:pPr>
        <w:spacing w:after="0" w:line="194"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u w:val="single" w:color="auto"/>
          <w:color w:val="auto"/>
        </w:rPr>
        <w:t>Market Activities</w:t>
      </w:r>
      <w:r>
        <w:rPr>
          <w:rFonts w:ascii="Times New Roman" w:cs="Times New Roman" w:eastAsia="Times New Roman" w:hAnsi="Times New Roman"/>
          <w:sz w:val="18"/>
          <w:szCs w:val="18"/>
          <w:color w:val="auto"/>
        </w:rPr>
        <w:t>. The Company will not, directly or indirectly, (i) take any action designed to cause or result in, or that constitutes or would reasonably be expected to constitute, the stabilization or manipulation of the price of any security of the Company to facilitate the sale or resale of Ordinary Shares or (ii) sell, bid for, or purchase Ordinary Shares in violation of Regulation M, or pay anyone any compensation for soliciting purchases of the Placement Shares other than the Agents.</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p. </w:t>
      </w: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The Company will conduct its affairs in such a manner so as to reasonably ensure that neither it nor the subsidiaries will be or become, at any time prior to the termination of this Agreement, an “investment company,” as such term is defined in the Investment Company Act.</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q. </w:t>
      </w:r>
      <w:r>
        <w:rPr>
          <w:rFonts w:ascii="Times New Roman" w:cs="Times New Roman" w:eastAsia="Times New Roman" w:hAnsi="Times New Roman"/>
          <w:sz w:val="18"/>
          <w:szCs w:val="18"/>
          <w:u w:val="single" w:color="auto"/>
          <w:color w:val="auto"/>
        </w:rPr>
        <w:t>No Offer to Sell</w:t>
      </w:r>
      <w:r>
        <w:rPr>
          <w:rFonts w:ascii="Times New Roman" w:cs="Times New Roman" w:eastAsia="Times New Roman" w:hAnsi="Times New Roman"/>
          <w:sz w:val="18"/>
          <w:szCs w:val="18"/>
          <w:color w:val="auto"/>
        </w:rPr>
        <w:t xml:space="preserve">. Other than an Issuer Free Writing Prospectus approved in advance by the Company and the Agents in their capacity as agents hereunder pursuant to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neither of the Agents nor the Company (including its agents and representatives, other than the Agents in their capacity as such) will make, use, prepare, authorize, approve or refer to any written communication (as defined in Rule 405), required to be filed with the Commission, that constitutes an offer to sell or solicitation of an offer to buy Placement Shares hereunder.</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r. </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During the term of this Agreement, the Company will (i) maintain a system of “internal control over financial reporting” (as defined in Rule 13a-15(f) of the Exchange Act) that complies, in all material respects, with the requirements of the Exchange Act, as applicable to the Company, and (ii) maintain an effective system of “disclosure controls and procedures” (as defined in Rule 13a-15(e) of the Exchange Act) that complies with the requirements of the Exchange Act, as applicable to the Company.</w:t>
      </w:r>
    </w:p>
    <w:p>
      <w:pPr>
        <w:spacing w:after="0" w:line="180" w:lineRule="exact"/>
        <w:rPr>
          <w:sz w:val="20"/>
          <w:szCs w:val="20"/>
          <w:color w:val="auto"/>
        </w:rPr>
      </w:pPr>
    </w:p>
    <w:p>
      <w:pPr>
        <w:jc w:val="both"/>
        <w:ind w:firstLine="656"/>
        <w:spacing w:after="0" w:line="253" w:lineRule="auto"/>
        <w:tabs>
          <w:tab w:leader="none" w:pos="82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Expenses</w:t>
      </w:r>
      <w:r>
        <w:rPr>
          <w:rFonts w:ascii="Times New Roman" w:cs="Times New Roman" w:eastAsia="Times New Roman" w:hAnsi="Times New Roman"/>
          <w:sz w:val="18"/>
          <w:szCs w:val="18"/>
          <w:color w:val="auto"/>
        </w:rPr>
        <w:t xml:space="preserve">. The Company will pay all expenses incident to the performance of its obligations under this Agreement, including (i) the preparation, filing, including any fees required by the Commission, and printing of the Registration Statement (including financial statements and exhibits) as originally filed and of each amendment and supplement thereto and each Free Writing Prospectus, in such number as the Agents shall deem reasonably necessary, (ii) the printing and delivery to the Agents of this Agreement and such other documents as may be required in connection with the offering, purchase, sale, issuance or delivery of the Placement Shares, (iii) the preparation, issuance and delivery of the certificates, if any, for the Placement Shares to the Agents, including any stock or other transfer taxes and any capital duties, stamp duties or other duties or taxes payable upon the sale, issuance or delivery of the Placement Shares to the Agents, (iv) the fees and disbursements of the counsel, accountants and other advisors to the Company, (v) the reasonable and documented out-of-pocket fees and disbursements of counsel to the Agents (x) not to exceed $100,000 in connection with the execution of this Agreement, (y) not to exceed $15,000 in connection with each Representation Date on which the Company is required to provide a certificate pursuant to </w:t>
      </w:r>
      <w:r>
        <w:rPr>
          <w:rFonts w:ascii="Times New Roman" w:cs="Times New Roman" w:eastAsia="Times New Roman" w:hAnsi="Times New Roman"/>
          <w:sz w:val="18"/>
          <w:szCs w:val="18"/>
          <w:u w:val="single" w:color="auto"/>
          <w:color w:val="auto"/>
        </w:rPr>
        <w:t>Sections 7(l)(ii)</w:t>
      </w:r>
      <w:r>
        <w:rPr>
          <w:rFonts w:ascii="Times New Roman" w:cs="Times New Roman" w:eastAsia="Times New Roman" w:hAnsi="Times New Roman"/>
          <w:sz w:val="18"/>
          <w:szCs w:val="18"/>
          <w:color w:val="auto"/>
        </w:rPr>
        <w:t xml:space="preserve"> and (z) not to exceed $10,000 in connection with each Representation Date on which the Company is required to provide a certificate pursuant to </w:t>
      </w:r>
      <w:r>
        <w:rPr>
          <w:rFonts w:ascii="Times New Roman" w:cs="Times New Roman" w:eastAsia="Times New Roman" w:hAnsi="Times New Roman"/>
          <w:sz w:val="18"/>
          <w:szCs w:val="18"/>
          <w:u w:val="single" w:color="auto"/>
          <w:color w:val="auto"/>
        </w:rPr>
        <w:t>Sections 7(l)(i)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(vi) the fees and expenses of the transfer agent and registrar for the Ordinary Shares, (vii) the filing fees incident to any review by FINRA of the terms of the sale of the Placement Shares, and (viii) the fees and expenses incurred in connection with the listing of the Placement Shares on the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jc w:val="both"/>
        <w:ind w:left="-656" w:firstLine="656"/>
        <w:spacing w:after="0" w:line="258" w:lineRule="auto"/>
        <w:tabs>
          <w:tab w:leader="none" w:pos="17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the Agents’ Obligations</w:t>
      </w:r>
      <w:r>
        <w:rPr>
          <w:rFonts w:ascii="Times New Roman" w:cs="Times New Roman" w:eastAsia="Times New Roman" w:hAnsi="Times New Roman"/>
          <w:sz w:val="18"/>
          <w:szCs w:val="18"/>
          <w:color w:val="auto"/>
        </w:rPr>
        <w:t>. The obligations of the Agents hereunder with respect to a Placement will be subject to the continuing accuracy and completeness of the representations and warranties made by the Company herein (other than those representations and warranties made as of a specified date or time), to the due performance in all material respects by the Company of its obligations hereunder, to the completion by the Agents of a due diligence review satisfactory to it in its reasonable judgment, and to the continuing reasonable satisfaction (or waiver by the Agents in their sole discretion) of the following additional conditions:</w:t>
      </w:r>
    </w:p>
    <w:p>
      <w:pPr>
        <w:spacing w:after="0" w:line="183" w:lineRule="exact"/>
        <w:rPr>
          <w:rFonts w:ascii="Times New Roman" w:cs="Times New Roman" w:eastAsia="Times New Roman" w:hAnsi="Times New Roman"/>
          <w:sz w:val="18"/>
          <w:szCs w:val="18"/>
          <w:color w:val="auto"/>
        </w:rPr>
      </w:pPr>
    </w:p>
    <w:p>
      <w:pPr>
        <w:ind w:left="-656" w:firstLine="1304"/>
        <w:spacing w:after="0" w:line="282" w:lineRule="auto"/>
        <w:tabs>
          <w:tab w:leader="none" w:pos="823"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 Effective</w:t>
      </w:r>
      <w:r>
        <w:rPr>
          <w:rFonts w:ascii="Times New Roman" w:cs="Times New Roman" w:eastAsia="Times New Roman" w:hAnsi="Times New Roman"/>
          <w:sz w:val="18"/>
          <w:szCs w:val="18"/>
          <w:color w:val="auto"/>
        </w:rPr>
        <w:t>. The Registration Statement shall have become effective and shall be available for the sale of all Placement Shares contemplated to be issued by any Placement Notice.</w:t>
      </w:r>
    </w:p>
    <w:p>
      <w:pPr>
        <w:spacing w:after="0" w:line="161" w:lineRule="exact"/>
        <w:rPr>
          <w:rFonts w:ascii="Times New Roman" w:cs="Times New Roman" w:eastAsia="Times New Roman" w:hAnsi="Times New Roman"/>
          <w:sz w:val="18"/>
          <w:szCs w:val="18"/>
          <w:color w:val="auto"/>
        </w:rPr>
      </w:pPr>
    </w:p>
    <w:p>
      <w:pPr>
        <w:jc w:val="both"/>
        <w:ind w:left="-656" w:firstLine="1304"/>
        <w:spacing w:after="0" w:line="253" w:lineRule="auto"/>
        <w:tabs>
          <w:tab w:leader="none" w:pos="8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Notices</w:t>
      </w:r>
      <w:r>
        <w:rPr>
          <w:rFonts w:ascii="Times New Roman" w:cs="Times New Roman" w:eastAsia="Times New Roman" w:hAnsi="Times New Roman"/>
          <w:sz w:val="18"/>
          <w:szCs w:val="18"/>
          <w:color w:val="auto"/>
        </w:rPr>
        <w:t>. None of the following events shall have occurred and be continuing: (i) receipt by the Company 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 (ii) the issuance by the Commission or any other federal or state governmental authority of any stop order suspending the effectiveness of the Registration Statement or receipt by the Company of notification of the initiation of any proceedings for that purpose; (iii) receipt by the Company of any notification with respect to the suspension of the qualification or exemption from qualification of any of the Placement Shares for sale in any jurisdiction or receipt by the Company of notification of the initiation of, or a threat to initiate, any proceeding for such purpose; or (iv) the occurrence of any event that makes any statement of material fact made in the Registration Statement or the Prospectus or any Incorporated Document untrue or that requires the making of any changes in the Registration Statement, the Prospectus or any material Incorporated Document so that, in the case of the Registration Statement, it will not contain any materially untrue statement of a material fact or omit to state any material fact required to be stated therein or necessary to make the statements therein not misleading and, that in the case of the Prospectus or any material Incorporated Document, it will not contain any materially untrue statement of a material fact or omit to state any material fact required to be stated therein or necessary to make the statements therein, in the light of the circumstances under which they were made, not misleading.</w:t>
      </w:r>
    </w:p>
    <w:p>
      <w:pPr>
        <w:spacing w:after="0" w:line="187" w:lineRule="exact"/>
        <w:rPr>
          <w:rFonts w:ascii="Times New Roman" w:cs="Times New Roman" w:eastAsia="Times New Roman" w:hAnsi="Times New Roman"/>
          <w:sz w:val="18"/>
          <w:szCs w:val="18"/>
          <w:color w:val="auto"/>
        </w:rPr>
      </w:pPr>
    </w:p>
    <w:p>
      <w:pPr>
        <w:jc w:val="both"/>
        <w:ind w:left="-656" w:firstLine="1304"/>
        <w:spacing w:after="0" w:line="261" w:lineRule="auto"/>
        <w:tabs>
          <w:tab w:leader="none" w:pos="81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Misstatement or Material Omission</w:t>
      </w:r>
      <w:r>
        <w:rPr>
          <w:rFonts w:ascii="Times New Roman" w:cs="Times New Roman" w:eastAsia="Times New Roman" w:hAnsi="Times New Roman"/>
          <w:sz w:val="18"/>
          <w:szCs w:val="18"/>
          <w:color w:val="auto"/>
        </w:rPr>
        <w:t>. The Agents shall not have advised the Company that the Registration Statement or Prospectus, or any amendment or supplement thereto, contains an untrue statement of fact that in the Agents’ reasonable opinion, in consultation with outside counsel, is material, or omits to state a fact that in the Agents’ reasonable opinion is material and is required to be stated therein or is necessary to make the statements therein not misleading.</w:t>
      </w:r>
    </w:p>
    <w:p>
      <w:pPr>
        <w:spacing w:after="0" w:line="179" w:lineRule="exact"/>
        <w:rPr>
          <w:rFonts w:ascii="Times New Roman" w:cs="Times New Roman" w:eastAsia="Times New Roman" w:hAnsi="Times New Roman"/>
          <w:sz w:val="18"/>
          <w:szCs w:val="18"/>
          <w:color w:val="auto"/>
        </w:rPr>
      </w:pPr>
    </w:p>
    <w:p>
      <w:pPr>
        <w:jc w:val="both"/>
        <w:ind w:left="-656" w:firstLine="1304"/>
        <w:spacing w:after="0" w:line="254" w:lineRule="auto"/>
        <w:tabs>
          <w:tab w:leader="none" w:pos="8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Changes</w:t>
      </w:r>
      <w:r>
        <w:rPr>
          <w:rFonts w:ascii="Times New Roman" w:cs="Times New Roman" w:eastAsia="Times New Roman" w:hAnsi="Times New Roman"/>
          <w:sz w:val="18"/>
          <w:szCs w:val="18"/>
          <w:color w:val="auto"/>
        </w:rPr>
        <w:t>. Except as contemplated in the Prospectus, or disclosed in the Company’s reports filed with the Commission, there shall not have been any material adverse change in the authorized capital stock of the Company or Material Adverse Effect, or any development that would cause a Material Adverse Effect, or a downgrading in or withdrawal of the rating assigned to any of the Company’s securities (other than asset backed securities) by any “nationally recognized statistical rating organization,” as such term is defined by the Commission for purposes of Rule 436(g)(2) under the Securities Act (a “</w:t>
      </w:r>
      <w:r>
        <w:rPr>
          <w:rFonts w:ascii="Times New Roman" w:cs="Times New Roman" w:eastAsia="Times New Roman" w:hAnsi="Times New Roman"/>
          <w:sz w:val="18"/>
          <w:szCs w:val="18"/>
          <w:u w:val="single" w:color="auto"/>
          <w:color w:val="auto"/>
        </w:rPr>
        <w:t>Rating Organization</w:t>
      </w:r>
      <w:r>
        <w:rPr>
          <w:rFonts w:ascii="Times New Roman" w:cs="Times New Roman" w:eastAsia="Times New Roman" w:hAnsi="Times New Roman"/>
          <w:sz w:val="18"/>
          <w:szCs w:val="18"/>
          <w:color w:val="auto"/>
        </w:rPr>
        <w:t>”), or a public announcement by any Rating Organization that it has under surveillance or review its rating of any of the Company’s securities (other than asset backed securities), the effect of which, in the case of any such action by a Rating Organization described above, in the reasonable judgment of the Agents (without relieving the Company of any obligation or liability it may otherwise have), is so material as to make it impracticable or inadvisable to proceed with the offering of the Placement Shares on the terms and in the manner contemplated in the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244475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sectPr>
      </w:pPr>
    </w:p>
    <w:bookmarkStart w:id="26" w:name="page27"/>
    <w:bookmarkEnd w:id="26"/>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Company Counsel Legal Opinions</w:t>
      </w:r>
      <w:r>
        <w:rPr>
          <w:rFonts w:ascii="Times New Roman" w:cs="Times New Roman" w:eastAsia="Times New Roman" w:hAnsi="Times New Roman"/>
          <w:sz w:val="18"/>
          <w:szCs w:val="18"/>
          <w:color w:val="auto"/>
        </w:rPr>
        <w:t xml:space="preserve">. The Agents shall have received the opinion and negative assurance letter of U.S. Company Counsel and the opinion of Cayman Islands Company Counsel required to be delivered pursuant to </w:t>
      </w:r>
      <w:r>
        <w:rPr>
          <w:rFonts w:ascii="Times New Roman" w:cs="Times New Roman" w:eastAsia="Times New Roman" w:hAnsi="Times New Roman"/>
          <w:sz w:val="18"/>
          <w:szCs w:val="18"/>
          <w:u w:val="single" w:color="auto"/>
          <w:color w:val="auto"/>
        </w:rPr>
        <w:t>Section 7(m)</w:t>
      </w:r>
      <w:r>
        <w:rPr>
          <w:rFonts w:ascii="Times New Roman" w:cs="Times New Roman" w:eastAsia="Times New Roman" w:hAnsi="Times New Roman"/>
          <w:sz w:val="18"/>
          <w:szCs w:val="18"/>
          <w:color w:val="auto"/>
        </w:rPr>
        <w:t xml:space="preserve"> on or before the date on which such delivery of such opinions and negative assurance letter are required pursuant to </w:t>
      </w:r>
      <w:r>
        <w:rPr>
          <w:rFonts w:ascii="Times New Roman" w:cs="Times New Roman" w:eastAsia="Times New Roman" w:hAnsi="Times New Roman"/>
          <w:sz w:val="18"/>
          <w:szCs w:val="18"/>
          <w:u w:val="single" w:color="auto"/>
          <w:color w:val="auto"/>
        </w:rPr>
        <w:t>Section 7(m)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Agents Counsel Legal Opinion</w:t>
      </w:r>
      <w:r>
        <w:rPr>
          <w:rFonts w:ascii="Times New Roman" w:cs="Times New Roman" w:eastAsia="Times New Roman" w:hAnsi="Times New Roman"/>
          <w:sz w:val="18"/>
          <w:szCs w:val="18"/>
          <w:color w:val="auto"/>
        </w:rPr>
        <w:t xml:space="preserve">. Agents shall have received from Goodwin Procter LLP, counsel for the Agents, such negative assurance letter and opinion or opinions on or before the date on which the delivery of the U.S. Company Counsel legal opinion is required pursuant to </w:t>
      </w:r>
      <w:r>
        <w:rPr>
          <w:rFonts w:ascii="Times New Roman" w:cs="Times New Roman" w:eastAsia="Times New Roman" w:hAnsi="Times New Roman"/>
          <w:sz w:val="18"/>
          <w:szCs w:val="18"/>
          <w:u w:val="single" w:color="auto"/>
          <w:color w:val="auto"/>
        </w:rPr>
        <w:t>Section 7(m)</w:t>
      </w:r>
      <w:r>
        <w:rPr>
          <w:rFonts w:ascii="Times New Roman" w:cs="Times New Roman" w:eastAsia="Times New Roman" w:hAnsi="Times New Roman"/>
          <w:sz w:val="18"/>
          <w:szCs w:val="18"/>
          <w:color w:val="auto"/>
        </w:rPr>
        <w:t>, with respect to such matters as the Agents may reasonably require, and the Company shall have furnished to such counsel such documents as they request for enabling them to pass upon such matters.</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u w:val="single" w:color="auto"/>
          <w:color w:val="auto"/>
        </w:rPr>
        <w:t>Comfort Letter</w:t>
      </w:r>
      <w:r>
        <w:rPr>
          <w:rFonts w:ascii="Times New Roman" w:cs="Times New Roman" w:eastAsia="Times New Roman" w:hAnsi="Times New Roman"/>
          <w:sz w:val="18"/>
          <w:szCs w:val="18"/>
          <w:color w:val="auto"/>
        </w:rPr>
        <w:t xml:space="preserve">. The Agents shall have received the Comfort Letter required to be delivered pursuant </w:t>
      </w:r>
      <w:r>
        <w:rPr>
          <w:rFonts w:ascii="Times New Roman" w:cs="Times New Roman" w:eastAsia="Times New Roman" w:hAnsi="Times New Roman"/>
          <w:sz w:val="18"/>
          <w:szCs w:val="18"/>
          <w:u w:val="single" w:color="auto"/>
          <w:color w:val="auto"/>
        </w:rPr>
        <w:t>Section 7(n)</w:t>
      </w:r>
      <w:r>
        <w:rPr>
          <w:rFonts w:ascii="Times New Roman" w:cs="Times New Roman" w:eastAsia="Times New Roman" w:hAnsi="Times New Roman"/>
          <w:sz w:val="18"/>
          <w:szCs w:val="18"/>
          <w:color w:val="auto"/>
        </w:rPr>
        <w:t xml:space="preserve"> on or before the date on which such delivery of such letter is required pursuant to </w:t>
      </w:r>
      <w:r>
        <w:rPr>
          <w:rFonts w:ascii="Times New Roman" w:cs="Times New Roman" w:eastAsia="Times New Roman" w:hAnsi="Times New Roman"/>
          <w:sz w:val="18"/>
          <w:szCs w:val="18"/>
          <w:u w:val="single" w:color="auto"/>
          <w:color w:val="auto"/>
        </w:rPr>
        <w:t>Section 7(n)</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h. </w:t>
      </w:r>
      <w:r>
        <w:rPr>
          <w:rFonts w:ascii="Times New Roman" w:cs="Times New Roman" w:eastAsia="Times New Roman" w:hAnsi="Times New Roman"/>
          <w:sz w:val="18"/>
          <w:szCs w:val="18"/>
          <w:u w:val="single" w:color="auto"/>
          <w:color w:val="auto"/>
        </w:rPr>
        <w:t>Representation Certificate</w:t>
      </w:r>
      <w:r>
        <w:rPr>
          <w:rFonts w:ascii="Times New Roman" w:cs="Times New Roman" w:eastAsia="Times New Roman" w:hAnsi="Times New Roman"/>
          <w:sz w:val="18"/>
          <w:szCs w:val="18"/>
          <w:color w:val="auto"/>
        </w:rPr>
        <w:t xml:space="preserve">. The Agents shall have received the certificate required to be delivered pursuant to </w:t>
      </w:r>
      <w:r>
        <w:rPr>
          <w:rFonts w:ascii="Times New Roman" w:cs="Times New Roman" w:eastAsia="Times New Roman" w:hAnsi="Times New Roman"/>
          <w:sz w:val="18"/>
          <w:szCs w:val="18"/>
          <w:u w:val="single" w:color="auto"/>
          <w:color w:val="auto"/>
        </w:rPr>
        <w:t>Section 7(l)</w:t>
      </w:r>
      <w:r>
        <w:rPr>
          <w:rFonts w:ascii="Times New Roman" w:cs="Times New Roman" w:eastAsia="Times New Roman" w:hAnsi="Times New Roman"/>
          <w:sz w:val="18"/>
          <w:szCs w:val="18"/>
          <w:color w:val="auto"/>
        </w:rPr>
        <w:t xml:space="preserve"> on or before the date on which delivery of such certificate is required pursuant to </w:t>
      </w:r>
      <w:r>
        <w:rPr>
          <w:rFonts w:ascii="Times New Roman" w:cs="Times New Roman" w:eastAsia="Times New Roman" w:hAnsi="Times New Roman"/>
          <w:sz w:val="18"/>
          <w:szCs w:val="18"/>
          <w:u w:val="single" w:color="auto"/>
          <w:color w:val="auto"/>
        </w:rPr>
        <w:t>Section 7(l)</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Secretary’s Certificate</w:t>
      </w:r>
      <w:r>
        <w:rPr>
          <w:rFonts w:ascii="Times New Roman" w:cs="Times New Roman" w:eastAsia="Times New Roman" w:hAnsi="Times New Roman"/>
          <w:sz w:val="18"/>
          <w:szCs w:val="18"/>
          <w:color w:val="auto"/>
        </w:rPr>
        <w:t>. On or prior to the first Representation Date, the Agents shall have received a certificate, signed on behalf of the Company by its corporate Secretary, in form and substance satisfactory to the Agents and their counsel.</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j. </w:t>
      </w:r>
      <w:r>
        <w:rPr>
          <w:rFonts w:ascii="Times New Roman" w:cs="Times New Roman" w:eastAsia="Times New Roman" w:hAnsi="Times New Roman"/>
          <w:sz w:val="18"/>
          <w:szCs w:val="18"/>
          <w:u w:val="single" w:color="auto"/>
          <w:color w:val="auto"/>
        </w:rPr>
        <w:t>No Suspension</w:t>
      </w:r>
      <w:r>
        <w:rPr>
          <w:rFonts w:ascii="Times New Roman" w:cs="Times New Roman" w:eastAsia="Times New Roman" w:hAnsi="Times New Roman"/>
          <w:sz w:val="18"/>
          <w:szCs w:val="18"/>
          <w:color w:val="auto"/>
        </w:rPr>
        <w:t>. Trading in the Ordinary Shares shall not have been suspended on the Exchange and the Ordinary Shares shall not have been delisted from the Exchange.</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k. </w:t>
      </w:r>
      <w:r>
        <w:rPr>
          <w:rFonts w:ascii="Times New Roman" w:cs="Times New Roman" w:eastAsia="Times New Roman" w:hAnsi="Times New Roman"/>
          <w:sz w:val="18"/>
          <w:szCs w:val="18"/>
          <w:u w:val="single" w:color="auto"/>
          <w:color w:val="auto"/>
        </w:rPr>
        <w:t>Other Materials</w:t>
      </w:r>
      <w:r>
        <w:rPr>
          <w:rFonts w:ascii="Times New Roman" w:cs="Times New Roman" w:eastAsia="Times New Roman" w:hAnsi="Times New Roman"/>
          <w:sz w:val="18"/>
          <w:szCs w:val="18"/>
          <w:color w:val="auto"/>
        </w:rPr>
        <w:t xml:space="preserve">. On each date on which the Company is required to deliver a certificate pursuant to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the Company shall have furnished to the Agents such appropriate further information, certificates and documents as the Agents may reasonably request and which are usually and customarily furnished by an issuer of securities in connection with a securities offering of the type contemplated hereby. All such opinions, certificates, letters and other documents will be in compliance with the provisions hereof.</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l. </w:t>
      </w:r>
      <w:r>
        <w:rPr>
          <w:rFonts w:ascii="Times New Roman" w:cs="Times New Roman" w:eastAsia="Times New Roman" w:hAnsi="Times New Roman"/>
          <w:sz w:val="18"/>
          <w:szCs w:val="18"/>
          <w:u w:val="single" w:color="auto"/>
          <w:color w:val="auto"/>
        </w:rPr>
        <w:t>Securities Act Filings Made</w:t>
      </w:r>
      <w:r>
        <w:rPr>
          <w:rFonts w:ascii="Times New Roman" w:cs="Times New Roman" w:eastAsia="Times New Roman" w:hAnsi="Times New Roman"/>
          <w:sz w:val="18"/>
          <w:szCs w:val="18"/>
          <w:color w:val="auto"/>
        </w:rPr>
        <w:t>. All filings with the Commission required by Rule 424 under the Securities Act to have been filed prior to the issuance of any Placement Notice hereunder shall have been made within the applicable time period prescribed for such filing by Rule 424.</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m. </w:t>
      </w:r>
      <w:r>
        <w:rPr>
          <w:rFonts w:ascii="Times New Roman" w:cs="Times New Roman" w:eastAsia="Times New Roman" w:hAnsi="Times New Roman"/>
          <w:sz w:val="18"/>
          <w:szCs w:val="18"/>
          <w:u w:val="single" w:color="auto"/>
          <w:color w:val="auto"/>
        </w:rPr>
        <w:t>Approval for Listing</w:t>
      </w:r>
      <w:r>
        <w:rPr>
          <w:rFonts w:ascii="Times New Roman" w:cs="Times New Roman" w:eastAsia="Times New Roman" w:hAnsi="Times New Roman"/>
          <w:sz w:val="18"/>
          <w:szCs w:val="18"/>
          <w:color w:val="auto"/>
        </w:rPr>
        <w:t>. The Placement Shares shall either have been approved for listing on the Exchange, subject only to notice of issuance, or the Company shall have filed an application for listing of the Placement Shares on the Exchange at, or prior to, the issuance of any Placement Notice.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n. </w:t>
      </w:r>
      <w:r>
        <w:rPr>
          <w:rFonts w:ascii="Times New Roman" w:cs="Times New Roman" w:eastAsia="Times New Roman" w:hAnsi="Times New Roman"/>
          <w:sz w:val="18"/>
          <w:szCs w:val="18"/>
          <w:u w:val="single" w:color="auto"/>
          <w:color w:val="auto"/>
        </w:rPr>
        <w:t>No Termination Event</w:t>
      </w:r>
      <w:r>
        <w:rPr>
          <w:rFonts w:ascii="Times New Roman" w:cs="Times New Roman" w:eastAsia="Times New Roman" w:hAnsi="Times New Roman"/>
          <w:sz w:val="18"/>
          <w:szCs w:val="18"/>
          <w:color w:val="auto"/>
        </w:rPr>
        <w:t>. There shall not have occurred any event that would permit the Agents to terminate this Agreement pursuant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12(a)</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920" w:hanging="264"/>
        <w:spacing w:after="0"/>
        <w:tabs>
          <w:tab w:leader="none" w:pos="9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and Contribution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Indemnification</w:t>
      </w:r>
      <w:r>
        <w:rPr>
          <w:rFonts w:ascii="Times New Roman" w:cs="Times New Roman" w:eastAsia="Times New Roman" w:hAnsi="Times New Roman"/>
          <w:sz w:val="18"/>
          <w:szCs w:val="18"/>
          <w:color w:val="auto"/>
        </w:rPr>
        <w:t>. The Company agrees to indemnify and hold harmless the Agents, their partners, members, directors, officers, employees and agents and each person, if any, who controls the Agents within the meaning of Section 15 of the Securities Act or Section 20 of the Exchange Act as follows:</w:t>
      </w:r>
    </w:p>
    <w:p>
      <w:pPr>
        <w:spacing w:after="0" w:line="175" w:lineRule="exact"/>
        <w:rPr>
          <w:rFonts w:ascii="Times New Roman" w:cs="Times New Roman" w:eastAsia="Times New Roman" w:hAnsi="Times New Roman"/>
          <w:sz w:val="18"/>
          <w:szCs w:val="18"/>
          <w:color w:val="auto"/>
        </w:rPr>
      </w:pPr>
    </w:p>
    <w:p>
      <w:pPr>
        <w:jc w:val="both"/>
        <w:ind w:firstLine="1952"/>
        <w:spacing w:after="0" w:line="256" w:lineRule="auto"/>
        <w:tabs>
          <w:tab w:leader="none" w:pos="2163"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and all loss, liability, claim, damage and expense whatsoever, as incurred, joint or several, arising out of or based upon any untrue statement or alleged untrue statement of a material fact contained in the Registration Statement (or any amendment thereto), or the omission or alleged omission therefrom of a material fact required to be stated therein or necessary to make the statements therein not misleading, or arising out of any untrue statement or alleged untrue statement of a material fact included in any related Issuer Free Writing Prospectus or the Prospectus (or any amendment or supplement thereto), or the omission or alleged omission therefrom of a material fact necessary in order to make the statements therein, in the light of the circumstances under which they were made, not misleading;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jc w:val="both"/>
        <w:ind w:left="-1120" w:firstLine="1952"/>
        <w:spacing w:after="0" w:line="258" w:lineRule="auto"/>
        <w:tabs>
          <w:tab w:leader="none" w:pos="1103"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against any and all loss, liability, claim, damage and expense whatsoever, as incurred, joint or several,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provided that (subject to </w:t>
      </w:r>
      <w:r>
        <w:rPr>
          <w:rFonts w:ascii="Times New Roman" w:cs="Times New Roman" w:eastAsia="Times New Roman" w:hAnsi="Times New Roman"/>
          <w:sz w:val="18"/>
          <w:szCs w:val="18"/>
          <w:u w:val="single" w:color="auto"/>
          <w:color w:val="auto"/>
        </w:rPr>
        <w:t>Section 10(d)</w:t>
      </w:r>
      <w:r>
        <w:rPr>
          <w:rFonts w:ascii="Times New Roman" w:cs="Times New Roman" w:eastAsia="Times New Roman" w:hAnsi="Times New Roman"/>
          <w:sz w:val="18"/>
          <w:szCs w:val="18"/>
          <w:color w:val="auto"/>
        </w:rPr>
        <w:t xml:space="preserve"> below) any such settlement is effected with the written consent of the Company, which consent shall not unreasonably be delayed or withheld; and</w:t>
      </w:r>
    </w:p>
    <w:p>
      <w:pPr>
        <w:spacing w:after="0" w:line="183" w:lineRule="exact"/>
        <w:rPr>
          <w:rFonts w:ascii="Times New Roman" w:cs="Times New Roman" w:eastAsia="Times New Roman" w:hAnsi="Times New Roman"/>
          <w:sz w:val="18"/>
          <w:szCs w:val="18"/>
          <w:color w:val="auto"/>
        </w:rPr>
      </w:pPr>
    </w:p>
    <w:p>
      <w:pPr>
        <w:jc w:val="both"/>
        <w:ind w:left="-1120" w:firstLine="1952"/>
        <w:spacing w:after="0" w:line="254" w:lineRule="auto"/>
        <w:tabs>
          <w:tab w:leader="none" w:pos="117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against any and all expense whatsoever, as incurred (including the reasonable and documented out-of-pocket fees and disbursements of counsel), reasonably incurred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to the extent that any such expense is not paid under (i) or (ii) above;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Section 10(a)</w:t>
      </w:r>
      <w:r>
        <w:rPr>
          <w:rFonts w:ascii="Times New Roman" w:cs="Times New Roman" w:eastAsia="Times New Roman" w:hAnsi="Times New Roman"/>
          <w:sz w:val="18"/>
          <w:szCs w:val="18"/>
          <w:color w:val="auto"/>
        </w:rPr>
        <w:t xml:space="preserve"> shall not apply to any loss, liability, claim, damage or expense to the extent arising out of any untrue statement or omission or alleged untrue statement or omission made solely in reliance upon and in conformity with written information furnished to the Company by any Agent expressly for use in the Registration Statement (or any amendment thereto), or in any related Issuer Free Writing Prospectus or the Prospectus (or any amendment or supplement thereto), it being understood and agreed that the only such information furnished by the Agents to the Company consists of the first sentence of the ninth paragraph under the caption “Plan of Distribution” in the Prospectus Supplement (the “</w:t>
      </w:r>
      <w:r>
        <w:rPr>
          <w:rFonts w:ascii="Times New Roman" w:cs="Times New Roman" w:eastAsia="Times New Roman" w:hAnsi="Times New Roman"/>
          <w:sz w:val="18"/>
          <w:szCs w:val="18"/>
          <w:u w:val="single" w:color="auto"/>
          <w:color w:val="auto"/>
        </w:rPr>
        <w:t>Agents’ Information</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jc w:val="both"/>
        <w:ind w:left="-1120" w:firstLine="1304"/>
        <w:spacing w:after="0" w:line="255" w:lineRule="auto"/>
        <w:tabs>
          <w:tab w:leader="none" w:pos="44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the Agents</w:t>
      </w:r>
      <w:r>
        <w:rPr>
          <w:rFonts w:ascii="Times New Roman" w:cs="Times New Roman" w:eastAsia="Times New Roman" w:hAnsi="Times New Roman"/>
          <w:sz w:val="18"/>
          <w:szCs w:val="18"/>
          <w:color w:val="auto"/>
        </w:rPr>
        <w:t xml:space="preserve">. Each Agent, severally and not jointly, agrees to indemnify and hold harmless the Company and its directors and officers, and each person, if any, who (i) controls the Company within the meaning of Section 15 of the Securities Act or Section 20 of the Exchange Act or (ii) is controlled by or is under common control with the Company against any and all loss, liability, claim, damage and expense described in the indemnity contained in </w:t>
      </w:r>
      <w:r>
        <w:rPr>
          <w:rFonts w:ascii="Times New Roman" w:cs="Times New Roman" w:eastAsia="Times New Roman" w:hAnsi="Times New Roman"/>
          <w:sz w:val="18"/>
          <w:szCs w:val="18"/>
          <w:u w:val="single" w:color="auto"/>
          <w:color w:val="auto"/>
        </w:rPr>
        <w:t>Section 10(a)</w:t>
      </w:r>
      <w:r>
        <w:rPr>
          <w:rFonts w:ascii="Times New Roman" w:cs="Times New Roman" w:eastAsia="Times New Roman" w:hAnsi="Times New Roman"/>
          <w:sz w:val="18"/>
          <w:szCs w:val="18"/>
          <w:color w:val="auto"/>
        </w:rPr>
        <w:t>, as incurred, but only with respect to untrue statements or omissions, or alleged untrue statements or omissions, made in the Registration Statement (or any amendments thereto) or in any related Issuer Free Writing Prospectus or the Prospectus (or any amendment or supplement thereto) in reliance upon and in conformity with information relating to such Agent and furnished to the Company in writing by such Agent expressly for use therein.</w:t>
      </w:r>
    </w:p>
    <w:p>
      <w:pPr>
        <w:spacing w:after="0" w:line="188" w:lineRule="exact"/>
        <w:rPr>
          <w:rFonts w:ascii="Times New Roman" w:cs="Times New Roman" w:eastAsia="Times New Roman" w:hAnsi="Times New Roman"/>
          <w:sz w:val="18"/>
          <w:szCs w:val="18"/>
          <w:color w:val="auto"/>
        </w:rPr>
      </w:pPr>
    </w:p>
    <w:p>
      <w:pPr>
        <w:jc w:val="both"/>
        <w:ind w:left="-1120" w:firstLine="1304"/>
        <w:spacing w:after="0" w:line="251" w:lineRule="auto"/>
        <w:tabs>
          <w:tab w:leader="none" w:pos="4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w:t>
      </w:r>
      <w:r>
        <w:rPr>
          <w:rFonts w:ascii="Times New Roman" w:cs="Times New Roman" w:eastAsia="Times New Roman" w:hAnsi="Times New Roman"/>
          <w:sz w:val="18"/>
          <w:szCs w:val="18"/>
          <w:color w:val="auto"/>
        </w:rPr>
        <w:t xml:space="preserve">. Any party that proposes to assert the right to be indemnified under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will, promptly after receipt of notice of commencement of any action against such party in respect of which a claim is to be made against an indemnifying party or parties under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notify each such indemnifying party of the commencement of such action, enclosing a copy of all papers served, but the omission so to notify such indemnifying party will not relieve the indemnifying party from (i) any liability that it might have to any indemnified party otherwise than under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and (ii) any liability that it may have to any indemnified party under the foregoing provisions of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unless, and only to the extent that, such omission results in the forfeiture of substantive rights or defenses by the indemnifying party. If any such action is brought against any indemnified party and it notifies the indemnifying party of its commencement, the indemnifying party will be entitled to participate in and, to the extent that it elects by delivering written notice to the indemnified party promptly after receiving notice of the commencement of the action from the indemnified party, jointly with any other indemnifying party similarly notified, to assume the defense of the action, with counsel reasonably satisfactory to the indemnified party, and after notice from the indemnifying party to the indemnified party of its election to assume the defense, the indemnifying party will not be liable to the indemnified party for any legal or other expenses except as provided below and except for the reasonable and documented costs of investigation subsequently incurred by the indemnified party in connection with the defense. The indemnified party will have the right to employ its own counsel in any such action, but the fees, expenses and other charges of such counsel will be at the expense of such indemnified party unless (1) the employment of counsel by the indemnified party has been authorized in writing by the indemnifying party, (2) the indemnified party has reasonably concluded (based on advice of counsel) that there may be legal defenses available to it or other indemnified parties that are different from or in addition to those available to the indemnifying party, (3) a conflict or potential conflict of interest exists (based on advice of counsel to the indemnified party) between the indemnified party and the indemnifying party (in which case the indemnifying party will not have the right to direct the defense of such action on behalf of the indemnified party) or (4) the indemnifying party has not in fact employed counsel to assume the defense of such action within a reasonable time after receiving notice of the commencement of the action, in each of which cases the reasonable and documented out-of-pocket fees, disbursements and other charges of counsel will be at the expense of the indemnifying party or parties. It is understood that the indemnifying party or parties shall not, in connection with any proceeding or related proceedings in the same jurisdiction, be liable for the reasonable and documented out-of-pocket fees, disbursements and other charges of more than one separate firm admitted to practice in such jurisdiction at any one time for all such indemnified party or parties. All such reasonable and documented out-of-pocket fees, disbursements and other charges will be reimbursed by the indemnifying party promptly after the indemnifying party receives a written invoice relating to fees, disbursements and other charges in reasonable detail. An indemnifying party will not, in any event, be liable for any settlement of any action or claim effected without its written consent. No indemnifying party shall, without the prior written consent of each indemnified party, settle or compromise or consent to the entry of any judgment in any pending or threatened claim, action or proceeding relating to the matters contemplated by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(whether or not any indemnified party is a party thereto), unless such settlement, compromise or consent (1) includes an unconditional release of each indemnified party from all liability arising out of such litigation, investigation, proceeding or claim and (2) does not include a statement as to or an admission of fault, culpability or a failure to act by or on behalf of any indemnified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251460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28" w:name="page29"/>
    <w:bookmarkEnd w:id="28"/>
    <w:p>
      <w:pPr>
        <w:jc w:val="both"/>
        <w:ind w:left="-656" w:firstLine="1304"/>
        <w:spacing w:after="0" w:line="251" w:lineRule="auto"/>
        <w:tabs>
          <w:tab w:leader="none" w:pos="89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xml:space="preserve">. In order to provide for just and equitable contribution in circumstances in which the indemnification provided for in the foregoing paragraphs of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is applicable in accordance with its terms but for any reason is held to be unavailable from the Company or an Agent, the Company and such Agent will contribute to the total losses, claims, liabilities, expenses and damages (including any investigative, legal and other expenses reasonably incurred in connection with, and any amount paid in settlement of, any action, suit or proceeding or any claim asserted, but after deducting any contribution received by the Company from persons other than the Agents, such as persons who control the Company within the meaning of the Securities Act or the Exchange Act, officers of the Company who signed the Registration Statement and directors of the Company, who also may be liable for contribution) to which the Company and the Agents may be subject in such proportion as shall be appropriate to reflect the relative benefits received by the Company on the one hand and the Agents on the other hand. The relative benefits received by the Company on the one hand and the Agents on the other hand shall be deemed to be in the same proportion as the total Net Proceeds from the sale of the Placement Shares (before deducting expenses) received by the Company bear to the total compensation received by the Agents (before deducting expenses) from the sale of Placement Shares on behalf of the Company. If, but only if, the allocation provided by the foregoing sentence is not permitted by applicable law, the allocation of contribution shall be made in such proportion as is appropriate to reflect not only the relative benefits referred to in the foregoing sentence but also the relative fault of the Company, on the one hand, and such Agent, on the other hand, with respect to the statements or omission that resulted in such loss, claim, liability, expense or damage, or action in respect thereof, as well as any other relevant equitable considerations with respect to such offering. Such relative fault shall be determined by reference to, among other things, whether the untrue or alleged untrue statement of a material fact or omission or alleged omission to state a material fact relates to information supplied by the Company or such Agent, the intent of the parties and their relative knowledge, access to information and opportunity to correct or prevent such statement or omission. The Company and each Agent agree that it would not be just and equitable if contributions pursuant to this </w:t>
      </w:r>
      <w:r>
        <w:rPr>
          <w:rFonts w:ascii="Times New Roman" w:cs="Times New Roman" w:eastAsia="Times New Roman" w:hAnsi="Times New Roman"/>
          <w:sz w:val="18"/>
          <w:szCs w:val="18"/>
          <w:u w:val="single" w:color="auto"/>
          <w:color w:val="auto"/>
        </w:rPr>
        <w:t>Section 10(d)</w:t>
      </w:r>
      <w:r>
        <w:rPr>
          <w:rFonts w:ascii="Times New Roman" w:cs="Times New Roman" w:eastAsia="Times New Roman" w:hAnsi="Times New Roman"/>
          <w:sz w:val="18"/>
          <w:szCs w:val="18"/>
          <w:color w:val="auto"/>
        </w:rPr>
        <w:t xml:space="preserve"> were to be determined by pro rata allocation or by any other method of allocation that does not take into account the equitable considerations referred to herein. The amount paid or payable by an indemnified party as a result of the loss, claim, liability, expense, or damage, or action in respect thereof, referred to above in this </w:t>
      </w:r>
      <w:r>
        <w:rPr>
          <w:rFonts w:ascii="Times New Roman" w:cs="Times New Roman" w:eastAsia="Times New Roman" w:hAnsi="Times New Roman"/>
          <w:sz w:val="18"/>
          <w:szCs w:val="18"/>
          <w:u w:val="single" w:color="auto"/>
          <w:color w:val="auto"/>
        </w:rPr>
        <w:t>Section 10(d)</w:t>
      </w:r>
      <w:r>
        <w:rPr>
          <w:rFonts w:ascii="Times New Roman" w:cs="Times New Roman" w:eastAsia="Times New Roman" w:hAnsi="Times New Roman"/>
          <w:sz w:val="18"/>
          <w:szCs w:val="18"/>
          <w:color w:val="auto"/>
        </w:rPr>
        <w:t xml:space="preserve"> shall be deemed to include, for the purpose of this </w:t>
      </w:r>
      <w:r>
        <w:rPr>
          <w:rFonts w:ascii="Times New Roman" w:cs="Times New Roman" w:eastAsia="Times New Roman" w:hAnsi="Times New Roman"/>
          <w:sz w:val="18"/>
          <w:szCs w:val="18"/>
          <w:u w:val="single" w:color="auto"/>
          <w:color w:val="auto"/>
        </w:rPr>
        <w:t>Section 10(d)</w:t>
      </w:r>
      <w:r>
        <w:rPr>
          <w:rFonts w:ascii="Times New Roman" w:cs="Times New Roman" w:eastAsia="Times New Roman" w:hAnsi="Times New Roman"/>
          <w:sz w:val="18"/>
          <w:szCs w:val="18"/>
          <w:color w:val="auto"/>
        </w:rPr>
        <w:t xml:space="preserve">, any legal or other expenses reasonably incurred by such indemnified party in connection with investigating or defending any such action or claim to the extent consistent with </w:t>
      </w:r>
      <w:r>
        <w:rPr>
          <w:rFonts w:ascii="Times New Roman" w:cs="Times New Roman" w:eastAsia="Times New Roman" w:hAnsi="Times New Roman"/>
          <w:sz w:val="18"/>
          <w:szCs w:val="18"/>
          <w:u w:val="single" w:color="auto"/>
          <w:color w:val="auto"/>
        </w:rPr>
        <w:t>Section 10(c)</w:t>
      </w:r>
      <w:r>
        <w:rPr>
          <w:rFonts w:ascii="Times New Roman" w:cs="Times New Roman" w:eastAsia="Times New Roman" w:hAnsi="Times New Roman"/>
          <w:sz w:val="18"/>
          <w:szCs w:val="18"/>
          <w:color w:val="auto"/>
        </w:rPr>
        <w:t xml:space="preserve"> hereof. Notwithstanding the foregoing provisions of this </w:t>
      </w:r>
      <w:r>
        <w:rPr>
          <w:rFonts w:ascii="Times New Roman" w:cs="Times New Roman" w:eastAsia="Times New Roman" w:hAnsi="Times New Roman"/>
          <w:sz w:val="18"/>
          <w:szCs w:val="18"/>
          <w:u w:val="single" w:color="auto"/>
          <w:color w:val="auto"/>
        </w:rPr>
        <w:t>Section 10(d)</w:t>
      </w:r>
      <w:r>
        <w:rPr>
          <w:rFonts w:ascii="Times New Roman" w:cs="Times New Roman" w:eastAsia="Times New Roman" w:hAnsi="Times New Roman"/>
          <w:sz w:val="18"/>
          <w:szCs w:val="18"/>
          <w:color w:val="auto"/>
        </w:rPr>
        <w:t xml:space="preserve">, an Agent shall not be required to contribute any amount in excess of the commissions received by it under this Agreement and no person found guilty of fraudulent misrepresentation (within the meaning of Section 11(f) of the Securities Act) will be entitled to contribution from any person who was not guilty of such fraudulent misrepresentation. For purposes of this </w:t>
      </w:r>
      <w:r>
        <w:rPr>
          <w:rFonts w:ascii="Times New Roman" w:cs="Times New Roman" w:eastAsia="Times New Roman" w:hAnsi="Times New Roman"/>
          <w:sz w:val="18"/>
          <w:szCs w:val="18"/>
          <w:u w:val="single" w:color="auto"/>
          <w:color w:val="auto"/>
        </w:rPr>
        <w:t>Section 10(d)</w:t>
      </w:r>
      <w:r>
        <w:rPr>
          <w:rFonts w:ascii="Times New Roman" w:cs="Times New Roman" w:eastAsia="Times New Roman" w:hAnsi="Times New Roman"/>
          <w:sz w:val="18"/>
          <w:szCs w:val="18"/>
          <w:color w:val="auto"/>
        </w:rPr>
        <w:t xml:space="preserve">, any person who controls a party to this Agreement within the meaning of the Securities Act or the Exchange Act, and any officers, directors, partners, employees or agents of an Agent, will have the same rights to contribution as that party, and each officer who signed the Registration Statement and director of the Company will have the same rights to contribution as the Company, subject in each case to the provisions hereof. Any party entitled to contribution, promptly after receipt of notice of commencement of any action against such party in respect of which a claim for contribution may be made under this </w:t>
      </w:r>
      <w:r>
        <w:rPr>
          <w:rFonts w:ascii="Times New Roman" w:cs="Times New Roman" w:eastAsia="Times New Roman" w:hAnsi="Times New Roman"/>
          <w:sz w:val="18"/>
          <w:szCs w:val="18"/>
          <w:u w:val="single" w:color="auto"/>
          <w:color w:val="auto"/>
        </w:rPr>
        <w:t>Section 10(d)</w:t>
      </w:r>
      <w:r>
        <w:rPr>
          <w:rFonts w:ascii="Times New Roman" w:cs="Times New Roman" w:eastAsia="Times New Roman" w:hAnsi="Times New Roman"/>
          <w:sz w:val="18"/>
          <w:szCs w:val="18"/>
          <w:color w:val="auto"/>
        </w:rPr>
        <w:t xml:space="preserve">, will notify any such party or parties from whom contribution may be sought, but the omission to so notify will not relieve that party or parties from whom contribution may be sought from any other obligation it or they may have under this </w:t>
      </w:r>
      <w:r>
        <w:rPr>
          <w:rFonts w:ascii="Times New Roman" w:cs="Times New Roman" w:eastAsia="Times New Roman" w:hAnsi="Times New Roman"/>
          <w:sz w:val="18"/>
          <w:szCs w:val="18"/>
          <w:u w:val="single" w:color="auto"/>
          <w:color w:val="auto"/>
        </w:rPr>
        <w:t>Section 10(d)</w:t>
      </w:r>
      <w:r>
        <w:rPr>
          <w:rFonts w:ascii="Times New Roman" w:cs="Times New Roman" w:eastAsia="Times New Roman" w:hAnsi="Times New Roman"/>
          <w:sz w:val="18"/>
          <w:szCs w:val="18"/>
          <w:color w:val="auto"/>
        </w:rPr>
        <w:t xml:space="preserve"> except to the extent that the failure to so notify such other party materially prejudiced the substantive rights or defenses of the party from whom contribution is sought. Except for a settlement entered into pursuant to the last sentence of </w:t>
      </w:r>
      <w:r>
        <w:rPr>
          <w:rFonts w:ascii="Times New Roman" w:cs="Times New Roman" w:eastAsia="Times New Roman" w:hAnsi="Times New Roman"/>
          <w:sz w:val="18"/>
          <w:szCs w:val="18"/>
          <w:u w:val="single" w:color="auto"/>
          <w:color w:val="auto"/>
        </w:rPr>
        <w:t>Section 10(c)</w:t>
      </w:r>
      <w:r>
        <w:rPr>
          <w:rFonts w:ascii="Times New Roman" w:cs="Times New Roman" w:eastAsia="Times New Roman" w:hAnsi="Times New Roman"/>
          <w:sz w:val="18"/>
          <w:szCs w:val="18"/>
          <w:color w:val="auto"/>
        </w:rPr>
        <w:t xml:space="preserve"> hereof, no party will be liable for contribution with respect to any action or claim settled without its written consent if such consent is required pursuant to </w:t>
      </w:r>
      <w:r>
        <w:rPr>
          <w:rFonts w:ascii="Times New Roman" w:cs="Times New Roman" w:eastAsia="Times New Roman" w:hAnsi="Times New Roman"/>
          <w:sz w:val="18"/>
          <w:szCs w:val="18"/>
          <w:u w:val="single" w:color="auto"/>
          <w:color w:val="auto"/>
        </w:rPr>
        <w:t>Section 10(c)</w:t>
      </w:r>
      <w:r>
        <w:rPr>
          <w:rFonts w:ascii="Times New Roman" w:cs="Times New Roman" w:eastAsia="Times New Roman" w:hAnsi="Times New Roman"/>
          <w:sz w:val="18"/>
          <w:szCs w:val="18"/>
          <w:color w:val="auto"/>
        </w:rPr>
        <w:t xml:space="preserve"> hereof. The Agents’ respective obligations to contribute pursuant to this </w:t>
      </w:r>
      <w:r>
        <w:rPr>
          <w:rFonts w:ascii="Times New Roman" w:cs="Times New Roman" w:eastAsia="Times New Roman" w:hAnsi="Times New Roman"/>
          <w:sz w:val="18"/>
          <w:szCs w:val="18"/>
          <w:u w:val="single" w:color="auto"/>
          <w:color w:val="auto"/>
        </w:rPr>
        <w:t>Section 10(d)</w:t>
      </w:r>
      <w:r>
        <w:rPr>
          <w:rFonts w:ascii="Times New Roman" w:cs="Times New Roman" w:eastAsia="Times New Roman" w:hAnsi="Times New Roman"/>
          <w:sz w:val="18"/>
          <w:szCs w:val="18"/>
          <w:color w:val="auto"/>
        </w:rPr>
        <w:t xml:space="preserve"> are several in proportion to the respective number of Placement Shares they have sold hereunder, and not joint.</w:t>
      </w:r>
    </w:p>
    <w:p>
      <w:pPr>
        <w:spacing w:after="0" w:line="199" w:lineRule="exact"/>
        <w:rPr>
          <w:rFonts w:ascii="Times New Roman" w:cs="Times New Roman" w:eastAsia="Times New Roman" w:hAnsi="Times New Roman"/>
          <w:sz w:val="18"/>
          <w:szCs w:val="18"/>
          <w:color w:val="auto"/>
        </w:rPr>
      </w:pPr>
    </w:p>
    <w:p>
      <w:pPr>
        <w:jc w:val="both"/>
        <w:ind w:left="-636" w:firstLine="636"/>
        <w:spacing w:after="0" w:line="261" w:lineRule="auto"/>
        <w:tabs>
          <w:tab w:leader="none" w:pos="25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Agreements to Survive Delivery</w:t>
      </w:r>
      <w:r>
        <w:rPr>
          <w:rFonts w:ascii="Times New Roman" w:cs="Times New Roman" w:eastAsia="Times New Roman" w:hAnsi="Times New Roman"/>
          <w:sz w:val="18"/>
          <w:szCs w:val="18"/>
          <w:color w:val="auto"/>
        </w:rPr>
        <w:t xml:space="preserve">. The indemnity and contribution agreements contained in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of this Agreement and all representations and warranties of the Company herein in certificates delivered pursuant hereto shall survive, as of their respective dates, regardless of (i) any investigation made by or on behalf of the Agents, any controlling persons, or the Company (or any of their respective officers, directors or controlling persons), (ii) delivery and acceptance of the Placement Shares and payment therefor or (iii) any termination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236855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sectPr>
      </w:pPr>
    </w:p>
    <w:bookmarkStart w:id="29" w:name="page30"/>
    <w:bookmarkEnd w:id="29"/>
    <w:p>
      <w:pPr>
        <w:ind w:left="912" w:hanging="264"/>
        <w:spacing w:after="0"/>
        <w:tabs>
          <w:tab w:leader="none" w:pos="912"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472" w:hanging="176"/>
        <w:spacing w:after="0"/>
        <w:tabs>
          <w:tab w:leader="none" w:pos="1472"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Agent may terminate this Agreement with respect to itself, by written notice to the Company, as hereinafter specified at any time</w:t>
      </w:r>
    </w:p>
    <w:p>
      <w:pPr>
        <w:spacing w:after="0" w:line="27" w:lineRule="exact"/>
        <w:rPr>
          <w:rFonts w:ascii="Times New Roman" w:cs="Times New Roman" w:eastAsia="Times New Roman" w:hAnsi="Times New Roman"/>
          <w:sz w:val="18"/>
          <w:szCs w:val="18"/>
          <w:color w:val="auto"/>
        </w:rPr>
      </w:pPr>
    </w:p>
    <w:p>
      <w:pPr>
        <w:jc w:val="both"/>
        <w:ind w:left="-8" w:firstLine="8"/>
        <w:spacing w:after="0" w:line="250" w:lineRule="auto"/>
        <w:tabs>
          <w:tab w:leader="none" w:pos="26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has been, since the time of execution of this Agreement or since the date as of which information is given in the Prospectus, any Material Adverse Effect, or any development that would have a Material Adverse Effect that, in the sole judgment of such Agent, is material and adverse and makes it impractical or inadvisable to market the Placement Shares or to enforce contracts for the sale of the Placement Shares, (2)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such Agent, impracticable or inadvisable to market the Placement Shares or to enforce contracts for the sale of the Placement Shares, (3) if trading in the Ordinary Shares has been suspended or limited by the Commission or the Exchange, or if trading generally on the Exchange has been suspended or limited, or minimum prices for trading have been fixed on the Exchange,</w:t>
      </w:r>
    </w:p>
    <w:p>
      <w:pPr>
        <w:spacing w:after="0" w:line="3" w:lineRule="exact"/>
        <w:rPr>
          <w:rFonts w:ascii="Times New Roman" w:cs="Times New Roman" w:eastAsia="Times New Roman" w:hAnsi="Times New Roman"/>
          <w:sz w:val="18"/>
          <w:szCs w:val="18"/>
          <w:color w:val="auto"/>
        </w:rPr>
      </w:pPr>
    </w:p>
    <w:p>
      <w:pPr>
        <w:ind w:left="252" w:hanging="252"/>
        <w:spacing w:after="0"/>
        <w:tabs>
          <w:tab w:leader="none" w:pos="25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suspension of trading of any securities of the Company on any exchange or in the over-the-counter market shall have occurred and be continuing,</w:t>
      </w:r>
    </w:p>
    <w:p>
      <w:pPr>
        <w:spacing w:after="0" w:line="9" w:lineRule="exact"/>
        <w:rPr>
          <w:rFonts w:ascii="Times New Roman" w:cs="Times New Roman" w:eastAsia="Times New Roman" w:hAnsi="Times New Roman"/>
          <w:sz w:val="18"/>
          <w:szCs w:val="18"/>
          <w:color w:val="auto"/>
        </w:rPr>
      </w:pPr>
    </w:p>
    <w:p>
      <w:pPr>
        <w:jc w:val="both"/>
        <w:ind w:left="-8" w:firstLine="8"/>
        <w:spacing w:after="0" w:line="252" w:lineRule="auto"/>
        <w:tabs>
          <w:tab w:leader="none" w:pos="26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major disruption of securities settlements or clearance services in the United States shall have occurred and be continuing, or (6) if a banking moratorium has been declared by either U.S. Federal or New York authorities. Any such termination shall be without liability of any party to any other party except that the provisions of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(Payment of Expenses),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(Indemnification and Contribution),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(Representations and Agreements to Survive Delivery),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(Governing Law and Time; Waiver of Jury Trial) and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xml:space="preserve"> (Consent to Jurisdiction) hereof shall remain in full force and effect notwithstanding such termination. If an Agent elects to terminate this Agreement as provided in this </w:t>
      </w:r>
      <w:r>
        <w:rPr>
          <w:rFonts w:ascii="Times New Roman" w:cs="Times New Roman" w:eastAsia="Times New Roman" w:hAnsi="Times New Roman"/>
          <w:sz w:val="18"/>
          <w:szCs w:val="18"/>
          <w:u w:val="single" w:color="auto"/>
          <w:color w:val="auto"/>
        </w:rPr>
        <w:t>Section 12(a)</w:t>
      </w:r>
      <w:r>
        <w:rPr>
          <w:rFonts w:ascii="Times New Roman" w:cs="Times New Roman" w:eastAsia="Times New Roman" w:hAnsi="Times New Roman"/>
          <w:sz w:val="18"/>
          <w:szCs w:val="18"/>
          <w:color w:val="auto"/>
        </w:rPr>
        <w:t xml:space="preserve">, such Agent shall provide the required notice as specified in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(Notices).</w:t>
      </w:r>
    </w:p>
    <w:p>
      <w:pPr>
        <w:spacing w:after="0" w:line="189" w:lineRule="exact"/>
        <w:rPr>
          <w:rFonts w:ascii="Times New Roman" w:cs="Times New Roman" w:eastAsia="Times New Roman" w:hAnsi="Times New Roman"/>
          <w:sz w:val="18"/>
          <w:szCs w:val="18"/>
          <w:color w:val="auto"/>
        </w:rPr>
      </w:pPr>
    </w:p>
    <w:p>
      <w:pPr>
        <w:jc w:val="both"/>
        <w:ind w:left="-8" w:firstLine="1304"/>
        <w:spacing w:after="0" w:line="258" w:lineRule="auto"/>
        <w:tabs>
          <w:tab w:leader="none" w:pos="1492"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the right, by giving two (2) days’ notice as hereinafter specified to terminate this Agreement in its sole discretion at any time after the date of this Agreement. Any such termination shall be without liability of any party to any other party except that the provisions of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(Payment of Expenses),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(Indemnification and Contribution),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(Representations and Agreements to Survive Delivery),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(Governing Law and Time; Waiver of Jury Trial) and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xml:space="preserve"> (Consent to Jurisdiction) hereof shall remain in full force and effect notwithstanding such termination.</w:t>
      </w:r>
    </w:p>
    <w:p>
      <w:pPr>
        <w:spacing w:after="0" w:line="183" w:lineRule="exact"/>
        <w:rPr>
          <w:rFonts w:ascii="Times New Roman" w:cs="Times New Roman" w:eastAsia="Times New Roman" w:hAnsi="Times New Roman"/>
          <w:sz w:val="18"/>
          <w:szCs w:val="18"/>
          <w:color w:val="auto"/>
        </w:rPr>
      </w:pPr>
    </w:p>
    <w:p>
      <w:pPr>
        <w:jc w:val="both"/>
        <w:ind w:left="-8" w:firstLine="1304"/>
        <w:spacing w:after="0" w:line="258" w:lineRule="auto"/>
        <w:tabs>
          <w:tab w:leader="none" w:pos="1474"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Agent shall have the right, by giving two (2) days’ notice as hereinafter specified to terminate this Agreement with respect to itself in its sole discretion at any time after the date of this Agreement. Any such termination shall be without liability of any party to any other party except that the provisions of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(Payment of Expenses),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(Indemnification and Contribution),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(Representations and Agreements to Survive Delivery),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(Governing Law and Time; Waiver of Jury Trial) and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(Consent to Jurisdiction) hereof shall remain in full force and effect notwithstanding such termination.</w:t>
      </w:r>
    </w:p>
    <w:p>
      <w:pPr>
        <w:spacing w:after="0" w:line="183" w:lineRule="exact"/>
        <w:rPr>
          <w:rFonts w:ascii="Times New Roman" w:cs="Times New Roman" w:eastAsia="Times New Roman" w:hAnsi="Times New Roman"/>
          <w:sz w:val="18"/>
          <w:szCs w:val="18"/>
          <w:color w:val="auto"/>
        </w:rPr>
      </w:pPr>
    </w:p>
    <w:p>
      <w:pPr>
        <w:jc w:val="both"/>
        <w:ind w:left="-8" w:firstLine="1304"/>
        <w:spacing w:after="0" w:line="261" w:lineRule="auto"/>
        <w:tabs>
          <w:tab w:leader="none" w:pos="1472"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earlier terminated pursuant to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this Agreement shall automatically terminate upon the issuance and sale of all of the Placement Shares through the Agents on the terms and subject to the conditions set forth herein except that the provisions of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(Payment of Expenses),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(Indemnification and Contribution),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(Representations and Agreements to Survive Delivery),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(Governing Law and Time; Waiver of Jury Trial) and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xml:space="preserve"> (Consent to Jurisdiction) hereof shall remain in full force and effect notwithstanding such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236855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sectPr>
      </w:pPr>
    </w:p>
    <w:bookmarkStart w:id="30" w:name="page31"/>
    <w:bookmarkEnd w:id="30"/>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e. This Agreement shall remain in full force and effect unless terminated pursuant to </w:t>
      </w:r>
      <w:r>
        <w:rPr>
          <w:rFonts w:ascii="Times New Roman" w:cs="Times New Roman" w:eastAsia="Times New Roman" w:hAnsi="Times New Roman"/>
          <w:sz w:val="18"/>
          <w:szCs w:val="18"/>
          <w:u w:val="single" w:color="auto"/>
          <w:color w:val="auto"/>
        </w:rPr>
        <w:t>Sections 13(a)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above or otherwise by mutual written agreement of the parties;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any such termination by mutual agreement shall in all cases be deemed to provide that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(Payment of Expenses),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(Indemnification and Contribution),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(Representations and Agreements to Survive Delivery),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(Governing Law and Time; Waiver of Jury Trial) and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xml:space="preserve"> (Consent to Jurisdiction) shall remain in full force and effect. Upon termination of this Agreement, the Company shall not have any liability to an Agent for any discount, commission or other compensation with respect to any Placement Shares not otherwise sold by an Agent under this Agreement.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To the extent this Agreement is terminated by one Agent or by the Company with respect to one Agent pursuant to </w:t>
      </w:r>
      <w:r>
        <w:rPr>
          <w:rFonts w:ascii="Times New Roman" w:cs="Times New Roman" w:eastAsia="Times New Roman" w:hAnsi="Times New Roman"/>
          <w:sz w:val="18"/>
          <w:szCs w:val="18"/>
          <w:u w:val="single" w:color="auto"/>
          <w:color w:val="auto"/>
        </w:rPr>
        <w:t>Sections 13(a)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above, (i) this Agreement shall terminate only with respect to such Agent and shall remain in full force and effect with respect to the Company and the other Agents, unless and until terminated pursuant to </w:t>
      </w:r>
      <w:r>
        <w:rPr>
          <w:rFonts w:ascii="Times New Roman" w:cs="Times New Roman" w:eastAsia="Times New Roman" w:hAnsi="Times New Roman"/>
          <w:sz w:val="18"/>
          <w:szCs w:val="18"/>
          <w:u w:val="single" w:color="auto"/>
          <w:color w:val="auto"/>
        </w:rPr>
        <w:t>Sections 13(a)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above.</w:t>
      </w:r>
    </w:p>
    <w:p>
      <w:pPr>
        <w:spacing w:after="0" w:line="174"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f. Any termination of this Agreement shall be effective on the date specified in such notice of termination;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such termination shall not be effective until the close of business on the date of receipt of such notice by an Agent or the Company, as the case may be. If such termination shall occur prior to the Settlement Date for any sale of Placement Shares, such Placement Shares shall settle in accordance with the provisions of this Agreement.</w:t>
      </w:r>
    </w:p>
    <w:p>
      <w:pPr>
        <w:spacing w:after="0" w:line="182" w:lineRule="exact"/>
        <w:rPr>
          <w:sz w:val="20"/>
          <w:szCs w:val="20"/>
          <w:color w:val="auto"/>
        </w:rPr>
      </w:pPr>
    </w:p>
    <w:p>
      <w:pPr>
        <w:ind w:left="20" w:firstLine="636"/>
        <w:spacing w:after="0" w:line="282" w:lineRule="auto"/>
        <w:tabs>
          <w:tab w:leader="none" w:pos="92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or other communications required or permitted to be given by any party to any other party pursuant to the terms of this Agreement shall be in writing, unless otherwise specified, and if sent to the Agents, shall be delivered to:</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Barclays Capital Inc.</w:t>
      </w:r>
    </w:p>
    <w:p>
      <w:pPr>
        <w:spacing w:after="0" w:line="2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Cantor Fitzgerald &amp; Co.</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Cantor Fitzgerald &amp; Co.</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A.G.P./Alliance Global Partners</w:t>
      </w:r>
    </w:p>
    <w:p>
      <w:pPr>
        <w:spacing w:after="0" w:line="2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Benchmark Company, LLC</w:t>
      </w:r>
    </w:p>
    <w:p>
      <w:pPr>
        <w:spacing w:after="0" w:line="2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Riley Securities, Inc.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BTIG, LLC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Keefe, Bruyette &amp; Woods, Inc.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Needham &amp; Company, LLC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Northland Securities, Inc.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Rosenblatt Securities Inc.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Roth Capital Partners, LLC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StockBlock Securities LLC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Goodwin Procter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if to the Company, shall be delivered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Bitdeer Technologies Group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Cooley HK</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party to this Agreement may change such address for notices by sending to the parties to this Agreement written notice of a new address for such purpose. Each such notice or other communication shall be deemed given (i) when delivered personally, by email, or by verifiable facsimile transmission on or before 4:30 p.m., New York City time, on a Business Day or, if such day is not a Business Day, on the next succeeding Business Day, (ii) on the next Business Day after timely delivery to a nationally-recognized overnight courier and (iii) on the Business Day actually received if deposited in the U.S. mail (certified or registered mail, return receipt requested, postage prepaid). For purposes of this Agreement, “</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shall mean any day on which the Exchange and commercial banks in the City of New York are open for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jc w:val="both"/>
        <w:ind w:left="-636" w:firstLine="636"/>
        <w:spacing w:after="0" w:line="256" w:lineRule="auto"/>
        <w:tabs>
          <w:tab w:leader="none" w:pos="26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xml:space="preserve">. This Agreement shall inure to the benefit of and be binding upon the Company and each Agent and their respective successors and the affiliates, controlling persons, officers and directors referred to in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hereof. References to any of the parties contained in this Agreement shall be deemed to include the successors and permitted assigns of such party. Nothing in this Agreement, express or implied, is intended to confer upon any party other than the parties hereto or their respective successors and permitted assigns any rights, remedies, obligations or liabilities under or by reason of this Agreement, except as expressly provided in this Agreement. Neither the Company nor the Agents may assign its rights or obligations under this Agreement without the prior written consent of the other party.</w:t>
      </w:r>
    </w:p>
    <w:p>
      <w:pPr>
        <w:spacing w:after="0" w:line="187" w:lineRule="exact"/>
        <w:rPr>
          <w:rFonts w:ascii="Times New Roman" w:cs="Times New Roman" w:eastAsia="Times New Roman" w:hAnsi="Times New Roman"/>
          <w:sz w:val="18"/>
          <w:szCs w:val="18"/>
          <w:color w:val="auto"/>
        </w:rPr>
      </w:pPr>
    </w:p>
    <w:p>
      <w:pPr>
        <w:jc w:val="both"/>
        <w:ind w:left="-636" w:firstLine="636"/>
        <w:spacing w:after="0" w:line="266" w:lineRule="auto"/>
        <w:tabs>
          <w:tab w:leader="none" w:pos="26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for Stock Splits</w:t>
      </w:r>
      <w:r>
        <w:rPr>
          <w:rFonts w:ascii="Times New Roman" w:cs="Times New Roman" w:eastAsia="Times New Roman" w:hAnsi="Times New Roman"/>
          <w:sz w:val="18"/>
          <w:szCs w:val="18"/>
          <w:color w:val="auto"/>
        </w:rPr>
        <w:t>. The parties acknowledge and agree that all share-related numbers contained in this Agreement shall be adjusted to take into account any share consolidation, stock split, stock dividend , corporate domestication or similar event effected with respect to the Placement Shares.</w:t>
      </w:r>
    </w:p>
    <w:p>
      <w:pPr>
        <w:spacing w:after="0" w:line="175" w:lineRule="exact"/>
        <w:rPr>
          <w:rFonts w:ascii="Times New Roman" w:cs="Times New Roman" w:eastAsia="Times New Roman" w:hAnsi="Times New Roman"/>
          <w:sz w:val="18"/>
          <w:szCs w:val="18"/>
          <w:color w:val="auto"/>
        </w:rPr>
      </w:pPr>
    </w:p>
    <w:p>
      <w:pPr>
        <w:jc w:val="both"/>
        <w:ind w:left="-636" w:firstLine="636"/>
        <w:spacing w:after="0" w:line="258" w:lineRule="auto"/>
        <w:tabs>
          <w:tab w:leader="none" w:pos="26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Immunity</w:t>
      </w:r>
      <w:r>
        <w:rPr>
          <w:rFonts w:ascii="Times New Roman" w:cs="Times New Roman" w:eastAsia="Times New Roman" w:hAnsi="Times New Roman"/>
          <w:sz w:val="18"/>
          <w:szCs w:val="18"/>
          <w:color w:val="auto"/>
        </w:rPr>
        <w:t>. To the extent that the Company has or hereafter may acquire any immunity (sovereign or otherwise) from jurisdiction of any court of (i) the Cayman Islands, or any political subdivision thereof, (ii) the United States or the State of New York, (iii) any jurisdiction in which it owns or leases property or assets or from any legal process (whether through service of notice, attachment prior to judgment, attachment in aid of execution, execution, set-off or otherwise) with respect to themselves or their respective property and assets or this Agreement, the Company hereby irrevocably waives such immunity in respect of its obligations under this Agreement to the fullest extent permitted by applicable law.</w:t>
      </w:r>
    </w:p>
    <w:p>
      <w:pPr>
        <w:spacing w:after="0" w:line="183" w:lineRule="exact"/>
        <w:rPr>
          <w:rFonts w:ascii="Times New Roman" w:cs="Times New Roman" w:eastAsia="Times New Roman" w:hAnsi="Times New Roman"/>
          <w:sz w:val="18"/>
          <w:szCs w:val="18"/>
          <w:color w:val="auto"/>
        </w:rPr>
      </w:pPr>
    </w:p>
    <w:p>
      <w:pPr>
        <w:jc w:val="both"/>
        <w:ind w:left="-636" w:firstLine="636"/>
        <w:spacing w:after="0" w:line="254" w:lineRule="auto"/>
        <w:tabs>
          <w:tab w:leader="none" w:pos="27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Amendment; Severability</w:t>
      </w:r>
      <w:r>
        <w:rPr>
          <w:rFonts w:ascii="Times New Roman" w:cs="Times New Roman" w:eastAsia="Times New Roman" w:hAnsi="Times New Roman"/>
          <w:sz w:val="18"/>
          <w:szCs w:val="18"/>
          <w:color w:val="auto"/>
        </w:rPr>
        <w:t xml:space="preserve">. This Agreement (including all schedules and exhibits attached hereto and Placement Notices issued pursuant hereto) constitutes the entire agreement and supersedes all other prior and contemporaneous agreements and undertakings, both written and oral, among the parties hereto with regard to the subject matter hereof. Neither this Agreement nor any term hereof may be amended except pursuant to a written instrument executed by the Company and the Agents. In the event that any one or more of the provisions contained herein,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Agreement. Notwithstanding the foregoing, </w:t>
      </w:r>
      <w:r>
        <w:rPr>
          <w:rFonts w:ascii="Times New Roman" w:cs="Times New Roman" w:eastAsia="Times New Roman" w:hAnsi="Times New Roman"/>
          <w:sz w:val="18"/>
          <w:szCs w:val="18"/>
          <w:u w:val="single" w:color="auto"/>
          <w:color w:val="auto"/>
        </w:rPr>
        <w:t>Schedule 3</w:t>
      </w:r>
      <w:r>
        <w:rPr>
          <w:rFonts w:ascii="Times New Roman" w:cs="Times New Roman" w:eastAsia="Times New Roman" w:hAnsi="Times New Roman"/>
          <w:sz w:val="18"/>
          <w:szCs w:val="18"/>
          <w:color w:val="auto"/>
        </w:rPr>
        <w:t xml:space="preserve"> notice details may be amended at any time by notice to all other parties.</w:t>
      </w:r>
    </w:p>
    <w:p>
      <w:pPr>
        <w:spacing w:after="0" w:line="188" w:lineRule="exact"/>
        <w:rPr>
          <w:rFonts w:ascii="Times New Roman" w:cs="Times New Roman" w:eastAsia="Times New Roman" w:hAnsi="Times New Roman"/>
          <w:sz w:val="18"/>
          <w:szCs w:val="18"/>
          <w:color w:val="auto"/>
        </w:rPr>
      </w:pPr>
    </w:p>
    <w:p>
      <w:pPr>
        <w:jc w:val="both"/>
        <w:ind w:left="-636" w:firstLine="636"/>
        <w:spacing w:after="0" w:line="258" w:lineRule="auto"/>
        <w:tabs>
          <w:tab w:leader="none" w:pos="26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AND TIME; WAIVER OF JURY TRIAL</w:t>
      </w:r>
      <w:r>
        <w:rPr>
          <w:rFonts w:ascii="Times New Roman" w:cs="Times New Roman" w:eastAsia="Times New Roman" w:hAnsi="Times New Roman"/>
          <w:sz w:val="18"/>
          <w:szCs w:val="18"/>
          <w:color w:val="auto"/>
        </w:rPr>
        <w:t>. THIS AGREEMENT SHALL BE GOVERNED BY AND CONSTRUED IN ACCORDANCE WITH THE LAWS OF THE STATE OF NEW YORK WITHOUT REGARD TO THE PRINCIPLES OF CONFLICTS OF LAWS. SPECIFIED TIMES OF DAY REFER TO NEW YORK CITY TIME. THE COMPANY AND THE AGENTS EACH HEREBY IRREVOCABLY WAIVES, TO THE FULLEST EXTENT PERMITTED BY APPLICABLE LAW, ANY AND ALL RIGHT TO TRIAL BY JURY IN ANY LEGAL PROCEEDING ARISING OUT OF OR RELATING TO THIS AGREEMENT OR THE TRANSACTIONS CONTEMPLATED HEREBY.</w:t>
      </w:r>
    </w:p>
    <w:p>
      <w:pPr>
        <w:spacing w:after="0" w:line="183" w:lineRule="exact"/>
        <w:rPr>
          <w:rFonts w:ascii="Times New Roman" w:cs="Times New Roman" w:eastAsia="Times New Roman" w:hAnsi="Times New Roman"/>
          <w:sz w:val="18"/>
          <w:szCs w:val="18"/>
          <w:color w:val="auto"/>
        </w:rPr>
      </w:pPr>
    </w:p>
    <w:p>
      <w:pPr>
        <w:jc w:val="both"/>
        <w:ind w:left="-636" w:firstLine="636"/>
        <w:spacing w:after="0" w:line="253" w:lineRule="auto"/>
        <w:tabs>
          <w:tab w:leader="none" w:pos="26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 TO JURISDICTION</w:t>
      </w:r>
      <w:r>
        <w:rPr>
          <w:rFonts w:ascii="Times New Roman" w:cs="Times New Roman" w:eastAsia="Times New Roman" w:hAnsi="Times New Roman"/>
          <w:sz w:val="18"/>
          <w:szCs w:val="18"/>
          <w:color w:val="auto"/>
        </w:rPr>
        <w:t>. EACH PARTY HEREBY IRREVOCABLY SUBMITS TO THE NON-EXCLUSIVE JURISDICTION OF THE STATE AND FEDERAL COURTS SITTING IN THE CITY OF NEW YORK, BOROUGH OF MANHATTAN, FOR THE ADJUDICATION OF ANY DISPUTE HEREUNDER OR IN CONNECTION WITH ANY TRANSACTION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(CERTIFIED OR REGISTERED MAIL, RETURN RECEIPT REQUESTED)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245110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sectPr>
      </w:pPr>
    </w:p>
    <w:bookmarkStart w:id="33" w:name="page34"/>
    <w:bookmarkEnd w:id="33"/>
    <w:p>
      <w:pPr>
        <w:jc w:val="both"/>
        <w:ind w:left="20" w:firstLine="636"/>
        <w:spacing w:after="0" w:line="256" w:lineRule="auto"/>
        <w:tabs>
          <w:tab w:leader="none" w:pos="92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Appointment of Agent for Service</w:t>
      </w:r>
      <w:r>
        <w:rPr>
          <w:rFonts w:ascii="Times New Roman" w:cs="Times New Roman" w:eastAsia="Times New Roman" w:hAnsi="Times New Roman"/>
          <w:sz w:val="18"/>
          <w:szCs w:val="18"/>
          <w:color w:val="auto"/>
        </w:rPr>
        <w:t xml:space="preserve">. The Company hereby irrevocably appoints Cogency Global Inc., located 122 E. 42nd Street, 18th Floor, New York, New York 10168, as its agent for service of process in any suit, action or proceeding described in </w:t>
      </w:r>
      <w:r>
        <w:rPr>
          <w:rFonts w:ascii="Times New Roman" w:cs="Times New Roman" w:eastAsia="Times New Roman" w:hAnsi="Times New Roman"/>
          <w:sz w:val="18"/>
          <w:szCs w:val="18"/>
          <w:u w:val="single" w:color="auto"/>
          <w:color w:val="auto"/>
        </w:rPr>
        <w:t>Section 19</w:t>
      </w:r>
      <w:r>
        <w:rPr>
          <w:rFonts w:ascii="Times New Roman" w:cs="Times New Roman" w:eastAsia="Times New Roman" w:hAnsi="Times New Roman"/>
          <w:sz w:val="18"/>
          <w:szCs w:val="18"/>
          <w:color w:val="auto"/>
        </w:rPr>
        <w:t xml:space="preserve"> and agrees that service of process in any suit, action or proceeding may be made upon it at the office of such agent. The Company waives, to the fullest extent permitted by law, any other requirements of or objections to personal jurisdiction with respect thereto. The Company represents and warrants that such agent has agreed to act as the Company’s agent for service of process, and the Company agrees to take any and all action, including the filing of any and all documents and instruments, that may be necessary to continue such appointment in full force and effect.</w:t>
      </w:r>
    </w:p>
    <w:p>
      <w:pPr>
        <w:spacing w:after="0" w:line="187" w:lineRule="exact"/>
        <w:rPr>
          <w:rFonts w:ascii="Times New Roman" w:cs="Times New Roman" w:eastAsia="Times New Roman" w:hAnsi="Times New Roman"/>
          <w:sz w:val="18"/>
          <w:szCs w:val="18"/>
          <w:color w:val="auto"/>
        </w:rPr>
      </w:pPr>
    </w:p>
    <w:p>
      <w:pPr>
        <w:ind w:left="20" w:firstLine="636"/>
        <w:spacing w:after="0" w:line="282" w:lineRule="auto"/>
        <w:tabs>
          <w:tab w:leader="none" w:pos="92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Information</w:t>
      </w:r>
      <w:r>
        <w:rPr>
          <w:rFonts w:ascii="Times New Roman" w:cs="Times New Roman" w:eastAsia="Times New Roman" w:hAnsi="Times New Roman"/>
          <w:sz w:val="18"/>
          <w:szCs w:val="18"/>
          <w:color w:val="auto"/>
        </w:rPr>
        <w:t>. The Agents may not use any information gained in connection with this Agreement and the transactions contemplated by this Agreement, including due diligence, to advise any party with respect to transactions not expressly approved by the Company.</w:t>
      </w:r>
    </w:p>
    <w:p>
      <w:pPr>
        <w:spacing w:after="0" w:line="161" w:lineRule="exact"/>
        <w:rPr>
          <w:rFonts w:ascii="Times New Roman" w:cs="Times New Roman" w:eastAsia="Times New Roman" w:hAnsi="Times New Roman"/>
          <w:sz w:val="18"/>
          <w:szCs w:val="18"/>
          <w:color w:val="auto"/>
        </w:rPr>
      </w:pPr>
    </w:p>
    <w:p>
      <w:pPr>
        <w:jc w:val="both"/>
        <w:ind w:left="20" w:firstLine="636"/>
        <w:spacing w:after="0" w:line="261" w:lineRule="auto"/>
        <w:tabs>
          <w:tab w:leader="none" w:pos="9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signed in one or more counterparts, each of which shall be an original, with the same effect as if the signatures thereto and hereto were upon the same instrument. Counterparts may be delivered via electronic mail (including any electronic signature complying with the U.S. federal ESIGN Act of 2000, Uniform Electronic Transactions Act or other applicable law, e.g., www.docusign.com) or other transmission method and any counterpart so delivered shall be deemed to have been duly and validly delivered and be valid and effective for all purposes.</w:t>
      </w:r>
    </w:p>
    <w:p>
      <w:pPr>
        <w:spacing w:after="0" w:line="179" w:lineRule="exact"/>
        <w:rPr>
          <w:rFonts w:ascii="Times New Roman" w:cs="Times New Roman" w:eastAsia="Times New Roman" w:hAnsi="Times New Roman"/>
          <w:sz w:val="18"/>
          <w:szCs w:val="18"/>
          <w:color w:val="auto"/>
        </w:rPr>
      </w:pPr>
    </w:p>
    <w:p>
      <w:pPr>
        <w:jc w:val="both"/>
        <w:ind w:left="20" w:firstLine="636"/>
        <w:spacing w:after="0" w:line="258" w:lineRule="auto"/>
        <w:tabs>
          <w:tab w:leader="none" w:pos="9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Joinder of Additional Agents</w:t>
      </w:r>
      <w:r>
        <w:rPr>
          <w:rFonts w:ascii="Times New Roman" w:cs="Times New Roman" w:eastAsia="Times New Roman" w:hAnsi="Times New Roman"/>
          <w:sz w:val="18"/>
          <w:szCs w:val="18"/>
          <w:color w:val="auto"/>
        </w:rPr>
        <w:t>. At any time and from time to time after the date of this Agreement, the Company may, in its sole discretion, elect to add one or more additional sales agents to this Agreement (any such additional sales agent, an “</w:t>
      </w:r>
      <w:r>
        <w:rPr>
          <w:rFonts w:ascii="Times New Roman" w:cs="Times New Roman" w:eastAsia="Times New Roman" w:hAnsi="Times New Roman"/>
          <w:sz w:val="18"/>
          <w:szCs w:val="18"/>
          <w:u w:val="single" w:color="auto"/>
          <w:color w:val="auto"/>
        </w:rPr>
        <w:t>Additional Agent</w:t>
      </w:r>
      <w:r>
        <w:rPr>
          <w:rFonts w:ascii="Times New Roman" w:cs="Times New Roman" w:eastAsia="Times New Roman" w:hAnsi="Times New Roman"/>
          <w:sz w:val="18"/>
          <w:szCs w:val="18"/>
          <w:color w:val="auto"/>
        </w:rPr>
        <w:t xml:space="preserve">”). Upon execution by any such Additional Agent of a joinder to this Agreement, substantially in the form attached as </w:t>
      </w:r>
      <w:r>
        <w:rPr>
          <w:rFonts w:ascii="Times New Roman" w:cs="Times New Roman" w:eastAsia="Times New Roman" w:hAnsi="Times New Roman"/>
          <w:sz w:val="18"/>
          <w:szCs w:val="18"/>
          <w:u w:val="single" w:color="auto"/>
          <w:color w:val="auto"/>
        </w:rPr>
        <w:t>Exhibit 23</w:t>
      </w:r>
      <w:r>
        <w:rPr>
          <w:rFonts w:ascii="Times New Roman" w:cs="Times New Roman" w:eastAsia="Times New Roman" w:hAnsi="Times New Roman"/>
          <w:sz w:val="18"/>
          <w:szCs w:val="18"/>
          <w:color w:val="auto"/>
        </w:rPr>
        <w:t xml:space="preserve"> hereto, (i) such Additional Agent shall become a party to this Agreement as if such Additional Agent were an original signatory hereto, and (ii) all references to an “Agent” or the “Agents” shall be deemed to include such Additional Agent.</w:t>
      </w:r>
    </w:p>
    <w:p>
      <w:pPr>
        <w:spacing w:after="0" w:line="183"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Headings</w:t>
      </w:r>
      <w:r>
        <w:rPr>
          <w:rFonts w:ascii="Times New Roman" w:cs="Times New Roman" w:eastAsia="Times New Roman" w:hAnsi="Times New Roman"/>
          <w:sz w:val="18"/>
          <w:szCs w:val="18"/>
          <w:color w:val="auto"/>
        </w:rPr>
        <w:t>. The section, Schedule and Exhibit headings herein are for convenience only and shall not affect the construction hereof.</w:t>
      </w:r>
    </w:p>
    <w:p>
      <w:pPr>
        <w:spacing w:after="0" w:line="225" w:lineRule="exact"/>
        <w:rPr>
          <w:rFonts w:ascii="Times New Roman" w:cs="Times New Roman" w:eastAsia="Times New Roman" w:hAnsi="Times New Roman"/>
          <w:sz w:val="18"/>
          <w:szCs w:val="18"/>
          <w:color w:val="auto"/>
        </w:rPr>
      </w:pPr>
    </w:p>
    <w:p>
      <w:pPr>
        <w:jc w:val="both"/>
        <w:ind w:left="20" w:firstLine="636"/>
        <w:spacing w:after="0" w:line="254" w:lineRule="auto"/>
        <w:tabs>
          <w:tab w:leader="none" w:pos="9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Permitted Free Writing Prospectuses</w:t>
      </w:r>
      <w:r>
        <w:rPr>
          <w:rFonts w:ascii="Times New Roman" w:cs="Times New Roman" w:eastAsia="Times New Roman" w:hAnsi="Times New Roman"/>
          <w:sz w:val="18"/>
          <w:szCs w:val="18"/>
          <w:color w:val="auto"/>
        </w:rPr>
        <w:t xml:space="preserve">. The Company represents, warrants and agrees that, unless it obtains the prior consent of each Agent, (which consent shall not be unreasonable withheld or delayed) and each Agent represents, warrants and agrees that, unless it obtains the prior consent of the Company, it has not made and will not make any offer relating to the Placement Shares that would constitute an Issuer Free Writing Prospectus, or that would otherwise constitute a “free writing prospectus,” as defined in Rule 405, required to be filed with the Commission. Any such free writing prospectus consented to by the Agents or by the Company, as the case may be, is hereinafter referred to as a “Permitted Free Writing Prospectus.” The Company represents and warrants that it has treated and agrees that it will treat each Permitted Free Writing Prospectus as an “issuer free writing prospectus,” as defined in Rule 433, and has complied and will comply with the requirements of Rule 433 applicable to any Permitted Free Writing Prospectus, including timely filing with the Commission where required, legending and record keeping. For the purposes of clarity, the parties hereto agree that all free writing prospectuses, if any, listed in </w:t>
      </w:r>
      <w:r>
        <w:rPr>
          <w:rFonts w:ascii="Times New Roman" w:cs="Times New Roman" w:eastAsia="Times New Roman" w:hAnsi="Times New Roman"/>
          <w:sz w:val="18"/>
          <w:szCs w:val="18"/>
          <w:u w:val="single" w:color="auto"/>
          <w:color w:val="auto"/>
        </w:rPr>
        <w:t>Exhibit 25</w:t>
      </w:r>
      <w:r>
        <w:rPr>
          <w:rFonts w:ascii="Times New Roman" w:cs="Times New Roman" w:eastAsia="Times New Roman" w:hAnsi="Times New Roman"/>
          <w:sz w:val="18"/>
          <w:szCs w:val="18"/>
          <w:color w:val="auto"/>
        </w:rPr>
        <w:t xml:space="preserve"> hereto are Permitted Free Writing Prospectuses.</w:t>
      </w:r>
    </w:p>
    <w:p>
      <w:pPr>
        <w:spacing w:after="0" w:line="188"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Fiduciary Relationship</w:t>
      </w:r>
      <w:r>
        <w:rPr>
          <w:rFonts w:ascii="Times New Roman" w:cs="Times New Roman" w:eastAsia="Times New Roman" w:hAnsi="Times New Roman"/>
          <w:sz w:val="18"/>
          <w:szCs w:val="18"/>
          <w:color w:val="auto"/>
        </w:rPr>
        <w:t>. The Company acknowledges and agrees that:</w:t>
      </w:r>
    </w:p>
    <w:p>
      <w:pPr>
        <w:spacing w:after="0" w:line="225" w:lineRule="exact"/>
        <w:rPr>
          <w:rFonts w:ascii="Times New Roman" w:cs="Times New Roman" w:eastAsia="Times New Roman" w:hAnsi="Times New Roman"/>
          <w:sz w:val="18"/>
          <w:szCs w:val="18"/>
          <w:color w:val="auto"/>
        </w:rPr>
      </w:pPr>
    </w:p>
    <w:p>
      <w:pPr>
        <w:jc w:val="both"/>
        <w:ind w:firstLine="1296"/>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each Agent is acting solely as agent in connection with the public offering of the Placement Shares and in connection with each transaction contemplated by this Agreement and the process leading to such transactions, and no fiduciary or advisory relationship between the Company or any of its respective affiliates, stockholders (or other equity holders), creditors or employees or any other party, on the one hand, and the Agents, on the other hand, has been or will be created in respect of any of the transactions contemplated by this Agreement, irrespective of whether or not any Agent has advised or is advising the Company on other matters, and the Agents have no obligation to the Company with respect to the transactions contemplated by this Agreement except the obligations expressly set forth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b. it is capable of evaluating and understanding, and understands and accepts, the terms, risks and conditions of the transactions contemplated by this Agreement;</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c. the Agents have not provided any legal, accounting, regulatory or tax advice with respect to the transactions contemplated by this Agreement and it has consulted its own legal, accounting, regulatory and tax advisors to the extent it has deemed appropriate;</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d. it is aware that the Agents and their affiliates are engaged in a broad range of transactions which may involve interests that differ from those of the Company and such Agent has no obligation to disclose such interests and transactions to the Company by virtue of any fiduciary, advisory or agency relationship or otherwise; and</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e. it waives, to the fullest extent permitted by law, any claims it may have against the Agents for breach of fiduciary duty or alleged breach of fiduciary duty in connection with the sale of Placement Shares under this Agreement and agrees that the Agents shall not have any liability (whether direct or indirect, in contract, tort or otherwise) to it in respect of such a fiduciary duty claim or to any person asserting a fiduciary duty claim on its behalf or in right of it or the Company, employees or creditors of Company, other than in respect of the Agents’ obligations under this Agreement and to keep information provided by the Company to the Agents and their counsel confidential to the extent not otherwise publicly-available.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in this Agreement, the following terms have the respective meanings set forth below:</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Time</w:t>
      </w:r>
      <w:r>
        <w:rPr>
          <w:rFonts w:ascii="Times New Roman" w:cs="Times New Roman" w:eastAsia="Times New Roman" w:hAnsi="Times New Roman"/>
          <w:sz w:val="18"/>
          <w:szCs w:val="18"/>
          <w:color w:val="auto"/>
        </w:rPr>
        <w:t>” means (i) each Representation Date and (ii) the time of each sale of any Placement Shares pursuant to this 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shall mean any federal, state, provincial, municipal, local or foreign government, governmental authority, regulatory or administrative agency, governmental commission, department, board, bureau, agency or instrumentality, court, arbitral body (public or private) or tribunal.</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Issuer Free Writing Prospectus</w:t>
      </w:r>
      <w:r>
        <w:rPr>
          <w:rFonts w:ascii="Times New Roman" w:cs="Times New Roman" w:eastAsia="Times New Roman" w:hAnsi="Times New Roman"/>
          <w:sz w:val="18"/>
          <w:szCs w:val="18"/>
          <w:color w:val="auto"/>
        </w:rPr>
        <w:t>” means any “issuer free writing prospectus,” as defined in Rule 433, relating to the Placement Shares that (1) is required to be filed with the Commission by the Company, (2) is a “road show” that is a “written communication” within the meaning of Rule 433(d)(8)(i) whether or not required to be filed with the Commission, or (3) is exempt from filing pursuant to Rule 433(d)(5)(i) because it contains a description of the Placement Shares or of the offering that does not reflect the final terms, in each case in the form filed or required to be filed with the Commission or, if not required to be filed, in the form retained in the Company’s records pursuant to Rule 433(g) under the Securities Act.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w:t>
      </w:r>
      <w:r>
        <w:rPr>
          <w:rFonts w:ascii="Times New Roman" w:cs="Times New Roman" w:eastAsia="Times New Roman" w:hAnsi="Times New Roman"/>
          <w:sz w:val="18"/>
          <w:szCs w:val="18"/>
          <w:color w:val="auto"/>
        </w:rPr>
        <w:t>” shall mean the actual knowledge of any of (i) the Company’s Chairperson, (ii) the Company’s Co-Chief Executive Officers and (iii) the Company’s Chief Financial Officer, in each case after reasonable inquiry of officers, directors and employees of the Company and its subsidiaries under such Person’s direct supervision who would reasonably be expected to have knowledge or information with respect to the matter in question.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172</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405</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415</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424</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424(b)</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430B</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Rule 433</w:t>
      </w:r>
      <w:r>
        <w:rPr>
          <w:rFonts w:ascii="Times New Roman" w:cs="Times New Roman" w:eastAsia="Times New Roman" w:hAnsi="Times New Roman"/>
          <w:sz w:val="18"/>
          <w:szCs w:val="18"/>
          <w:color w:val="auto"/>
        </w:rPr>
        <w:t>” refer to such rules under the Securities Act.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references in this Agreement to financial statements and schedules and other information that is “contained,” “included” or “stated” in the Registration Statement or the Prospectus (and all other references of like import) shall be deemed to mean and include all such financial statements and schedules and other information that is incorporated by reference in the Registration Statement or the Prospectus, as the case may be.</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All references in this Agreement to the Registration Statement, the Prospectus or any amendment or supplement to any of the foregoing shall be deemed to include the copy filed with the Commission pursuant to EDGAR; all references in this Agreement to any Issuer Free Writing Prospectus (other than any Issuer Free Writing Prospectuses that, pursuant to Rule 433, are not required to be filed with the Commission) shall be deemed to include the copy thereof filed with the Commission pursuant to EDGAR; and all references in this Agreement to “supplements” to the Prospectus shall include, without limitation, any supplements, “wrappers” or similar materials prepared in connection with any offering, sale or private placement of any Placement Shares by the Agents outside of the United States.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the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line="282" w:lineRule="auto"/>
        <w:rPr>
          <w:sz w:val="20"/>
          <w:szCs w:val="20"/>
          <w:color w:val="auto"/>
        </w:rPr>
      </w:pPr>
      <w:r>
        <w:rPr>
          <w:rFonts w:ascii="Times New Roman" w:cs="Times New Roman" w:eastAsia="Times New Roman" w:hAnsi="Times New Roman"/>
          <w:sz w:val="18"/>
          <w:szCs w:val="18"/>
          <w:color w:val="auto"/>
        </w:rPr>
        <w:t>If the foregoing correctly sets forth the understanding between the Company and each of the Agents, please so indicate in the space provided below for that purpose, whereupon this letter shall constitute a binding agreement between the Company and each of the Agents.</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Signed for and on behalf of</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BITDEER TECHNOLOGIES GROUP</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Jihan Wu</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Jihan Wu</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Sales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ind w:left="4520"/>
        <w:spacing w:after="0"/>
        <w:rPr>
          <w:sz w:val="20"/>
          <w:szCs w:val="20"/>
          <w:color w:val="auto"/>
        </w:rPr>
      </w:pPr>
      <w:r>
        <w:rPr>
          <w:rFonts w:ascii="Times New Roman" w:cs="Times New Roman" w:eastAsia="Times New Roman" w:hAnsi="Times New Roman"/>
          <w:sz w:val="17"/>
          <w:szCs w:val="17"/>
          <w:b w:val="1"/>
          <w:bCs w:val="1"/>
          <w:color w:val="auto"/>
        </w:rPr>
        <w:t>ACCEPTED as of the date first-above written:</w:t>
      </w:r>
    </w:p>
    <w:p>
      <w:pPr>
        <w:spacing w:after="0" w:line="23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BARCLAYS CAPITAL INC.</w:t>
      </w:r>
    </w:p>
    <w:p>
      <w:pPr>
        <w:spacing w:after="0" w:line="229"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33020</wp:posOffset>
            </wp:positionV>
            <wp:extent cx="335153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41"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CANTOR FITZGERALD &amp; CO.</w:t>
      </w:r>
    </w:p>
    <w:p>
      <w:pPr>
        <w:spacing w:after="0" w:line="229"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33020</wp:posOffset>
            </wp:positionV>
            <wp:extent cx="335153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41"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A.G.P./ALLIANCE GLOBAL PARTNERS</w:t>
      </w:r>
    </w:p>
    <w:p>
      <w:pPr>
        <w:spacing w:after="0" w:line="229"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33020</wp:posOffset>
            </wp:positionV>
            <wp:extent cx="335153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41"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THE BENCHMARK COMPANY, LLC</w:t>
      </w:r>
    </w:p>
    <w:p>
      <w:pPr>
        <w:spacing w:after="0" w:line="229"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33020</wp:posOffset>
            </wp:positionV>
            <wp:extent cx="335153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41"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B. RILEY SECURITIES, INC.</w:t>
      </w:r>
    </w:p>
    <w:p>
      <w:pPr>
        <w:spacing w:after="0" w:line="229"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26035</wp:posOffset>
            </wp:positionV>
            <wp:extent cx="335153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BTIG, LLC</w:t>
      </w:r>
    </w:p>
    <w:p>
      <w:pPr>
        <w:spacing w:after="0" w:line="229"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33020</wp:posOffset>
            </wp:positionV>
            <wp:extent cx="335153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41"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254635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7" w:name="page38"/>
    <w:bookmarkEnd w:id="37"/>
    <w:p>
      <w:pPr>
        <w:ind w:left="4520"/>
        <w:spacing w:after="0"/>
        <w:rPr>
          <w:sz w:val="20"/>
          <w:szCs w:val="20"/>
          <w:color w:val="auto"/>
        </w:rPr>
      </w:pPr>
      <w:r>
        <w:rPr>
          <w:rFonts w:ascii="Times New Roman" w:cs="Times New Roman" w:eastAsia="Times New Roman" w:hAnsi="Times New Roman"/>
          <w:sz w:val="17"/>
          <w:szCs w:val="17"/>
          <w:b w:val="1"/>
          <w:bCs w:val="1"/>
          <w:color w:val="auto"/>
        </w:rPr>
        <w:t>KEEFE, BRUYETTE &amp; WOODS, INC.</w:t>
      </w:r>
    </w:p>
    <w:p>
      <w:pPr>
        <w:spacing w:after="0" w:line="241"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26035</wp:posOffset>
            </wp:positionV>
            <wp:extent cx="335153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NEEDHAM &amp; COMPANY, LLC</w:t>
      </w:r>
    </w:p>
    <w:p>
      <w:pPr>
        <w:spacing w:after="0" w:line="229"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26035</wp:posOffset>
            </wp:positionV>
            <wp:extent cx="335153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NORTHLAND SECURITIES, INC.</w:t>
      </w:r>
    </w:p>
    <w:p>
      <w:pPr>
        <w:spacing w:after="0" w:line="229"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26035</wp:posOffset>
            </wp:positionV>
            <wp:extent cx="335153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Sales Agreement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274320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8" w:name="page39"/>
    <w:bookmarkEnd w:id="38"/>
    <w:p>
      <w:pPr>
        <w:ind w:left="4520"/>
        <w:spacing w:after="0"/>
        <w:rPr>
          <w:sz w:val="20"/>
          <w:szCs w:val="20"/>
          <w:color w:val="auto"/>
        </w:rPr>
      </w:pPr>
      <w:r>
        <w:rPr>
          <w:rFonts w:ascii="Times New Roman" w:cs="Times New Roman" w:eastAsia="Times New Roman" w:hAnsi="Times New Roman"/>
          <w:sz w:val="18"/>
          <w:szCs w:val="18"/>
          <w:b w:val="1"/>
          <w:bCs w:val="1"/>
          <w:color w:val="auto"/>
        </w:rPr>
        <w:t>ROSENBLATT SECURITIES INC.</w:t>
      </w:r>
    </w:p>
    <w:p>
      <w:pPr>
        <w:spacing w:after="0" w:line="229"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26035</wp:posOffset>
            </wp:positionV>
            <wp:extent cx="335153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ROTH CAPITAL PARTNERS, LLC</w:t>
      </w:r>
    </w:p>
    <w:p>
      <w:pPr>
        <w:spacing w:after="0" w:line="241"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26035</wp:posOffset>
            </wp:positionV>
            <wp:extent cx="335153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jc w:val="right"/>
        <w:ind w:right="1679"/>
        <w:spacing w:after="0"/>
        <w:rPr>
          <w:sz w:val="20"/>
          <w:szCs w:val="20"/>
          <w:color w:val="auto"/>
        </w:rPr>
      </w:pPr>
      <w:r>
        <w:rPr>
          <w:rFonts w:ascii="Times New Roman" w:cs="Times New Roman" w:eastAsia="Times New Roman" w:hAnsi="Times New Roman"/>
          <w:sz w:val="18"/>
          <w:szCs w:val="18"/>
          <w:b w:val="1"/>
          <w:bCs w:val="1"/>
          <w:color w:val="auto"/>
        </w:rPr>
        <w:t>STOCKBLOCK SECURITIES LLC</w:t>
      </w:r>
    </w:p>
    <w:p>
      <w:pPr>
        <w:spacing w:after="0" w:line="200" w:lineRule="exact"/>
        <w:rPr>
          <w:sz w:val="20"/>
          <w:szCs w:val="20"/>
          <w:color w:val="auto"/>
        </w:rPr>
      </w:pPr>
    </w:p>
    <w:p>
      <w:pPr>
        <w:spacing w:after="0" w:line="245"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26035</wp:posOffset>
            </wp:positionV>
            <wp:extent cx="335153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Sales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274320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SCHEDULE 1</w:t>
      </w:r>
    </w:p>
    <w:p>
      <w:pPr>
        <w:spacing w:after="0" w:line="229" w:lineRule="exact"/>
        <w:rPr>
          <w:sz w:val="20"/>
          <w:szCs w:val="20"/>
          <w:color w:val="auto"/>
        </w:rPr>
      </w:pPr>
    </w:p>
    <w:p>
      <w:pPr>
        <w:jc w:val="right"/>
        <w:ind w:right="3199"/>
        <w:spacing w:after="0"/>
        <w:rPr>
          <w:sz w:val="20"/>
          <w:szCs w:val="20"/>
          <w:color w:val="auto"/>
        </w:rPr>
      </w:pPr>
      <w:r>
        <w:rPr>
          <w:rFonts w:ascii="Times New Roman" w:cs="Times New Roman" w:eastAsia="Times New Roman" w:hAnsi="Times New Roman"/>
          <w:sz w:val="18"/>
          <w:szCs w:val="18"/>
          <w:color w:val="auto"/>
        </w:rPr>
        <w:t>FORM OF PLACEMENT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SCHEDULE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354330</wp:posOffset>
            </wp:positionV>
            <wp:extent cx="72009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ind w:right="3959"/>
        <w:spacing w:after="0"/>
        <w:rPr>
          <w:sz w:val="20"/>
          <w:szCs w:val="20"/>
          <w:color w:val="auto"/>
        </w:rPr>
      </w:pPr>
      <w:r>
        <w:rPr>
          <w:rFonts w:ascii="Times New Roman" w:cs="Times New Roman" w:eastAsia="Times New Roman" w:hAnsi="Times New Roman"/>
          <w:sz w:val="18"/>
          <w:szCs w:val="18"/>
          <w:b w:val="1"/>
          <w:bCs w:val="1"/>
          <w:color w:val="auto"/>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80010</wp:posOffset>
            </wp:positionV>
            <wp:extent cx="72009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00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534035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SCHEDULE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542925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7(l)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Representation Date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549910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3" w:name="page44"/>
    <w:bookmarkEnd w:id="4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Form of Joinder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542925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4" w:name="page45"/>
    <w:bookmarkEnd w:id="44"/>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25</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Permitted Issuer Free Writing Prospecuts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361315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164465</wp:posOffset>
            </wp:positionV>
            <wp:extent cx="925830" cy="3771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925830" cy="37719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Bitdeer Technologies Group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+852 3656 6054 / +852 3656 6073</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nathan.powell@ogier.com</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rachel.huang@ogier.com</w:t>
      </w:r>
    </w:p>
    <w:p>
      <w:pPr>
        <w:spacing w:after="0" w:line="200" w:lineRule="exact"/>
        <w:rPr>
          <w:sz w:val="20"/>
          <w:szCs w:val="20"/>
          <w:color w:val="auto"/>
        </w:rPr>
      </w:pPr>
    </w:p>
    <w:p>
      <w:pPr>
        <w:sectPr>
          <w:pgSz w:w="11900" w:h="16838" w:orient="portrait"/>
          <w:cols w:equalWidth="0" w:num="2">
            <w:col w:w="5480" w:space="720"/>
            <w:col w:w="5040"/>
          </w:cols>
          <w:pgMar w:left="320" w:top="266" w:right="339" w:bottom="1440" w:gutter="0" w:footer="0" w:header="0"/>
          <w:type w:val="continuous"/>
        </w:sectPr>
      </w:pP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color w:val="auto"/>
        </w:rPr>
        <w:t>Reference: NMP/RYH/181962.00002</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January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Bitdeer Technologies Group (the Company)</w:t>
      </w:r>
    </w:p>
    <w:p>
      <w:pPr>
        <w:sectPr>
          <w:pgSz w:w="11900" w:h="16838" w:orient="portrait"/>
          <w:cols w:equalWidth="0" w:num="1">
            <w:col w:w="11240"/>
          </w:cols>
          <w:pgMar w:left="320" w:top="266" w:right="339" w:bottom="1440" w:gutter="0" w:footer="0" w:header="0"/>
          <w:type w:val="continuous"/>
        </w:sectPr>
      </w:pP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We have been requested to provide you with an opinion on matters of Cayman Islands law in connection with the offering and sale of up to US$1,000,000,000 of the class A ordinary shares of a par value of US$0.0000001 each of the Company (the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xml:space="preserve">) under the At Market Issuance Sales Agreement among the Company and Barclays Capital Inc., Cantor Fitzgerald &amp; Co., A.G.P./Alliance Global Partners, The Benchmark Company, LLC, BTIG, LLC, StockBlock Securities LLC, Keefe, Bruyette &amp; Woods, Inc., Needham &amp; Company, LLC, Northland Securities, Inc., Rosenblatt Securities Inc. and Roth Capital Partners, LLC dated 3 January 2025 (the </w:t>
      </w:r>
      <w:r>
        <w:rPr>
          <w:rFonts w:ascii="Times New Roman" w:cs="Times New Roman" w:eastAsia="Times New Roman" w:hAnsi="Times New Roman"/>
          <w:sz w:val="18"/>
          <w:szCs w:val="18"/>
          <w:b w:val="1"/>
          <w:bCs w:val="1"/>
          <w:color w:val="auto"/>
        </w:rPr>
        <w:t>Sales Agreement</w:t>
      </w:r>
      <w:r>
        <w:rPr>
          <w:rFonts w:ascii="Times New Roman" w:cs="Times New Roman" w:eastAsia="Times New Roman" w:hAnsi="Times New Roman"/>
          <w:sz w:val="18"/>
          <w:szCs w:val="18"/>
          <w:color w:val="auto"/>
        </w:rPr>
        <w:t xml:space="preserve">) and the Company’s registration statement on Form F-3 dated 18 December 2024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xml:space="preserve">) filed with the United States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xml:space="preserve">) under the United States Securities Act of 1933 (the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xml:space="preserve">), as amended, the prospectus contained therein, and the prospectus supplement dated 3 January 2025, forming a part of such prospectus (the </w:t>
      </w:r>
      <w:r>
        <w:rPr>
          <w:rFonts w:ascii="Times New Roman" w:cs="Times New Roman" w:eastAsia="Times New Roman" w:hAnsi="Times New Roman"/>
          <w:sz w:val="18"/>
          <w:szCs w:val="18"/>
          <w:b w:val="1"/>
          <w:bCs w:val="1"/>
          <w:color w:val="auto"/>
        </w:rPr>
        <w:t>Prospectus Supplement</w:t>
      </w:r>
      <w:r>
        <w:rPr>
          <w:rFonts w:ascii="Times New Roman" w:cs="Times New Roman" w:eastAsia="Times New Roman" w:hAnsi="Times New Roman"/>
          <w:sz w:val="18"/>
          <w:szCs w:val="18"/>
          <w:color w:val="auto"/>
        </w:rPr>
        <w:t xml:space="preserve">). We are furnishing this opinion as Exhibit 5.1 to the Company’s current report on Form 6-K to be furnished to the Commission on 3 January 2025 (the </w:t>
      </w:r>
      <w:r>
        <w:rPr>
          <w:rFonts w:ascii="Times New Roman" w:cs="Times New Roman" w:eastAsia="Times New Roman" w:hAnsi="Times New Roman"/>
          <w:sz w:val="18"/>
          <w:szCs w:val="18"/>
          <w:b w:val="1"/>
          <w:bCs w:val="1"/>
          <w:color w:val="auto"/>
        </w:rPr>
        <w:t>Form 6-K</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opinion is expressed herein as to any matter pertaining to the contents of the Form 6-K and the Registration Statement other than as expressly stated herein with respect to the issue of the Ordinary Shares.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Ogier</w:t>
            </w:r>
          </w:p>
        </w:tc>
        <w:tc>
          <w:tcPr>
            <w:tcW w:w="16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Providing advice on British Virgin Islands, Cayman Islands</w:t>
            </w:r>
          </w:p>
        </w:tc>
        <w:tc>
          <w:tcPr>
            <w:tcW w:w="16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Partners</w:t>
            </w:r>
          </w:p>
        </w:tc>
        <w:tc>
          <w:tcPr>
            <w:tcW w:w="17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and Guernsey laws</w:t>
            </w:r>
          </w:p>
        </w:tc>
        <w:tc>
          <w:tcPr>
            <w:tcW w:w="1640" w:type="dxa"/>
            <w:vAlign w:val="bottom"/>
            <w:vMerge w:val="continue"/>
          </w:tcPr>
          <w:p>
            <w:pPr>
              <w:spacing w:after="0"/>
              <w:rPr>
                <w:sz w:val="18"/>
                <w:szCs w:val="18"/>
                <w:color w:val="auto"/>
              </w:rPr>
            </w:pPr>
          </w:p>
        </w:tc>
        <w:tc>
          <w:tcPr>
            <w:tcW w:w="17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00" w:type="dxa"/>
            <w:vAlign w:val="bottom"/>
          </w:tcPr>
          <w:p>
            <w:pPr>
              <w:spacing w:after="0"/>
              <w:rPr>
                <w:sz w:val="20"/>
                <w:szCs w:val="20"/>
                <w:color w:val="auto"/>
              </w:rPr>
            </w:pPr>
          </w:p>
        </w:tc>
        <w:tc>
          <w:tcPr>
            <w:tcW w:w="1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Nicholas Plowman</w:t>
            </w:r>
          </w:p>
        </w:tc>
        <w:tc>
          <w:tcPr>
            <w:tcW w:w="1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Florence Chan*</w:t>
            </w:r>
          </w:p>
        </w:tc>
        <w:tc>
          <w:tcPr>
            <w:tcW w:w="3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Floor 11 Central Tower</w:t>
            </w:r>
          </w:p>
        </w:tc>
        <w:tc>
          <w:tcPr>
            <w:tcW w:w="1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Nathan Powell</w:t>
            </w:r>
          </w:p>
        </w:tc>
        <w:tc>
          <w:tcPr>
            <w:tcW w:w="176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Lin Han</w:t>
            </w:r>
            <w:r>
              <w:rPr>
                <w:rFonts w:ascii="Times New Roman" w:cs="Times New Roman" w:eastAsia="Times New Roman" w:hAnsi="Times New Roman"/>
                <w:sz w:val="25"/>
                <w:szCs w:val="25"/>
                <w:color w:val="auto"/>
                <w:vertAlign w:val="superscript"/>
              </w:rPr>
              <w:t>†</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28 Queen's Road Central</w:t>
            </w:r>
          </w:p>
        </w:tc>
        <w:tc>
          <w:tcPr>
            <w:tcW w:w="1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Anthony Oakes</w:t>
            </w:r>
          </w:p>
        </w:tc>
        <w:tc>
          <w:tcPr>
            <w:tcW w:w="1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Cecilia Li**</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Central</w:t>
            </w:r>
          </w:p>
        </w:tc>
        <w:tc>
          <w:tcPr>
            <w:tcW w:w="1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Oliver Payne</w:t>
            </w:r>
          </w:p>
        </w:tc>
        <w:tc>
          <w:tcPr>
            <w:tcW w:w="1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Rachel Huang**</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Hong Kong</w:t>
            </w:r>
          </w:p>
        </w:tc>
        <w:tc>
          <w:tcPr>
            <w:tcW w:w="1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Kate Hodson</w:t>
            </w:r>
          </w:p>
        </w:tc>
        <w:tc>
          <w:tcPr>
            <w:tcW w:w="1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Yuki Yan**</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 +852 3656 6000</w:t>
            </w:r>
          </w:p>
        </w:tc>
        <w:tc>
          <w:tcPr>
            <w:tcW w:w="1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David Nelson</w:t>
            </w:r>
          </w:p>
        </w:tc>
        <w:tc>
          <w:tcPr>
            <w:tcW w:w="176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Richard Bennett**</w:t>
            </w:r>
            <w:r>
              <w:rPr>
                <w:rFonts w:ascii="Times New Roman" w:cs="Times New Roman" w:eastAsia="Times New Roman" w:hAnsi="Times New Roman"/>
                <w:sz w:val="25"/>
                <w:szCs w:val="25"/>
                <w:color w:val="auto"/>
                <w:vertAlign w:val="superscript"/>
              </w:rPr>
              <w:t>‡</w:t>
            </w:r>
          </w:p>
        </w:tc>
        <w:tc>
          <w:tcPr>
            <w:tcW w:w="3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admitted in New Zealand</w:t>
            </w:r>
          </w:p>
        </w:tc>
        <w:tc>
          <w:tcPr>
            <w:tcW w:w="0" w:type="dxa"/>
            <w:vAlign w:val="bottom"/>
          </w:tcPr>
          <w:p>
            <w:pPr>
              <w:spacing w:after="0"/>
              <w:rPr>
                <w:sz w:val="1"/>
                <w:szCs w:val="1"/>
                <w:color w:val="auto"/>
              </w:rPr>
            </w:pPr>
          </w:p>
        </w:tc>
      </w:tr>
      <w:tr>
        <w:trPr>
          <w:trHeight w:val="162"/>
        </w:trPr>
        <w:tc>
          <w:tcPr>
            <w:tcW w:w="4400" w:type="dxa"/>
            <w:vAlign w:val="bottom"/>
            <w:vMerge w:val="continue"/>
          </w:tcPr>
          <w:p>
            <w:pPr>
              <w:spacing w:after="0"/>
              <w:rPr>
                <w:sz w:val="14"/>
                <w:szCs w:val="14"/>
                <w:color w:val="auto"/>
              </w:rPr>
            </w:pPr>
          </w:p>
        </w:tc>
        <w:tc>
          <w:tcPr>
            <w:tcW w:w="1640" w:type="dxa"/>
            <w:vAlign w:val="bottom"/>
          </w:tcPr>
          <w:p>
            <w:pPr>
              <w:ind w:left="100"/>
              <w:spacing w:after="0" w:line="162" w:lineRule="exact"/>
              <w:rPr>
                <w:sz w:val="20"/>
                <w:szCs w:val="20"/>
                <w:color w:val="auto"/>
              </w:rPr>
            </w:pPr>
            <w:r>
              <w:rPr>
                <w:rFonts w:ascii="Times New Roman" w:cs="Times New Roman" w:eastAsia="Times New Roman" w:hAnsi="Times New Roman"/>
                <w:sz w:val="18"/>
                <w:szCs w:val="18"/>
                <w:color w:val="auto"/>
              </w:rPr>
              <w:t>Justin Davis</w:t>
            </w:r>
          </w:p>
        </w:tc>
        <w:tc>
          <w:tcPr>
            <w:tcW w:w="1760" w:type="dxa"/>
            <w:vAlign w:val="bottom"/>
          </w:tcPr>
          <w:p>
            <w:pPr>
              <w:ind w:left="14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3440" w:type="dxa"/>
            <w:vAlign w:val="bottom"/>
          </w:tcPr>
          <w:p>
            <w:pPr>
              <w:ind w:left="140"/>
              <w:spacing w:after="0" w:line="162" w:lineRule="exact"/>
              <w:rPr>
                <w:sz w:val="20"/>
                <w:szCs w:val="20"/>
                <w:color w:val="auto"/>
              </w:rPr>
            </w:pP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2"/>
                <w:szCs w:val="12"/>
                <w:color w:val="auto"/>
              </w:rPr>
              <w:t xml:space="preserve"> admitted in New York</w:t>
            </w:r>
          </w:p>
        </w:tc>
        <w:tc>
          <w:tcPr>
            <w:tcW w:w="0" w:type="dxa"/>
            <w:vAlign w:val="bottom"/>
          </w:tcPr>
          <w:p>
            <w:pPr>
              <w:spacing w:after="0"/>
              <w:rPr>
                <w:sz w:val="1"/>
                <w:szCs w:val="1"/>
                <w:color w:val="auto"/>
              </w:rPr>
            </w:pPr>
          </w:p>
        </w:tc>
      </w:tr>
      <w:tr>
        <w:trPr>
          <w:trHeight w:val="80"/>
        </w:trPr>
        <w:tc>
          <w:tcPr>
            <w:tcW w:w="4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 +852 3656 6001</w:t>
            </w:r>
          </w:p>
        </w:tc>
        <w:tc>
          <w:tcPr>
            <w:tcW w:w="16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Joanne Collett</w:t>
            </w:r>
          </w:p>
        </w:tc>
        <w:tc>
          <w:tcPr>
            <w:tcW w:w="1760" w:type="dxa"/>
            <w:vAlign w:val="bottom"/>
          </w:tcPr>
          <w:p>
            <w:pPr>
              <w:ind w:left="180"/>
              <w:spacing w:after="0" w:line="80" w:lineRule="exact"/>
              <w:rPr>
                <w:sz w:val="20"/>
                <w:szCs w:val="20"/>
                <w:color w:val="auto"/>
              </w:rPr>
            </w:pPr>
            <w:r>
              <w:rPr>
                <w:rFonts w:ascii="Times New Roman" w:cs="Times New Roman" w:eastAsia="Times New Roman" w:hAnsi="Times New Roman"/>
                <w:sz w:val="9"/>
                <w:szCs w:val="9"/>
                <w:color w:val="auto"/>
              </w:rPr>
              <w:t>James Bergstrom</w:t>
            </w:r>
          </w:p>
        </w:tc>
        <w:tc>
          <w:tcPr>
            <w:tcW w:w="34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 admitted in England and Wales</w:t>
            </w:r>
          </w:p>
        </w:tc>
        <w:tc>
          <w:tcPr>
            <w:tcW w:w="0" w:type="dxa"/>
            <w:vAlign w:val="bottom"/>
          </w:tcPr>
          <w:p>
            <w:pPr>
              <w:spacing w:after="0"/>
              <w:rPr>
                <w:sz w:val="1"/>
                <w:szCs w:val="1"/>
                <w:color w:val="auto"/>
              </w:rPr>
            </w:pPr>
          </w:p>
        </w:tc>
      </w:tr>
      <w:tr>
        <w:trPr>
          <w:trHeight w:val="190"/>
        </w:trPr>
        <w:tc>
          <w:tcPr>
            <w:tcW w:w="4400" w:type="dxa"/>
            <w:vAlign w:val="bottom"/>
            <w:vMerge w:val="continue"/>
          </w:tcPr>
          <w:p>
            <w:pPr>
              <w:spacing w:after="0"/>
              <w:rPr>
                <w:sz w:val="16"/>
                <w:szCs w:val="16"/>
                <w:color w:val="auto"/>
              </w:rPr>
            </w:pPr>
          </w:p>
        </w:tc>
        <w:tc>
          <w:tcPr>
            <w:tcW w:w="1640" w:type="dxa"/>
            <w:vAlign w:val="bottom"/>
            <w:vMerge w:val="continue"/>
          </w:tcPr>
          <w:p>
            <w:pPr>
              <w:spacing w:after="0"/>
              <w:rPr>
                <w:sz w:val="16"/>
                <w:szCs w:val="16"/>
                <w:color w:val="auto"/>
              </w:rPr>
            </w:pPr>
          </w:p>
        </w:tc>
        <w:tc>
          <w:tcPr>
            <w:tcW w:w="1760" w:type="dxa"/>
            <w:vAlign w:val="bottom"/>
          </w:tcPr>
          <w:p>
            <w:pPr>
              <w:ind w:left="180"/>
              <w:spacing w:after="0" w:line="190" w:lineRule="exact"/>
              <w:rPr>
                <w:sz w:val="20"/>
                <w:szCs w:val="20"/>
                <w:color w:val="auto"/>
              </w:rPr>
            </w:pPr>
            <w:r>
              <w:rPr>
                <w:rFonts w:ascii="Times New Roman" w:cs="Times New Roman" w:eastAsia="Times New Roman" w:hAnsi="Times New Roman"/>
                <w:sz w:val="14"/>
                <w:szCs w:val="14"/>
                <w:color w:val="auto"/>
              </w:rPr>
              <w:t>Marcus Leese</w:t>
            </w:r>
            <w:r>
              <w:rPr>
                <w:rFonts w:ascii="Times New Roman" w:cs="Times New Roman" w:eastAsia="Times New Roman" w:hAnsi="Times New Roman"/>
                <w:sz w:val="22"/>
                <w:szCs w:val="22"/>
                <w:color w:val="auto"/>
                <w:vertAlign w:val="superscript"/>
              </w:rPr>
              <w:t>‡</w:t>
            </w:r>
          </w:p>
        </w:tc>
        <w:tc>
          <w:tcPr>
            <w:tcW w:w="3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4"/>
        </w:trPr>
        <w:tc>
          <w:tcPr>
            <w:tcW w:w="4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ogier.com</w:t>
            </w:r>
          </w:p>
        </w:tc>
        <w:tc>
          <w:tcPr>
            <w:tcW w:w="1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Dennis Li</w:t>
            </w:r>
          </w:p>
        </w:tc>
        <w:tc>
          <w:tcPr>
            <w:tcW w:w="1760" w:type="dxa"/>
            <w:vAlign w:val="bottom"/>
          </w:tcPr>
          <w:p>
            <w:pPr>
              <w:spacing w:after="0"/>
              <w:rPr>
                <w:sz w:val="24"/>
                <w:szCs w:val="24"/>
                <w:color w:val="auto"/>
              </w:rPr>
            </w:pPr>
          </w:p>
        </w:tc>
        <w:tc>
          <w:tcPr>
            <w:tcW w:w="3440" w:type="dxa"/>
            <w:vAlign w:val="bottom"/>
          </w:tcPr>
          <w:p>
            <w:pPr>
              <w:ind w:left="140"/>
              <w:spacing w:after="0"/>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not ordinarily resident in Hong Kong</w:t>
            </w:r>
          </w:p>
        </w:tc>
        <w:tc>
          <w:tcPr>
            <w:tcW w:w="0" w:type="dxa"/>
            <w:vAlign w:val="bottom"/>
          </w:tcPr>
          <w:p>
            <w:pPr>
              <w:spacing w:after="0"/>
              <w:rPr>
                <w:sz w:val="1"/>
                <w:szCs w:val="1"/>
                <w:color w:val="auto"/>
              </w:rPr>
            </w:pPr>
          </w:p>
        </w:tc>
      </w:tr>
      <w:tr>
        <w:trPr>
          <w:trHeight w:val="220"/>
        </w:trPr>
        <w:tc>
          <w:tcPr>
            <w:tcW w:w="44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34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66" w:right="339" w:bottom="1440" w:gutter="0" w:footer="0" w:header="0"/>
          <w:type w:val="continuous"/>
        </w:sectPr>
      </w:pPr>
    </w:p>
    <w:bookmarkStart w:id="46" w:name="page47"/>
    <w:bookmarkEnd w:id="46"/>
    <w:p>
      <w:pPr>
        <w:jc w:val="both"/>
        <w:spacing w:after="0" w:line="266" w:lineRule="auto"/>
        <w:rPr>
          <w:sz w:val="20"/>
          <w:szCs w:val="20"/>
          <w:color w:val="auto"/>
        </w:rPr>
      </w:pPr>
      <w:r>
        <w:rPr>
          <w:rFonts w:ascii="Times New Roman" w:cs="Times New Roman" w:eastAsia="Times New Roman" w:hAnsi="Times New Roman"/>
          <w:sz w:val="18"/>
          <w:szCs w:val="18"/>
          <w:color w:val="auto"/>
        </w:rPr>
        <w:t>Unless a contrary intention appears, all capitalised terms used in this opinion have the respective meanings set forth in the Documents (as defined below). A reference to a Schedule is a reference to a schedule to this opinion and the headings herein are for convenience only and do not affect the construction of this opinion.</w:t>
      </w:r>
    </w:p>
    <w:p>
      <w:pPr>
        <w:spacing w:after="0" w:line="172" w:lineRule="exact"/>
        <w:rPr>
          <w:sz w:val="20"/>
          <w:szCs w:val="20"/>
          <w:color w:val="auto"/>
        </w:rPr>
      </w:pPr>
    </w:p>
    <w:p>
      <w:pPr>
        <w:ind w:left="640" w:hanging="632"/>
        <w:spacing w:after="0"/>
        <w:tabs>
          <w:tab w:leader="none" w:pos="64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Documents examined</w:t>
      </w:r>
    </w:p>
    <w:p>
      <w:pPr>
        <w:spacing w:after="0" w:line="225" w:lineRule="exact"/>
        <w:rPr>
          <w:sz w:val="20"/>
          <w:szCs w:val="20"/>
          <w:color w:val="auto"/>
        </w:rPr>
      </w:pPr>
    </w:p>
    <w:p>
      <w:pPr>
        <w:jc w:val="both"/>
        <w:ind w:left="640"/>
        <w:spacing w:after="0" w:line="262" w:lineRule="auto"/>
        <w:rPr>
          <w:sz w:val="20"/>
          <w:szCs w:val="20"/>
          <w:color w:val="auto"/>
        </w:rPr>
      </w:pPr>
      <w:r>
        <w:rPr>
          <w:rFonts w:ascii="Times New Roman" w:cs="Times New Roman" w:eastAsia="Times New Roman" w:hAnsi="Times New Roman"/>
          <w:sz w:val="18"/>
          <w:szCs w:val="18"/>
          <w:color w:val="auto"/>
        </w:rPr>
        <w:t xml:space="preserve">For the purposes of giving this opinion, we have examined originals, copies, or drafts of the documents set forth in Schedule 1 (the </w:t>
      </w:r>
      <w:r>
        <w:rPr>
          <w:rFonts w:ascii="Times New Roman" w:cs="Times New Roman" w:eastAsia="Times New Roman" w:hAnsi="Times New Roman"/>
          <w:sz w:val="18"/>
          <w:szCs w:val="18"/>
          <w:b w:val="1"/>
          <w:bCs w:val="1"/>
          <w:color w:val="auto"/>
        </w:rPr>
        <w:t>Documents</w:t>
      </w:r>
      <w:r>
        <w:rPr>
          <w:rFonts w:ascii="Times New Roman" w:cs="Times New Roman" w:eastAsia="Times New Roman" w:hAnsi="Times New Roman"/>
          <w:sz w:val="18"/>
          <w:szCs w:val="18"/>
          <w:color w:val="auto"/>
        </w:rPr>
        <w:t>). In addition, we have examined the corporate and other documents and conducted the searches listed in Schedule 1. We have not made any searches or enquiries concerning, and have not examined any documents entered into by or affecting the Company or any other person, save for the searches, enquiries and examinations expressly referred to in Schedule 1.</w:t>
      </w:r>
    </w:p>
    <w:p>
      <w:pPr>
        <w:spacing w:after="0" w:line="176" w:lineRule="exact"/>
        <w:rPr>
          <w:sz w:val="20"/>
          <w:szCs w:val="20"/>
          <w:color w:val="auto"/>
        </w:rPr>
      </w:pPr>
    </w:p>
    <w:p>
      <w:pPr>
        <w:ind w:left="640" w:hanging="632"/>
        <w:spacing w:after="0"/>
        <w:tabs>
          <w:tab w:leader="none" w:pos="64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Assumptions</w:t>
      </w:r>
    </w:p>
    <w:p>
      <w:pPr>
        <w:spacing w:after="0" w:line="229" w:lineRule="exact"/>
        <w:rPr>
          <w:rFonts w:ascii="Times New Roman" w:cs="Times New Roman" w:eastAsia="Times New Roman" w:hAnsi="Times New Roman"/>
          <w:sz w:val="18"/>
          <w:szCs w:val="18"/>
          <w:b w:val="1"/>
          <w:bCs w:val="1"/>
          <w:color w:val="auto"/>
        </w:rPr>
      </w:pPr>
    </w:p>
    <w:p>
      <w:pPr>
        <w:ind w:left="6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giving this opinion we have relied upon the assumptions set forth in Schedule 2 without having carried out any independent investigation or verification in respect of those assumptions.</w:t>
      </w:r>
    </w:p>
    <w:p>
      <w:pPr>
        <w:spacing w:after="0" w:line="158" w:lineRule="exact"/>
        <w:rPr>
          <w:sz w:val="20"/>
          <w:szCs w:val="20"/>
          <w:color w:val="auto"/>
        </w:rPr>
      </w:pPr>
    </w:p>
    <w:p>
      <w:pPr>
        <w:ind w:left="640" w:hanging="632"/>
        <w:spacing w:after="0"/>
        <w:tabs>
          <w:tab w:leader="none" w:pos="64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Opinions</w:t>
      </w:r>
    </w:p>
    <w:p>
      <w:pPr>
        <w:spacing w:after="0" w:line="229" w:lineRule="exact"/>
        <w:rPr>
          <w:rFonts w:ascii="Times New Roman" w:cs="Times New Roman" w:eastAsia="Times New Roman" w:hAnsi="Times New Roman"/>
          <w:sz w:val="18"/>
          <w:szCs w:val="18"/>
          <w:b w:val="1"/>
          <w:bCs w:val="1"/>
          <w:color w:val="auto"/>
        </w:rPr>
      </w:pPr>
    </w:p>
    <w:p>
      <w:pPr>
        <w:ind w:left="6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the basis of the examinations and assumptions referred to above and subject to the qualifications set forth in Schedule 3 and the limitations set forth below, we are of the opinion that:</w:t>
      </w:r>
    </w:p>
    <w:p>
      <w:pPr>
        <w:spacing w:after="0" w:line="157" w:lineRule="exact"/>
        <w:rPr>
          <w:rFonts w:ascii="Times New Roman" w:cs="Times New Roman" w:eastAsia="Times New Roman" w:hAnsi="Times New Roman"/>
          <w:sz w:val="18"/>
          <w:szCs w:val="18"/>
          <w:b w:val="1"/>
          <w:bCs w:val="1"/>
          <w:color w:val="auto"/>
        </w:rPr>
      </w:pPr>
    </w:p>
    <w:p>
      <w:pPr>
        <w:ind w:left="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Corporate status</w:t>
      </w:r>
    </w:p>
    <w:p>
      <w:pPr>
        <w:spacing w:after="0" w:line="229" w:lineRule="exact"/>
        <w:rPr>
          <w:rFonts w:ascii="Times New Roman" w:cs="Times New Roman" w:eastAsia="Times New Roman" w:hAnsi="Times New Roman"/>
          <w:sz w:val="18"/>
          <w:szCs w:val="18"/>
          <w:b w:val="1"/>
          <w:bCs w:val="1"/>
          <w:color w:val="auto"/>
        </w:rPr>
      </w:pPr>
    </w:p>
    <w:p>
      <w:pPr>
        <w:ind w:left="1280" w:right="20" w:hanging="638"/>
        <w:spacing w:after="0" w:line="282" w:lineRule="auto"/>
        <w:tabs>
          <w:tab w:leader="none" w:pos="12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has been duly incorporated as an exempted company with limited liability and is validly existing and in good standing with the Registrar of Companies of the Cayman Islands (the </w:t>
      </w:r>
      <w:r>
        <w:rPr>
          <w:rFonts w:ascii="Times New Roman" w:cs="Times New Roman" w:eastAsia="Times New Roman" w:hAnsi="Times New Roman"/>
          <w:sz w:val="18"/>
          <w:szCs w:val="18"/>
          <w:b w:val="1"/>
          <w:bCs w:val="1"/>
          <w:color w:val="auto"/>
        </w:rPr>
        <w:t>Registrar</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Issuance of Shares</w:t>
      </w:r>
    </w:p>
    <w:p>
      <w:pPr>
        <w:spacing w:after="0" w:line="229" w:lineRule="exact"/>
        <w:rPr>
          <w:sz w:val="20"/>
          <w:szCs w:val="20"/>
          <w:color w:val="auto"/>
        </w:rPr>
      </w:pPr>
    </w:p>
    <w:p>
      <w:pPr>
        <w:ind w:left="1280" w:right="20" w:hanging="638"/>
        <w:spacing w:after="0" w:line="282" w:lineRule="auto"/>
        <w:tabs>
          <w:tab w:leader="none" w:pos="12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Shares to be offered and issued by the Company as contemplated by the Registration Statement and the Sales Agreement have been duly authorised and, when issued by the Company upon:</w:t>
      </w:r>
    </w:p>
    <w:p>
      <w:pPr>
        <w:spacing w:after="0" w:line="161" w:lineRule="exact"/>
        <w:rPr>
          <w:rFonts w:ascii="Times New Roman" w:cs="Times New Roman" w:eastAsia="Times New Roman" w:hAnsi="Times New Roman"/>
          <w:sz w:val="18"/>
          <w:szCs w:val="18"/>
          <w:color w:val="auto"/>
        </w:rPr>
      </w:pPr>
    </w:p>
    <w:p>
      <w:pPr>
        <w:ind w:left="1920" w:hanging="643"/>
        <w:spacing w:after="0" w:line="282" w:lineRule="auto"/>
        <w:tabs>
          <w:tab w:leader="none" w:pos="19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in full of the consideration as set out in the Registration Statement and the Sales Agreement and in accordance with the terms set out in the Registration Statement and the Sales Agreement and in accordance with the Memorandum and Articles; and</w:t>
      </w:r>
    </w:p>
    <w:p>
      <w:pPr>
        <w:spacing w:after="0" w:line="161" w:lineRule="exact"/>
        <w:rPr>
          <w:rFonts w:ascii="Times New Roman" w:cs="Times New Roman" w:eastAsia="Times New Roman" w:hAnsi="Times New Roman"/>
          <w:sz w:val="18"/>
          <w:szCs w:val="18"/>
          <w:color w:val="auto"/>
        </w:rPr>
      </w:pPr>
    </w:p>
    <w:p>
      <w:pPr>
        <w:ind w:left="1920" w:hanging="643"/>
        <w:spacing w:after="0" w:line="282" w:lineRule="auto"/>
        <w:tabs>
          <w:tab w:leader="none" w:pos="19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of those Ordinary Shares as fully paid on the register of members of the Company, shall be validly issued, fully paid and non-assessable.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jc w:val="both"/>
        <w:ind w:left="640" w:right="9060" w:hanging="632"/>
        <w:spacing w:after="0" w:line="532" w:lineRule="auto"/>
        <w:tabs>
          <w:tab w:leader="none" w:pos="636" w:val="left"/>
        </w:tabs>
        <w:numPr>
          <w:ilvl w:val="0"/>
          <w:numId w:val="3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Matters not covered </w:t>
      </w:r>
      <w:r>
        <w:rPr>
          <w:rFonts w:ascii="Times New Roman" w:cs="Times New Roman" w:eastAsia="Times New Roman" w:hAnsi="Times New Roman"/>
          <w:sz w:val="17"/>
          <w:szCs w:val="17"/>
          <w:color w:val="auto"/>
        </w:rPr>
        <w:t>We offer no opinion:</w:t>
      </w:r>
    </w:p>
    <w:p>
      <w:pPr>
        <w:spacing w:after="0" w:line="1" w:lineRule="exact"/>
        <w:rPr>
          <w:rFonts w:ascii="Times New Roman" w:cs="Times New Roman" w:eastAsia="Times New Roman" w:hAnsi="Times New Roman"/>
          <w:sz w:val="17"/>
          <w:szCs w:val="17"/>
          <w:b w:val="1"/>
          <w:bCs w:val="1"/>
          <w:color w:val="auto"/>
        </w:rPr>
      </w:pPr>
    </w:p>
    <w:p>
      <w:pPr>
        <w:jc w:val="both"/>
        <w:ind w:left="1280" w:hanging="638"/>
        <w:spacing w:after="0" w:line="266" w:lineRule="auto"/>
        <w:tabs>
          <w:tab w:leader="none" w:pos="12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any laws other than the laws of the Cayman Islands, and we have not, for the purposes of this opinion, made any investigation of the laws of any other jurisdiction, and we express no opinion as to the meaning, validity, or effect of references in the Documents to statutes, rules, regulations, codes or judicial authority of any jurisdiction other than the Cayman Islands;</w:t>
      </w:r>
    </w:p>
    <w:p>
      <w:pPr>
        <w:spacing w:after="0" w:line="175" w:lineRule="exact"/>
        <w:rPr>
          <w:rFonts w:ascii="Times New Roman" w:cs="Times New Roman" w:eastAsia="Times New Roman" w:hAnsi="Times New Roman"/>
          <w:sz w:val="18"/>
          <w:szCs w:val="18"/>
          <w:color w:val="auto"/>
        </w:rPr>
      </w:pPr>
    </w:p>
    <w:p>
      <w:pPr>
        <w:jc w:val="both"/>
        <w:ind w:left="1280" w:hanging="638"/>
        <w:spacing w:after="0" w:line="258" w:lineRule="auto"/>
        <w:tabs>
          <w:tab w:leader="none" w:pos="12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that this opinion expressly provides otherwise, as to the commercial terms of, or the validity, enforceability or effect of the Documents (or as to how the commercial terms of such documents reflect the intentions of the parties), the accuracy of representations, the fulfilment of warranties or conditions, the occurrence of events of default or terminating events or the existence of any conflicts or inconsistencies among the Documents and any other agreements into which the Company may have entered or any other documents; or</w:t>
      </w:r>
    </w:p>
    <w:p>
      <w:pPr>
        <w:spacing w:after="0" w:line="183" w:lineRule="exact"/>
        <w:rPr>
          <w:rFonts w:ascii="Times New Roman" w:cs="Times New Roman" w:eastAsia="Times New Roman" w:hAnsi="Times New Roman"/>
          <w:sz w:val="18"/>
          <w:szCs w:val="18"/>
          <w:color w:val="auto"/>
        </w:rPr>
      </w:pPr>
    </w:p>
    <w:p>
      <w:pPr>
        <w:ind w:left="1280" w:right="20" w:hanging="638"/>
        <w:spacing w:after="0" w:line="282" w:lineRule="auto"/>
        <w:tabs>
          <w:tab w:leader="none" w:pos="12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whether the acceptance, execution or performance of the Company’s obligations under the Documents will result in the breach of or infringe any other agreement, deed or document (other than the Memorandum and Articles) entered into by or binding on the Company.</w:t>
      </w:r>
    </w:p>
    <w:p>
      <w:pPr>
        <w:spacing w:after="0" w:line="158" w:lineRule="exact"/>
        <w:rPr>
          <w:sz w:val="20"/>
          <w:szCs w:val="20"/>
          <w:color w:val="auto"/>
        </w:rPr>
      </w:pPr>
    </w:p>
    <w:p>
      <w:pPr>
        <w:ind w:left="640" w:hanging="632"/>
        <w:spacing w:after="0"/>
        <w:tabs>
          <w:tab w:leader="none" w:pos="64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 of this opinion</w:t>
      </w:r>
    </w:p>
    <w:p>
      <w:pPr>
        <w:spacing w:after="0" w:line="2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color w:val="auto"/>
        </w:rPr>
        <w:t>This opinion is:</w:t>
      </w:r>
    </w:p>
    <w:p>
      <w:pPr>
        <w:spacing w:after="0" w:line="225" w:lineRule="exact"/>
        <w:rPr>
          <w:sz w:val="20"/>
          <w:szCs w:val="20"/>
          <w:color w:val="auto"/>
        </w:rPr>
      </w:pPr>
    </w:p>
    <w:p>
      <w:pPr>
        <w:ind w:left="1280" w:hanging="638"/>
        <w:spacing w:after="0"/>
        <w:tabs>
          <w:tab w:leader="none" w:pos="12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governed by, and shall be construed in accordance with, the laws of the Cayman Islands;</w:t>
      </w:r>
    </w:p>
    <w:p>
      <w:pPr>
        <w:spacing w:after="0" w:line="225"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to the matters expressly stated in it; and</w:t>
      </w:r>
    </w:p>
    <w:p>
      <w:pPr>
        <w:spacing w:after="0" w:line="225"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confined to, and given on the basis of, the laws and practice in the Cayman Islands at the date of this opinion.</w:t>
      </w:r>
    </w:p>
    <w:p>
      <w:pPr>
        <w:spacing w:after="0" w:line="225" w:lineRule="exact"/>
        <w:rPr>
          <w:sz w:val="20"/>
          <w:szCs w:val="20"/>
          <w:color w:val="auto"/>
        </w:rPr>
      </w:pPr>
    </w:p>
    <w:p>
      <w:pPr>
        <w:ind w:left="640" w:hanging="633"/>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color w:val="auto"/>
        </w:rPr>
        <w:t>Unless otherwise indicated, a reference to any specific Cayman Islands legislation is a reference to that legislation as amended to, and as in force at, the date of this opinion.</w:t>
      </w:r>
    </w:p>
    <w:p>
      <w:pPr>
        <w:spacing w:after="0" w:line="158" w:lineRule="exact"/>
        <w:rPr>
          <w:sz w:val="20"/>
          <w:szCs w:val="20"/>
          <w:color w:val="auto"/>
        </w:rPr>
      </w:pPr>
    </w:p>
    <w:p>
      <w:pPr>
        <w:ind w:left="640" w:hanging="632"/>
        <w:spacing w:after="0"/>
        <w:tabs>
          <w:tab w:leader="none" w:pos="64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can rely on this opinion</w:t>
      </w:r>
    </w:p>
    <w:p>
      <w:pPr>
        <w:spacing w:after="0" w:line="2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color w:val="auto"/>
        </w:rPr>
        <w:t>We hereby consent to the filing of this opinion as an exhibit to the Form 6-K. In giving such consent, we do not thereby admit that we come within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category of persons whose consent is required under Section 7 of the Act, or the Rules and Regulations of the Commission thereunder.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8" w:name="page49"/>
    <w:bookmarkEnd w:id="48"/>
    <w:p>
      <w:pPr>
        <w:ind w:left="640" w:hanging="633"/>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8"/>
          <w:szCs w:val="18"/>
          <w:color w:val="auto"/>
        </w:rPr>
        <w:t>With the exception of your professional advisers (acting only in that capacity), this opinion may not be relied upon by any person, other than persons entitled to rely upon it pursuant to the provisions of the Act, without our prior written consent.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Ogier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Ogier</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Documents examined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Corporate and other documents</w:t>
      </w:r>
    </w:p>
    <w:p>
      <w:pPr>
        <w:spacing w:after="0" w:line="225" w:lineRule="exact"/>
        <w:rPr>
          <w:sz w:val="20"/>
          <w:szCs w:val="20"/>
          <w:color w:val="auto"/>
        </w:rPr>
      </w:pPr>
    </w:p>
    <w:p>
      <w:pPr>
        <w:ind w:left="640" w:hanging="632"/>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of incorporation of the Company dated 8 December 2021 issued by the Registrar.</w:t>
      </w:r>
    </w:p>
    <w:p>
      <w:pPr>
        <w:spacing w:after="0" w:line="225" w:lineRule="exact"/>
        <w:rPr>
          <w:sz w:val="20"/>
          <w:szCs w:val="20"/>
          <w:color w:val="auto"/>
        </w:rPr>
      </w:pPr>
    </w:p>
    <w:p>
      <w:pPr>
        <w:jc w:val="both"/>
        <w:ind w:left="640" w:hanging="632"/>
        <w:spacing w:after="0" w:line="266" w:lineRule="auto"/>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amended and restated memorandum and articles of association of the Company adopted by a special resolution passed on 8 March 2023 and effective at the Acquisition Merger Effective Time (as defined therein) and filed with the Registrar on 13 April 2023 and the written resolutions by all the directors of the Company passed on 9 June 2023 and filed with the Registrar on 9 June 2023 (together, the </w:t>
      </w:r>
      <w:r>
        <w:rPr>
          <w:rFonts w:ascii="Times New Roman" w:cs="Times New Roman" w:eastAsia="Times New Roman" w:hAnsi="Times New Roman"/>
          <w:sz w:val="18"/>
          <w:szCs w:val="18"/>
          <w:b w:val="1"/>
          <w:bCs w:val="1"/>
          <w:color w:val="auto"/>
        </w:rPr>
        <w:t>Memorandum and Articles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640" w:hanging="632"/>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certificate of good standing dated 30 October 2024 (the </w:t>
      </w:r>
      <w:r>
        <w:rPr>
          <w:rFonts w:ascii="Times New Roman" w:cs="Times New Roman" w:eastAsia="Times New Roman" w:hAnsi="Times New Roman"/>
          <w:sz w:val="18"/>
          <w:szCs w:val="18"/>
          <w:b w:val="1"/>
          <w:bCs w:val="1"/>
          <w:color w:val="auto"/>
        </w:rPr>
        <w:t>Good Standing Certificate</w:t>
      </w:r>
      <w:r>
        <w:rPr>
          <w:rFonts w:ascii="Times New Roman" w:cs="Times New Roman" w:eastAsia="Times New Roman" w:hAnsi="Times New Roman"/>
          <w:sz w:val="18"/>
          <w:szCs w:val="18"/>
          <w:color w:val="auto"/>
        </w:rPr>
        <w:t>) issued by the Registrar in respect of the Company.</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w:t>
      </w:r>
      <w:r>
        <w:rPr>
          <w:rFonts w:ascii="Times New Roman" w:cs="Times New Roman" w:eastAsia="Times New Roman" w:hAnsi="Times New Roman"/>
          <w:sz w:val="17"/>
          <w:szCs w:val="17"/>
          <w:color w:val="auto"/>
        </w:rPr>
        <w:t xml:space="preserve">The register of directors and officers of the Company dated 1 March 2024 (the </w:t>
      </w:r>
      <w:r>
        <w:rPr>
          <w:rFonts w:ascii="Times New Roman" w:cs="Times New Roman" w:eastAsia="Times New Roman" w:hAnsi="Times New Roman"/>
          <w:sz w:val="17"/>
          <w:szCs w:val="17"/>
          <w:b w:val="1"/>
          <w:bCs w:val="1"/>
          <w:color w:val="auto"/>
        </w:rPr>
        <w:t>Register</w:t>
      </w:r>
      <w:r>
        <w:rPr>
          <w:rFonts w:ascii="Times New Roman" w:cs="Times New Roman" w:eastAsia="Times New Roman" w:hAnsi="Times New Roman"/>
          <w:sz w:val="17"/>
          <w:szCs w:val="17"/>
          <w:color w:val="auto"/>
        </w:rPr>
        <w:t>).</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7"/>
          <w:szCs w:val="17"/>
          <w:color w:val="auto"/>
        </w:rPr>
        <w:t xml:space="preserve">A certificate from a director of the Company dated 3 January 2025 as to certain matters of facts (the </w:t>
      </w:r>
      <w:r>
        <w:rPr>
          <w:rFonts w:ascii="Times New Roman" w:cs="Times New Roman" w:eastAsia="Times New Roman" w:hAnsi="Times New Roman"/>
          <w:sz w:val="17"/>
          <w:szCs w:val="17"/>
          <w:b w:val="1"/>
          <w:bCs w:val="1"/>
          <w:color w:val="auto"/>
        </w:rPr>
        <w:t>Director's Certificate</w:t>
      </w:r>
      <w:r>
        <w:rPr>
          <w:rFonts w:ascii="Times New Roman" w:cs="Times New Roman" w:eastAsia="Times New Roman" w:hAnsi="Times New Roman"/>
          <w:sz w:val="17"/>
          <w:szCs w:val="17"/>
          <w:color w:val="auto"/>
        </w:rPr>
        <w:t>).</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w:t>
      </w:r>
      <w:r>
        <w:rPr>
          <w:rFonts w:ascii="Times New Roman" w:cs="Times New Roman" w:eastAsia="Times New Roman" w:hAnsi="Times New Roman"/>
          <w:sz w:val="17"/>
          <w:szCs w:val="17"/>
          <w:color w:val="auto"/>
        </w:rPr>
        <w:t xml:space="preserve">The Register of Writs at the office of the Clerk of Courts in the Cayman Islands as inspected by us on 3 January 2025 (the </w:t>
      </w:r>
      <w:r>
        <w:rPr>
          <w:rFonts w:ascii="Times New Roman" w:cs="Times New Roman" w:eastAsia="Times New Roman" w:hAnsi="Times New Roman"/>
          <w:sz w:val="17"/>
          <w:szCs w:val="17"/>
          <w:b w:val="1"/>
          <w:bCs w:val="1"/>
          <w:color w:val="auto"/>
        </w:rPr>
        <w:t>Register of Writs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640" w:right="20" w:hanging="632"/>
        <w:spacing w:after="0" w:line="286" w:lineRule="auto"/>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search on the Cayman Online Registry Information Service conducted against the Company at the Registrar on 2 January 2025 (the </w:t>
      </w:r>
      <w:r>
        <w:rPr>
          <w:rFonts w:ascii="Times New Roman" w:cs="Times New Roman" w:eastAsia="Times New Roman" w:hAnsi="Times New Roman"/>
          <w:sz w:val="18"/>
          <w:szCs w:val="18"/>
          <w:b w:val="1"/>
          <w:bCs w:val="1"/>
          <w:color w:val="auto"/>
        </w:rPr>
        <w:t>CORIS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Search</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left="640" w:hanging="632"/>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unanimous written resolutions of the board of directors of the Company passed on 15 March 2024.</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9The unanimous written resolutions of the board of directors of the Company passed on 9 December 2024.</w:t>
      </w:r>
    </w:p>
    <w:p>
      <w:pPr>
        <w:spacing w:after="0" w:line="225" w:lineRule="exact"/>
        <w:rPr>
          <w:sz w:val="20"/>
          <w:szCs w:val="20"/>
          <w:color w:val="auto"/>
        </w:rPr>
      </w:pPr>
    </w:p>
    <w:p>
      <w:pPr>
        <w:ind w:left="640" w:hanging="632"/>
        <w:spacing w:after="0" w:line="282" w:lineRule="auto"/>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unanimous written resolutions of the board of directors of the Company passed on 3 January 2025 (together with items 8 and 9 above, the </w:t>
      </w:r>
      <w:r>
        <w:rPr>
          <w:rFonts w:ascii="Times New Roman" w:cs="Times New Roman" w:eastAsia="Times New Roman" w:hAnsi="Times New Roman"/>
          <w:sz w:val="18"/>
          <w:szCs w:val="18"/>
          <w:b w:val="1"/>
          <w:bCs w:val="1"/>
          <w:color w:val="auto"/>
        </w:rPr>
        <w:t>Board Resolutions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Sales Agreement.</w:t>
      </w:r>
    </w:p>
    <w:p>
      <w:pPr>
        <w:spacing w:after="0" w:line="225"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w:t>
      </w:r>
    </w:p>
    <w:p>
      <w:pPr>
        <w:spacing w:after="0" w:line="225"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color w:val="231F20"/>
        </w:rPr>
        <w:t>Prospectus Supplement.</w:t>
      </w:r>
    </w:p>
    <w:p>
      <w:pPr>
        <w:spacing w:after="0" w:line="225"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6-K.</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SCHEDULE 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Assumptions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Assumptions of general application</w:t>
      </w:r>
    </w:p>
    <w:p>
      <w:pPr>
        <w:spacing w:after="0" w:line="229" w:lineRule="exact"/>
        <w:rPr>
          <w:sz w:val="20"/>
          <w:szCs w:val="20"/>
          <w:color w:val="auto"/>
        </w:rPr>
      </w:pPr>
    </w:p>
    <w:p>
      <w:pPr>
        <w:ind w:left="640" w:hanging="632"/>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original documents examined by us are authentic and complete.</w:t>
      </w:r>
    </w:p>
    <w:p>
      <w:pPr>
        <w:spacing w:after="0" w:line="225" w:lineRule="exact"/>
        <w:rPr>
          <w:sz w:val="20"/>
          <w:szCs w:val="20"/>
          <w:color w:val="auto"/>
        </w:rPr>
      </w:pPr>
    </w:p>
    <w:p>
      <w:pPr>
        <w:ind w:left="640" w:right="20" w:hanging="632"/>
        <w:spacing w:after="0" w:line="282" w:lineRule="auto"/>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copy documents examined by us (whether in facsimile, electronic or other form) conform to the originals and those originals are authentic and complete.</w:t>
      </w:r>
    </w:p>
    <w:p>
      <w:pPr>
        <w:spacing w:after="0" w:line="162" w:lineRule="exact"/>
        <w:rPr>
          <w:sz w:val="20"/>
          <w:szCs w:val="20"/>
          <w:color w:val="auto"/>
        </w:rPr>
      </w:pPr>
    </w:p>
    <w:p>
      <w:pPr>
        <w:ind w:left="640" w:hanging="632"/>
        <w:spacing w:after="0"/>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signatures, seals, dates, stamps and markings (whether on original or copy documents) are genuine.</w:t>
      </w:r>
    </w:p>
    <w:p>
      <w:pPr>
        <w:spacing w:after="0" w:line="225" w:lineRule="exact"/>
        <w:rPr>
          <w:sz w:val="20"/>
          <w:szCs w:val="20"/>
          <w:color w:val="auto"/>
        </w:rPr>
      </w:pPr>
    </w:p>
    <w:p>
      <w:pPr>
        <w:ind w:left="640" w:right="20" w:hanging="632"/>
        <w:spacing w:after="0" w:line="282" w:lineRule="auto"/>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Good Standing Certificate, the Memorandum and Articles, the Register and the Director's Certificate examined by us is accurate and complete as at the date of this opinion.</w:t>
      </w:r>
    </w:p>
    <w:p>
      <w:pPr>
        <w:spacing w:after="0" w:line="162" w:lineRule="exact"/>
        <w:rPr>
          <w:sz w:val="20"/>
          <w:szCs w:val="20"/>
          <w:color w:val="auto"/>
        </w:rPr>
      </w:pPr>
    </w:p>
    <w:p>
      <w:pPr>
        <w:jc w:val="both"/>
        <w:ind w:left="640" w:hanging="632"/>
        <w:spacing w:after="0" w:line="266" w:lineRule="auto"/>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any document has been provided to us in draft or undated form, that document has been executed by all parties in materially the form provided to us and, where we have been provided with successive drafts of a document marked to show changes from a previous draft, all such changes have been accurately marked.</w:t>
      </w:r>
    </w:p>
    <w:p>
      <w:pPr>
        <w:spacing w:after="0" w:line="176" w:lineRule="exact"/>
        <w:rPr>
          <w:sz w:val="20"/>
          <w:szCs w:val="20"/>
          <w:color w:val="auto"/>
        </w:rPr>
      </w:pPr>
    </w:p>
    <w:p>
      <w:pPr>
        <w:ind w:left="640" w:right="20" w:hanging="632"/>
        <w:spacing w:after="0" w:line="282" w:lineRule="auto"/>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CORIS Search (as defined in Schedule 1) which we have examined is accurate and that the information disclosed by the CORIS Search is true and complete and that such information has not since been altered.</w:t>
      </w:r>
    </w:p>
    <w:p>
      <w:pPr>
        <w:spacing w:after="0" w:line="162" w:lineRule="exact"/>
        <w:rPr>
          <w:sz w:val="20"/>
          <w:szCs w:val="20"/>
          <w:color w:val="auto"/>
        </w:rPr>
      </w:pPr>
    </w:p>
    <w:p>
      <w:pPr>
        <w:jc w:val="both"/>
        <w:ind w:left="640" w:right="20" w:hanging="632"/>
        <w:spacing w:after="0" w:line="266" w:lineRule="auto"/>
        <w:tabs>
          <w:tab w:leader="none" w:pos="6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copy of each Document is true and correct copy and each Document conforms in every material respect to the latest drafts of the same produced to us and, where a Document has been provided to us in successive drafts marked-up to indicate changes to such document, all such changes have been so indicated.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Status, authorisation and execution</w:t>
      </w:r>
    </w:p>
    <w:p>
      <w:pPr>
        <w:spacing w:after="0" w:line="229" w:lineRule="exact"/>
        <w:rPr>
          <w:sz w:val="20"/>
          <w:szCs w:val="20"/>
          <w:color w:val="auto"/>
        </w:rPr>
      </w:pPr>
    </w:p>
    <w:p>
      <w:pPr>
        <w:jc w:val="both"/>
        <w:ind w:left="640" w:hanging="632"/>
        <w:spacing w:after="0" w:line="261" w:lineRule="auto"/>
        <w:tabs>
          <w:tab w:leader="none" w:pos="6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to the Documents other than the Company is duly incorporated, formed or organised (as applicable), validly existing and in good standing under all relevant laws. Any individuals who are parties to the Documents, or who sign or have signed documents or give information on which we rely, have the legal capacity under all relevant laws (including the laws of the Cayman Islands) to enter into and perform their obligations under such Documents, sign such documents and give such information.</w:t>
      </w:r>
    </w:p>
    <w:p>
      <w:pPr>
        <w:spacing w:after="0" w:line="180" w:lineRule="exact"/>
        <w:rPr>
          <w:sz w:val="20"/>
          <w:szCs w:val="20"/>
          <w:color w:val="auto"/>
        </w:rPr>
      </w:pPr>
    </w:p>
    <w:p>
      <w:pPr>
        <w:jc w:val="both"/>
        <w:ind w:left="640" w:hanging="632"/>
        <w:spacing w:after="0" w:line="266" w:lineRule="auto"/>
        <w:tabs>
          <w:tab w:leader="none" w:pos="6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authorising the execution and delivery of the Documents by the Company, the exercise of its rights and performance of its obligations under such documents, each of the directors of the Company has acted in good faith with a view to the best interests of the Company and has exercised the standard of care, diligence and skill that is required of him or her.</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1" w:name="page52"/>
    <w:bookmarkEnd w:id="51"/>
    <w:p>
      <w:pPr>
        <w:jc w:val="both"/>
        <w:ind w:left="640" w:hanging="632"/>
        <w:spacing w:after="0" w:line="261" w:lineRule="auto"/>
        <w:tabs>
          <w:tab w:leader="none" w:pos="6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Resolutions (as defined in Schedule 1) remain in full force and effect and each of the directors of the Company has acted in good faith with a view to the best interests of the Company and has exercised the standard of care, diligence and skill that is required of him or her in approving the Documents and no director has a financial interest in or other relationship to a party of the transactions contemplated by the Documents which has not been properly disclosed in the Board Resolutions.</w:t>
      </w:r>
    </w:p>
    <w:p>
      <w:pPr>
        <w:spacing w:after="0" w:line="179" w:lineRule="exact"/>
        <w:rPr>
          <w:rFonts w:ascii="Times New Roman" w:cs="Times New Roman" w:eastAsia="Times New Roman" w:hAnsi="Times New Roman"/>
          <w:sz w:val="18"/>
          <w:szCs w:val="18"/>
          <w:color w:val="auto"/>
        </w:rPr>
      </w:pPr>
    </w:p>
    <w:p>
      <w:pPr>
        <w:ind w:left="640" w:hanging="632"/>
        <w:spacing w:after="0" w:line="282" w:lineRule="auto"/>
        <w:tabs>
          <w:tab w:leader="none" w:pos="6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directors nor the shareholders of the Company have taken any steps to appoint a liquidator of the Company and no receiver or restructuring officer has been appointed over any of the Company’s property or assets.</w:t>
      </w:r>
    </w:p>
    <w:p>
      <w:pPr>
        <w:spacing w:after="0" w:line="161" w:lineRule="exact"/>
        <w:rPr>
          <w:rFonts w:ascii="Times New Roman" w:cs="Times New Roman" w:eastAsia="Times New Roman" w:hAnsi="Times New Roman"/>
          <w:sz w:val="18"/>
          <w:szCs w:val="18"/>
          <w:color w:val="auto"/>
        </w:rPr>
      </w:pPr>
    </w:p>
    <w:p>
      <w:pPr>
        <w:jc w:val="both"/>
        <w:ind w:left="640" w:hanging="632"/>
        <w:spacing w:after="0" w:line="258" w:lineRule="auto"/>
        <w:tabs>
          <w:tab w:leader="none" w:pos="6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obtained, or will obtain prior to execution, all consents, licences, approvals and authorizations of any governmental or regulatory authority or agency or of any other person that it is required to obtain pursuant to the laws of all relevant jurisdictions (other than those of the Cayman Islands) to ensure the legality, validity, enforceability, proper performance and admissibility in evidence of the Documents. Any conditions to which such consents, licences, approvals and authorizations are subject have been, and will continue to be, satisfied or waived by the parties entitled to the benefit of them.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Enforceability</w:t>
      </w:r>
    </w:p>
    <w:p>
      <w:pPr>
        <w:spacing w:after="0" w:line="229" w:lineRule="exact"/>
        <w:rPr>
          <w:sz w:val="20"/>
          <w:szCs w:val="20"/>
          <w:color w:val="auto"/>
        </w:rPr>
      </w:pPr>
    </w:p>
    <w:p>
      <w:pPr>
        <w:ind w:left="640" w:right="60" w:hanging="632"/>
        <w:spacing w:after="0" w:line="282" w:lineRule="auto"/>
        <w:tabs>
          <w:tab w:leader="none" w:pos="6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opinions expressed herein will be adversely affected by the laws or public policies of any jurisdiction other than the Cayman Islands. In particular, but without limitation to the previous sentence:</w:t>
      </w:r>
    </w:p>
    <w:p>
      <w:pPr>
        <w:spacing w:after="0" w:line="161" w:lineRule="exact"/>
        <w:rPr>
          <w:rFonts w:ascii="Times New Roman" w:cs="Times New Roman" w:eastAsia="Times New Roman" w:hAnsi="Times New Roman"/>
          <w:sz w:val="18"/>
          <w:szCs w:val="18"/>
          <w:color w:val="auto"/>
        </w:rPr>
      </w:pPr>
    </w:p>
    <w:p>
      <w:pPr>
        <w:ind w:left="1280" w:hanging="638"/>
        <w:spacing w:after="0" w:line="282" w:lineRule="auto"/>
        <w:tabs>
          <w:tab w:leader="none" w:pos="128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laws or public policies of any jurisdiction other than the Cayman Islands will not adversely affect the capacity or authority of the Company; and</w:t>
      </w:r>
    </w:p>
    <w:p>
      <w:pPr>
        <w:spacing w:after="0" w:line="161" w:lineRule="exact"/>
        <w:rPr>
          <w:rFonts w:ascii="Times New Roman" w:cs="Times New Roman" w:eastAsia="Times New Roman" w:hAnsi="Times New Roman"/>
          <w:sz w:val="18"/>
          <w:szCs w:val="18"/>
          <w:color w:val="auto"/>
        </w:rPr>
      </w:pPr>
    </w:p>
    <w:p>
      <w:pPr>
        <w:ind w:left="1280" w:hanging="638"/>
        <w:spacing w:after="0" w:line="282" w:lineRule="auto"/>
        <w:tabs>
          <w:tab w:leader="none" w:pos="128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or delivery of the Documents nor the exercise by any party to the Documents of its rights or the performance of its obligations under them contravene those laws or public policies.</w:t>
      </w:r>
    </w:p>
    <w:p>
      <w:pPr>
        <w:spacing w:after="0" w:line="161" w:lineRule="exact"/>
        <w:rPr>
          <w:rFonts w:ascii="Times New Roman" w:cs="Times New Roman" w:eastAsia="Times New Roman" w:hAnsi="Times New Roman"/>
          <w:sz w:val="18"/>
          <w:szCs w:val="18"/>
          <w:color w:val="auto"/>
        </w:rPr>
      </w:pPr>
    </w:p>
    <w:p>
      <w:pPr>
        <w:jc w:val="both"/>
        <w:ind w:left="640" w:hanging="632"/>
        <w:spacing w:after="0" w:line="266" w:lineRule="auto"/>
        <w:tabs>
          <w:tab w:leader="none" w:pos="6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agreements, documents or arrangements (other than the documents expressly referred to in this opinion as having been examined by us) that materially affect or modify the Documents or the transactions contemplated by them or restrict the powers and authority of the Company in any way from entering into and performing its obligations under a duly authorised, executed and delivered Documents.</w:t>
      </w:r>
    </w:p>
    <w:p>
      <w:pPr>
        <w:spacing w:after="0" w:line="175" w:lineRule="exact"/>
        <w:rPr>
          <w:rFonts w:ascii="Times New Roman" w:cs="Times New Roman" w:eastAsia="Times New Roman" w:hAnsi="Times New Roman"/>
          <w:sz w:val="18"/>
          <w:szCs w:val="18"/>
          <w:color w:val="auto"/>
        </w:rPr>
      </w:pPr>
    </w:p>
    <w:p>
      <w:pPr>
        <w:jc w:val="both"/>
        <w:ind w:left="640" w:hanging="632"/>
        <w:spacing w:after="0" w:line="261" w:lineRule="auto"/>
        <w:tabs>
          <w:tab w:leader="none" w:pos="6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None of the transactions contemplated by Documents relate to any partnership interests, shares, voting rights in a Cayman Islands company, limited liability company, limited liability partnership, limited partnership, foundation company, exempted limited partnership, or any other person that may be prescribed in regulations from time to time (a </w:t>
      </w:r>
      <w:r>
        <w:rPr>
          <w:rFonts w:ascii="Times New Roman" w:cs="Times New Roman" w:eastAsia="Times New Roman" w:hAnsi="Times New Roman"/>
          <w:sz w:val="18"/>
          <w:szCs w:val="18"/>
          <w:b w:val="1"/>
          <w:bCs w:val="1"/>
          <w:color w:val="auto"/>
        </w:rPr>
        <w:t>Legal Person</w:t>
      </w:r>
      <w:r>
        <w:rPr>
          <w:rFonts w:ascii="Times New Roman" w:cs="Times New Roman" w:eastAsia="Times New Roman" w:hAnsi="Times New Roman"/>
          <w:sz w:val="18"/>
          <w:szCs w:val="18"/>
          <w:color w:val="auto"/>
        </w:rPr>
        <w:t>) or to the ultimate effective control over the management of a Legal Person that are subject to a restrictions notice issued pursuant to the Beneficial Ownership Transparency Act (Revised) of the Cayman Islands.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jc w:val="both"/>
        <w:ind w:left="640" w:hanging="632"/>
        <w:spacing w:after="0" w:line="261" w:lineRule="auto"/>
        <w:tabs>
          <w:tab w:leader="none" w:pos="6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Documents will be governed by and construed in accordance with the laws of New York and will be legal, valid, binding and enforceable against all relevant parties in accordance with its terms under the laws of New York and all other relevant laws. If an obligation is to be performed in a jurisdiction outside the Cayman Islands, its performance will not be contrary to an official directive, impossible or illegal under the laws of that jurisdiction.</w:t>
      </w:r>
    </w:p>
    <w:p>
      <w:pPr>
        <w:spacing w:after="0" w:line="179" w:lineRule="exact"/>
        <w:rPr>
          <w:rFonts w:ascii="Times New Roman" w:cs="Times New Roman" w:eastAsia="Times New Roman" w:hAnsi="Times New Roman"/>
          <w:sz w:val="18"/>
          <w:szCs w:val="18"/>
          <w:color w:val="auto"/>
        </w:rPr>
      </w:pPr>
    </w:p>
    <w:p>
      <w:pPr>
        <w:jc w:val="both"/>
        <w:ind w:left="640" w:hanging="632"/>
        <w:spacing w:after="0" w:line="266" w:lineRule="auto"/>
        <w:tabs>
          <w:tab w:leader="none" w:pos="6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choice of the laws of the State of New York as the governing law of the Documents has, or will have, been made in good faith and would be regarded as a valid and binding selection which will be upheld by the courts of the State of New York and any other relevant jurisdiction (other than the Cayman Islands) as a matter of the laws of the State of New York and all other relevant laws (other than the laws of the Cayman Islands).</w:t>
      </w:r>
    </w:p>
    <w:p>
      <w:pPr>
        <w:spacing w:after="0" w:line="175" w:lineRule="exact"/>
        <w:rPr>
          <w:rFonts w:ascii="Times New Roman" w:cs="Times New Roman" w:eastAsia="Times New Roman" w:hAnsi="Times New Roman"/>
          <w:sz w:val="18"/>
          <w:szCs w:val="18"/>
          <w:color w:val="auto"/>
        </w:rPr>
      </w:pPr>
    </w:p>
    <w:p>
      <w:pPr>
        <w:ind w:left="640" w:hanging="632"/>
        <w:spacing w:after="0" w:line="282" w:lineRule="auto"/>
        <w:tabs>
          <w:tab w:leader="none" w:pos="6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provision of the law of any jurisdiction, other than the Cayman Islands, which would have any implication in relation to the opinions expressed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Issuance</w:t>
      </w:r>
    </w:p>
    <w:p>
      <w:pPr>
        <w:spacing w:after="0" w:line="229" w:lineRule="exact"/>
        <w:rPr>
          <w:sz w:val="20"/>
          <w:szCs w:val="20"/>
          <w:color w:val="auto"/>
        </w:rPr>
      </w:pPr>
    </w:p>
    <w:p>
      <w:pPr>
        <w:jc w:val="both"/>
        <w:ind w:left="640" w:hanging="632"/>
        <w:spacing w:after="0" w:line="261" w:lineRule="auto"/>
        <w:tabs>
          <w:tab w:leader="none" w:pos="6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 of the Ordinary Shares at the time of issuance, whether as principal issue or on the conversion, exchange or exercise of any Documents, would not result in the Company exceeding its authorised share capital; and upon the issue of any Ordinary Shares, the Company will receive consideration for the full issue price thereof which shall be equal to at least the par value thereof and that such issuance will be duly registered, and will continue to be registered, in the Company's register of members.</w:t>
      </w:r>
    </w:p>
    <w:p>
      <w:pPr>
        <w:spacing w:after="0" w:line="179" w:lineRule="exact"/>
        <w:rPr>
          <w:rFonts w:ascii="Times New Roman" w:cs="Times New Roman" w:eastAsia="Times New Roman" w:hAnsi="Times New Roman"/>
          <w:sz w:val="18"/>
          <w:szCs w:val="18"/>
          <w:color w:val="auto"/>
        </w:rPr>
      </w:pPr>
    </w:p>
    <w:p>
      <w:pPr>
        <w:ind w:left="640" w:hanging="632"/>
        <w:spacing w:after="0" w:line="282" w:lineRule="auto"/>
        <w:tabs>
          <w:tab w:leader="none" w:pos="6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Valid entry has been made in the register of members of the Company reflecting the issuance of the Ordinary Shares, in each case in accordance with the Memorandum and Articles of Association and the Companies Act (Revised) of the Cayman Islands (the </w:t>
      </w:r>
      <w:r>
        <w:rPr>
          <w:rFonts w:ascii="Times New Roman" w:cs="Times New Roman" w:eastAsia="Times New Roman" w:hAnsi="Times New Roman"/>
          <w:sz w:val="18"/>
          <w:szCs w:val="18"/>
          <w:b w:val="1"/>
          <w:bCs w:val="1"/>
          <w:color w:val="auto"/>
        </w:rPr>
        <w:t>Companies Act</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640" w:hanging="632"/>
        <w:spacing w:after="0" w:line="258" w:lineRule="auto"/>
        <w:tabs>
          <w:tab w:leader="none" w:pos="6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monies paid to or for the account of any party in respect of the Ordinary Shares under the Documents represent, or will represent, criminal property or terrorist property (as defined in the Proceeds of Crime Act (Revised), and the Terrorism Act (Revised) respectively) and none of the parties to the Documents is acting or will act in relation to the transactions contemplated by such documents, in a manner inconsistent with sanctions imposed by Cayman Islands authorities, or United Nations or United Kingdom sanctions or measures extended by statutory instrument to the Cayman Islands by orders of His Majesty in Council.</w:t>
      </w:r>
    </w:p>
    <w:p>
      <w:pPr>
        <w:spacing w:after="0" w:line="183"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invitation has been or will be made by or on behalf of the Company to the public in the Cayman Islands to subscribe for the Ordinary Shares.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Register of Writs</w:t>
      </w:r>
    </w:p>
    <w:p>
      <w:pPr>
        <w:spacing w:after="0" w:line="229" w:lineRule="exact"/>
        <w:rPr>
          <w:sz w:val="20"/>
          <w:szCs w:val="20"/>
          <w:color w:val="auto"/>
        </w:rPr>
      </w:pPr>
    </w:p>
    <w:p>
      <w:pPr>
        <w:ind w:left="640" w:hanging="632"/>
        <w:spacing w:after="0" w:line="282" w:lineRule="auto"/>
        <w:tabs>
          <w:tab w:leader="none" w:pos="6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 of Writs constitutes a complete and accurate record of the proceedings affecting the Company before the Grand Court of the Cayman Islands as at the time we conducted our investigation of such register.</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SCHEDULE 3</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Qualifications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 Standing</w:t>
      </w:r>
    </w:p>
    <w:p>
      <w:pPr>
        <w:spacing w:after="0" w:line="229" w:lineRule="exact"/>
        <w:rPr>
          <w:sz w:val="20"/>
          <w:szCs w:val="20"/>
          <w:color w:val="auto"/>
        </w:rPr>
      </w:pPr>
    </w:p>
    <w:p>
      <w:pPr>
        <w:jc w:val="both"/>
        <w:ind w:left="640" w:hanging="632"/>
        <w:spacing w:after="0" w:line="261" w:lineRule="auto"/>
        <w:tabs>
          <w:tab w:leader="none" w:pos="6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Companies Act, annual returns in respect of the Company must be filed with the Registrar, together with payment of annual filing fees. A failure to file annual returns and pay annual filing fees may result in the Company being struck off the Register of Companies, following which its assets will vest in the Financial Secretary of the Cayman Islands and will be subject to disposition or retention for the benefit of the public of the Cayman Islands.</w:t>
      </w:r>
    </w:p>
    <w:p>
      <w:pPr>
        <w:spacing w:after="0" w:line="176" w:lineRule="exact"/>
        <w:rPr>
          <w:sz w:val="20"/>
          <w:szCs w:val="20"/>
          <w:color w:val="auto"/>
        </w:rPr>
      </w:pPr>
    </w:p>
    <w:p>
      <w:pPr>
        <w:jc w:val="both"/>
        <w:ind w:left="640" w:hanging="632"/>
        <w:spacing w:after="0" w:line="268" w:lineRule="auto"/>
        <w:tabs>
          <w:tab w:leader="none" w:pos="6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 good standing </w:t>
      </w:r>
      <w:r>
        <w:rPr>
          <w:rFonts w:ascii="Times New Roman" w:cs="Times New Roman" w:eastAsia="Times New Roman" w:hAnsi="Times New Roman"/>
          <w:sz w:val="18"/>
          <w:szCs w:val="18"/>
          <w:color w:val="auto"/>
        </w:rPr>
        <w:t>means only that as of the date of the Good Standing Certificate the Company is up-to-date with the filing of its annual returns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payment of annual fees with the Registrar. We have made no enquiries into the Company's good standing with respect to any filings or payment of fees, or both, that it may be required to make under the laws of the Cayman Islands other than the Companies Act.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Limited liability</w:t>
      </w:r>
    </w:p>
    <w:p>
      <w:pPr>
        <w:spacing w:after="0" w:line="229" w:lineRule="exact"/>
        <w:rPr>
          <w:sz w:val="20"/>
          <w:szCs w:val="20"/>
          <w:color w:val="auto"/>
        </w:rPr>
      </w:pPr>
    </w:p>
    <w:p>
      <w:pPr>
        <w:jc w:val="both"/>
        <w:ind w:left="640" w:hanging="632"/>
        <w:spacing w:after="0" w:line="255" w:lineRule="auto"/>
        <w:tabs>
          <w:tab w:leader="none" w:pos="6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not aware of any Cayman Islands authority as to when the courts would set aside the limited liability of a shareholder in a Cayman Islands company. Our opinion on the subject is based on the Companies Act and English common law authorities, the latter of which are persuasive but not binding in the courts of the Cayman Islands. Under English authorities, circumstances in which a court would attribute personal liability to a shareholder are very limited, and include: (a) such shareholder expressly assuming direct liability (such as a guarantee); (b) the company acting as the agent of such shareholder; (c) the company being incorporated by or at the behest of such shareholder for the purpose of committing or furthering such shareholder’s fraud, or for a sham transaction otherwise carried out by such shareholder. In the absence of these circumstances, we are of the opinion that a Cayman Islands’ court would have no grounds to set aside the limited liability of a shareholder.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Register of members</w:t>
      </w:r>
    </w:p>
    <w:p>
      <w:pPr>
        <w:spacing w:after="0" w:line="227" w:lineRule="exact"/>
        <w:rPr>
          <w:sz w:val="20"/>
          <w:szCs w:val="20"/>
          <w:color w:val="auto"/>
        </w:rPr>
      </w:pPr>
    </w:p>
    <w:p>
      <w:pPr>
        <w:jc w:val="both"/>
        <w:ind w:left="640" w:hanging="632"/>
        <w:spacing w:after="0" w:line="267" w:lineRule="auto"/>
        <w:tabs>
          <w:tab w:leader="none" w:pos="6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Under the Companies Act, the register of members of a Cayman Islands company is by statute regarded as </w:t>
      </w:r>
      <w:r>
        <w:rPr>
          <w:rFonts w:ascii="Times New Roman" w:cs="Times New Roman" w:eastAsia="Times New Roman" w:hAnsi="Times New Roman"/>
          <w:sz w:val="18"/>
          <w:szCs w:val="18"/>
          <w:i w:val="1"/>
          <w:iCs w:val="1"/>
          <w:color w:val="auto"/>
        </w:rPr>
        <w:t>prima facie</w:t>
      </w:r>
      <w:r>
        <w:rPr>
          <w:rFonts w:ascii="Times New Roman" w:cs="Times New Roman" w:eastAsia="Times New Roman" w:hAnsi="Times New Roman"/>
          <w:sz w:val="18"/>
          <w:szCs w:val="18"/>
          <w:color w:val="auto"/>
        </w:rPr>
        <w:t xml:space="preserve"> evidence of any matters which the Companies Act directs or authorises to be inserted therein. A third party interest in the shares in question would not appear. An entry in the register of members may yield to a court order for rectification (for example, in the event of fraud or manifest error).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Non-Assessable</w:t>
      </w:r>
    </w:p>
    <w:p>
      <w:pPr>
        <w:spacing w:after="0" w:line="229" w:lineRule="exact"/>
        <w:rPr>
          <w:sz w:val="20"/>
          <w:szCs w:val="20"/>
          <w:color w:val="auto"/>
        </w:rPr>
      </w:pPr>
    </w:p>
    <w:p>
      <w:pPr>
        <w:jc w:val="both"/>
        <w:ind w:left="640" w:hanging="632"/>
        <w:spacing w:after="0" w:line="261" w:lineRule="auto"/>
        <w:tabs>
          <w:tab w:leader="none" w:pos="6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this opinion, the phrase “non-assessable” means, with respect to the Shares in the Company, that a shareholder shall not, solely by virtue of its status as a shareholder, be liable for additional assessments or calls on the Shares by the Company or its creditors (except in exceptional circumstances, such as involving fraud, the establishment of an agency relationship or an illegal or improper purpose or other circumstance in which a court may be prepared to pierce or lift the corporate veil).</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Register of Writs</w:t>
      </w:r>
    </w:p>
    <w:p>
      <w:pPr>
        <w:spacing w:after="0" w:line="229" w:lineRule="exact"/>
        <w:rPr>
          <w:sz w:val="20"/>
          <w:szCs w:val="20"/>
          <w:color w:val="auto"/>
        </w:rPr>
      </w:pPr>
    </w:p>
    <w:p>
      <w:pPr>
        <w:ind w:left="640" w:hanging="632"/>
        <w:spacing w:after="0"/>
        <w:tabs>
          <w:tab w:leader="none" w:pos="6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examination of the Register of Writs cannot conclusively reveal whether or not there is:</w:t>
      </w:r>
    </w:p>
    <w:p>
      <w:pPr>
        <w:spacing w:after="0" w:line="225"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current or pending litigation in the Cayman Islands against the Company; or</w:t>
      </w:r>
    </w:p>
    <w:p>
      <w:pPr>
        <w:spacing w:after="0" w:line="225" w:lineRule="exact"/>
        <w:rPr>
          <w:rFonts w:ascii="Times New Roman" w:cs="Times New Roman" w:eastAsia="Times New Roman" w:hAnsi="Times New Roman"/>
          <w:sz w:val="18"/>
          <w:szCs w:val="18"/>
          <w:color w:val="auto"/>
        </w:rPr>
      </w:pPr>
    </w:p>
    <w:p>
      <w:pPr>
        <w:ind w:left="1280" w:hanging="638"/>
        <w:spacing w:after="0" w:line="282" w:lineRule="auto"/>
        <w:tabs>
          <w:tab w:leader="none" w:pos="128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application for the winding up or dissolution of the Company or the appointment of any liquidator, trustee in bankruptcy or restructuring officer in respect of the Company or any of its assets,</w:t>
      </w:r>
    </w:p>
    <w:p>
      <w:pPr>
        <w:spacing w:after="0" w:line="162" w:lineRule="exact"/>
        <w:rPr>
          <w:sz w:val="20"/>
          <w:szCs w:val="20"/>
          <w:color w:val="auto"/>
        </w:rPr>
      </w:pPr>
    </w:p>
    <w:p>
      <w:pPr>
        <w:jc w:val="both"/>
        <w:ind w:left="640"/>
        <w:spacing w:after="0" w:line="266" w:lineRule="auto"/>
        <w:rPr>
          <w:sz w:val="20"/>
          <w:szCs w:val="20"/>
          <w:color w:val="auto"/>
        </w:rPr>
      </w:pPr>
      <w:r>
        <w:rPr>
          <w:rFonts w:ascii="Times New Roman" w:cs="Times New Roman" w:eastAsia="Times New Roman" w:hAnsi="Times New Roman"/>
          <w:sz w:val="18"/>
          <w:szCs w:val="18"/>
          <w:color w:val="auto"/>
        </w:rPr>
        <w:t>as notice of these matters might not be entered on the Register of Writs immediately or updated expeditiously or the court file associated with the matter or the matter itself may not be publicly available (for example, due to sealing orders having been made). Furthermore, we have not conducted a search of the summary court. Claims in the summary court are limited to a maximum of CI $20,000.</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1"/>
      <w:numFmt w:val="lowerLetter"/>
      <w:start w:val="1"/>
    </w:lvl>
    <w:lvl w:ilvl="1">
      <w:lvlJc w:val="left"/>
      <w:lvlText w:val="%2."/>
      <w:numFmt w:val="decimal"/>
      <w:start w:val="1"/>
    </w:lvl>
  </w:abstractNum>
  <w:abstractNum w:abstractNumId="2">
    <w:nsid w:val="3006C83E"/>
    <w:multiLevelType w:val="hybridMultilevel"/>
    <w:lvl w:ilvl="0">
      <w:lvlJc w:val="left"/>
      <w:lvlText w:val="(%1)"/>
      <w:numFmt w:val="lowerLetter"/>
      <w:start w:val="1"/>
    </w:lvl>
    <w:lvl w:ilvl="1">
      <w:lvlJc w:val="left"/>
      <w:lvlText w:val="%2"/>
      <w:numFmt w:val="decimal"/>
      <w:start w:val="1"/>
    </w:lvl>
  </w:abstractNum>
  <w:abstractNum w:abstractNumId="3">
    <w:nsid w:val="614FD4A1"/>
    <w:multiLevelType w:val="hybridMultilevel"/>
    <w:lvl w:ilvl="0">
      <w:lvlJc w:val="left"/>
      <w:lvlText w:val="%1."/>
      <w:numFmt w:val="decimal"/>
      <w:start w:val="2"/>
    </w:lvl>
  </w:abstractNum>
  <w:abstractNum w:abstractNumId="4">
    <w:nsid w:val="419AC241"/>
    <w:multiLevelType w:val="hybridMultilevel"/>
    <w:lvl w:ilvl="0">
      <w:lvlJc w:val="left"/>
      <w:lvlText w:val="%1."/>
      <w:numFmt w:val="decimal"/>
      <w:start w:val="4"/>
    </w:lvl>
    <w:lvl w:ilvl="1">
      <w:lvlJc w:val="left"/>
      <w:lvlText w:val="%2."/>
      <w:numFmt w:val="decimal"/>
      <w:start w:val="5"/>
    </w:lvl>
    <w:lvl w:ilvl="2">
      <w:lvlJc w:val="left"/>
      <w:lvlText w:val="%3."/>
      <w:numFmt w:val="lowerLetter"/>
      <w:start w:val="1"/>
    </w:lvl>
  </w:abstractNum>
  <w:abstractNum w:abstractNumId="5">
    <w:nsid w:val="5577F8E1"/>
    <w:multiLevelType w:val="hybridMultilevel"/>
    <w:lvl w:ilvl="0">
      <w:lvlJc w:val="left"/>
      <w:lvlText w:val="(%1)"/>
      <w:numFmt w:val="decimal"/>
      <w:start w:val="2"/>
    </w:lvl>
    <w:lvl w:ilvl="1">
      <w:lvlJc w:val="left"/>
      <w:lvlText w:val="%2."/>
      <w:numFmt w:val="decimal"/>
      <w:start w:val="6"/>
    </w:lvl>
    <w:lvl w:ilvl="2">
      <w:lvlJc w:val="left"/>
      <w:lvlText w:val="%3."/>
      <w:numFmt w:val="lowerLetter"/>
      <w:start w:val="1"/>
    </w:lvl>
  </w:abstractNum>
  <w:abstractNum w:abstractNumId="6">
    <w:nsid w:val="440BADFC"/>
    <w:multiLevelType w:val="hybridMultilevel"/>
    <w:lvl w:ilvl="0">
      <w:lvlJc w:val="left"/>
      <w:lvlText w:val="%1."/>
      <w:numFmt w:val="lowerLetter"/>
      <w:start w:val="22"/>
    </w:lvl>
  </w:abstractNum>
  <w:abstractNum w:abstractNumId="7">
    <w:nsid w:val="5072367"/>
    <w:multiLevelType w:val="hybridMultilevel"/>
    <w:lvl w:ilvl="0">
      <w:lvlJc w:val="left"/>
      <w:lvlText w:val="%1."/>
      <w:numFmt w:val="lowerLetter"/>
      <w:start w:val="27"/>
    </w:lvl>
  </w:abstractNum>
  <w:abstractNum w:abstractNumId="8">
    <w:nsid w:val="3804823E"/>
    <w:multiLevelType w:val="hybridMultilevel"/>
    <w:lvl w:ilvl="0">
      <w:lvlJc w:val="left"/>
      <w:lvlText w:val="%1."/>
      <w:numFmt w:val="lowerLetter"/>
      <w:start w:val="31"/>
    </w:lvl>
  </w:abstractNum>
  <w:abstractNum w:abstractNumId="9">
    <w:nsid w:val="77465F01"/>
    <w:multiLevelType w:val="hybridMultilevel"/>
    <w:lvl w:ilvl="0">
      <w:lvlJc w:val="left"/>
      <w:lvlText w:val="%1."/>
      <w:numFmt w:val="lowerLetter"/>
      <w:start w:val="37"/>
    </w:lvl>
  </w:abstractNum>
  <w:abstractNum w:abstractNumId="10">
    <w:nsid w:val="7724C67E"/>
    <w:multiLevelType w:val="hybridMultilevel"/>
    <w:lvl w:ilvl="0">
      <w:lvlJc w:val="left"/>
      <w:lvlText w:val="%1."/>
      <w:numFmt w:val="lowerLetter"/>
      <w:start w:val="41"/>
    </w:lvl>
  </w:abstractNum>
  <w:abstractNum w:abstractNumId="11">
    <w:nsid w:val="5C482A97"/>
    <w:multiLevelType w:val="hybridMultilevel"/>
    <w:lvl w:ilvl="0">
      <w:lvlJc w:val="left"/>
      <w:lvlText w:val="%1."/>
      <w:numFmt w:val="lowerLetter"/>
      <w:start w:val="46"/>
    </w:lvl>
  </w:abstractNum>
  <w:abstractNum w:abstractNumId="12">
    <w:nsid w:val="2463B9EA"/>
    <w:multiLevelType w:val="hybridMultilevel"/>
    <w:lvl w:ilvl="0">
      <w:lvlJc w:val="left"/>
      <w:lvlText w:val="%1."/>
      <w:numFmt w:val="lowerLetter"/>
      <w:start w:val="53"/>
    </w:lvl>
  </w:abstractNum>
  <w:abstractNum w:abstractNumId="13">
    <w:nsid w:val="5E884ADC"/>
    <w:multiLevelType w:val="hybridMultilevel"/>
    <w:lvl w:ilvl="0">
      <w:lvlJc w:val="left"/>
      <w:lvlText w:val="%1."/>
      <w:numFmt w:val="lowerLetter"/>
      <w:start w:val="62"/>
    </w:lvl>
  </w:abstractNum>
  <w:abstractNum w:abstractNumId="14">
    <w:nsid w:val="51EAD36B"/>
    <w:multiLevelType w:val="hybridMultilevel"/>
    <w:lvl w:ilvl="0">
      <w:lvlJc w:val="left"/>
      <w:lvlText w:val="%1."/>
      <w:numFmt w:val="lowerLetter"/>
      <w:start w:val="64"/>
    </w:lvl>
  </w:abstractNum>
  <w:abstractNum w:abstractNumId="15">
    <w:nsid w:val="2D517796"/>
    <w:multiLevelType w:val="hybridMultilevel"/>
    <w:lvl w:ilvl="0">
      <w:lvlJc w:val="left"/>
      <w:lvlText w:val="%1."/>
      <w:numFmt w:val="decimal"/>
      <w:start w:val="7"/>
    </w:lvl>
    <w:lvl w:ilvl="1">
      <w:lvlJc w:val="left"/>
      <w:lvlText w:val="%2"/>
      <w:numFmt w:val="lowerLetter"/>
      <w:start w:val="1"/>
    </w:lvl>
  </w:abstractNum>
  <w:abstractNum w:abstractNumId="16">
    <w:nsid w:val="580BD78F"/>
    <w:multiLevelType w:val="hybridMultilevel"/>
    <w:lvl w:ilvl="0">
      <w:lvlJc w:val="left"/>
      <w:lvlText w:val="(%1)"/>
      <w:numFmt w:val="lowerRoman"/>
      <w:start w:val="1"/>
    </w:lvl>
  </w:abstractNum>
  <w:abstractNum w:abstractNumId="17">
    <w:nsid w:val="153EA438"/>
    <w:multiLevelType w:val="hybridMultilevel"/>
    <w:lvl w:ilvl="0">
      <w:lvlJc w:val="left"/>
      <w:lvlText w:val="%1."/>
      <w:numFmt w:val="decimal"/>
      <w:start w:val="8"/>
    </w:lvl>
  </w:abstractNum>
  <w:abstractNum w:abstractNumId="18">
    <w:nsid w:val="3855585C"/>
    <w:multiLevelType w:val="hybridMultilevel"/>
    <w:lvl w:ilvl="0">
      <w:lvlJc w:val="left"/>
      <w:lvlText w:val="%1."/>
      <w:numFmt w:val="decimal"/>
      <w:start w:val="9"/>
    </w:lvl>
    <w:lvl w:ilvl="1">
      <w:lvlJc w:val="left"/>
      <w:lvlText w:val="%2."/>
      <w:numFmt w:val="lowerLetter"/>
      <w:start w:val="1"/>
    </w:lvl>
  </w:abstractNum>
  <w:abstractNum w:abstractNumId="19">
    <w:nsid w:val="70A64E2A"/>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9"/>
    </w:lvl>
  </w:abstractNum>
  <w:abstractNum w:abstractNumId="20">
    <w:nsid w:val="6A2342EC"/>
    <w:multiLevelType w:val="hybridMultilevel"/>
    <w:lvl w:ilvl="0">
      <w:lvlJc w:val="left"/>
      <w:lvlText w:val="%1"/>
      <w:numFmt w:val="lowerLetter"/>
      <w:start w:val="1"/>
    </w:lvl>
    <w:lvl w:ilvl="1">
      <w:lvlJc w:val="left"/>
      <w:lvlText w:val="(%2)"/>
      <w:numFmt w:val="lowerRoman"/>
      <w:start w:val="2"/>
    </w:lvl>
  </w:abstractNum>
  <w:abstractNum w:abstractNumId="21">
    <w:nsid w:val="2A487CB0"/>
    <w:multiLevelType w:val="hybridMultilevel"/>
    <w:lvl w:ilvl="0">
      <w:lvlJc w:val="left"/>
      <w:lvlText w:val="(%1)"/>
      <w:numFmt w:val="lowerLetter"/>
      <w:start w:val="2"/>
    </w:lvl>
    <w:lvl w:ilvl="1">
      <w:lvlJc w:val="left"/>
      <w:lvlText w:val="%2"/>
      <w:numFmt w:val="lowerRoman"/>
      <w:start w:val="1"/>
    </w:lvl>
  </w:abstractNum>
  <w:abstractNum w:abstractNumId="22">
    <w:nsid w:val="1D4ED43B"/>
    <w:multiLevelType w:val="hybridMultilevel"/>
    <w:lvl w:ilvl="0">
      <w:lvlJc w:val="left"/>
      <w:lvlText w:val="%1"/>
      <w:numFmt w:val="decimal"/>
      <w:start w:val="1"/>
    </w:lvl>
    <w:lvl w:ilvl="1">
      <w:lvlJc w:val="left"/>
      <w:lvlText w:val="(%2)"/>
      <w:numFmt w:val="lowerLetter"/>
      <w:start w:val="4"/>
    </w:lvl>
  </w:abstractNum>
  <w:abstractNum w:abstractNumId="23">
    <w:nsid w:val="725A06FB"/>
    <w:multiLevelType w:val="hybridMultilevel"/>
    <w:lvl w:ilvl="0">
      <w:lvlJc w:val="left"/>
      <w:lvlText w:val="%1."/>
      <w:numFmt w:val="decimal"/>
      <w:start w:val="11"/>
    </w:lvl>
    <w:lvl w:ilvl="1">
      <w:lvlJc w:val="left"/>
      <w:lvlText w:val="%2"/>
      <w:numFmt w:val="lowerLetter"/>
      <w:start w:val="1"/>
    </w:lvl>
  </w:abstractNum>
  <w:abstractNum w:abstractNumId="24">
    <w:nsid w:val="2CD89A32"/>
    <w:multiLevelType w:val="hybridMultilevel"/>
    <w:lvl w:ilvl="0">
      <w:lvlJc w:val="left"/>
      <w:lvlText w:val="%1"/>
      <w:numFmt w:val="decimal"/>
      <w:start w:val="1"/>
    </w:lvl>
    <w:lvl w:ilvl="1">
      <w:lvlJc w:val="left"/>
      <w:lvlText w:val="%2."/>
      <w:numFmt w:val="decimal"/>
      <w:start w:val="12"/>
    </w:lvl>
    <w:lvl w:ilvl="2">
      <w:lvlJc w:val="left"/>
      <w:lvlText w:val="%3."/>
      <w:numFmt w:val="lowerLetter"/>
      <w:start w:val="1"/>
    </w:lvl>
  </w:abstractNum>
  <w:abstractNum w:abstractNumId="25">
    <w:nsid w:val="57E4CCAF"/>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26">
    <w:nsid w:val="7A6D8D3C"/>
    <w:multiLevelType w:val="hybridMultilevel"/>
    <w:lvl w:ilvl="0">
      <w:lvlJc w:val="left"/>
      <w:lvlText w:val="(%1)"/>
      <w:numFmt w:val="decimal"/>
      <w:start w:val="4"/>
    </w:lvl>
    <w:lvl w:ilvl="1">
      <w:lvlJc w:val="left"/>
      <w:lvlText w:val="%2"/>
      <w:numFmt w:val="decimal"/>
      <w:start w:val="1"/>
    </w:lvl>
    <w:lvl w:ilvl="2">
      <w:lvlJc w:val="left"/>
      <w:lvlText w:val="%3."/>
      <w:numFmt w:val="lowerLetter"/>
      <w:start w:val="2"/>
    </w:lvl>
  </w:abstractNum>
  <w:abstractNum w:abstractNumId="27">
    <w:nsid w:val="4B588F54"/>
    <w:multiLevelType w:val="hybridMultilevel"/>
    <w:lvl w:ilvl="0">
      <w:lvlJc w:val="left"/>
      <w:lvlText w:val="%1."/>
      <w:numFmt w:val="decimal"/>
      <w:start w:val="13"/>
    </w:lvl>
  </w:abstractNum>
  <w:abstractNum w:abstractNumId="28">
    <w:nsid w:val="542289EC"/>
    <w:multiLevelType w:val="hybridMultilevel"/>
    <w:lvl w:ilvl="0">
      <w:lvlJc w:val="left"/>
      <w:lvlText w:val="%1."/>
      <w:numFmt w:val="decimal"/>
      <w:start w:val="14"/>
    </w:lvl>
  </w:abstractNum>
  <w:abstractNum w:abstractNumId="29">
    <w:nsid w:val="6DE91B18"/>
    <w:multiLevelType w:val="hybridMultilevel"/>
    <w:lvl w:ilvl="0">
      <w:lvlJc w:val="left"/>
      <w:lvlText w:val="%1."/>
      <w:numFmt w:val="decimal"/>
      <w:start w:val="20"/>
    </w:lvl>
    <w:lvl w:ilvl="1">
      <w:lvlJc w:val="left"/>
      <w:lvlText w:val="%2"/>
      <w:numFmt w:val="lowerLetter"/>
      <w:start w:val="1"/>
    </w:lvl>
  </w:abstractNum>
  <w:abstractNum w:abstractNumId="30">
    <w:nsid w:val="38437FDB"/>
    <w:multiLevelType w:val="hybridMultilevel"/>
    <w:lvl w:ilvl="0">
      <w:lvlJc w:val="left"/>
      <w:lvlText w:val="1"/>
      <w:numFmt w:val="bullet"/>
      <w:start w:val="1"/>
    </w:lvl>
  </w:abstractNum>
  <w:abstractNum w:abstractNumId="31">
    <w:nsid w:val="7644A45C"/>
    <w:multiLevelType w:val="hybridMultilevel"/>
    <w:lvl w:ilvl="0">
      <w:lvlJc w:val="left"/>
      <w:lvlText w:val="2"/>
      <w:numFmt w:val="bullet"/>
      <w:start w:val="1"/>
    </w:lvl>
  </w:abstractNum>
  <w:abstractNum w:abstractNumId="32">
    <w:nsid w:val="32FFF902"/>
    <w:multiLevelType w:val="hybridMultilevel"/>
    <w:lvl w:ilvl="0">
      <w:lvlJc w:val="left"/>
      <w:lvlText w:val="3"/>
      <w:numFmt w:val="bullet"/>
      <w:start w:val="1"/>
    </w:lvl>
    <w:lvl w:ilvl="1">
      <w:lvlJc w:val="left"/>
      <w:lvlText w:val="(%2)"/>
      <w:numFmt w:val="lowerLetter"/>
      <w:start w:val="1"/>
    </w:lvl>
  </w:abstractNum>
  <w:abstractNum w:abstractNumId="33">
    <w:nsid w:val="684A481A"/>
    <w:multiLevelType w:val="hybridMultilevel"/>
    <w:lvl w:ilvl="0">
      <w:lvlJc w:val="left"/>
      <w:lvlText w:val="(%1)"/>
      <w:numFmt w:val="lowerLetter"/>
      <w:start w:val="2"/>
    </w:lvl>
    <w:lvl w:ilvl="1">
      <w:lvlJc w:val="left"/>
      <w:lvlText w:val="(%2)"/>
      <w:numFmt w:val="lowerRoman"/>
      <w:start w:val="1"/>
    </w:lvl>
  </w:abstractNum>
  <w:abstractNum w:abstractNumId="34">
    <w:nsid w:val="579478FE"/>
    <w:multiLevelType w:val="hybridMultilevel"/>
    <w:lvl w:ilvl="0">
      <w:lvlJc w:val="left"/>
      <w:lvlText w:val="4"/>
      <w:numFmt w:val="bullet"/>
      <w:start w:val="1"/>
    </w:lvl>
    <w:lvl w:ilvl="1">
      <w:lvlJc w:val="left"/>
      <w:lvlText w:val="(%2)"/>
      <w:numFmt w:val="lowerLetter"/>
      <w:start w:val="1"/>
    </w:lvl>
  </w:abstractNum>
  <w:abstractNum w:abstractNumId="35">
    <w:nsid w:val="749ABB43"/>
    <w:multiLevelType w:val="hybridMultilevel"/>
    <w:lvl w:ilvl="0">
      <w:lvlJc w:val="left"/>
      <w:lvlText w:val="5"/>
      <w:numFmt w:val="bullet"/>
      <w:start w:val="1"/>
    </w:lvl>
  </w:abstractNum>
  <w:abstractNum w:abstractNumId="36">
    <w:nsid w:val="3DC240FB"/>
    <w:multiLevelType w:val="hybridMultilevel"/>
    <w:lvl w:ilvl="0">
      <w:lvlJc w:val="left"/>
      <w:lvlText w:val="(%1)"/>
      <w:numFmt w:val="lowerLetter"/>
      <w:start w:val="1"/>
    </w:lvl>
  </w:abstractNum>
  <w:abstractNum w:abstractNumId="37">
    <w:nsid w:val="1BA026FA"/>
    <w:multiLevelType w:val="hybridMultilevel"/>
    <w:lvl w:ilvl="0">
      <w:lvlJc w:val="left"/>
      <w:lvlText w:val="6"/>
      <w:numFmt w:val="bullet"/>
      <w:start w:val="1"/>
    </w:lvl>
  </w:abstractNum>
  <w:abstractNum w:abstractNumId="38">
    <w:nsid w:val="79A1DEAA"/>
    <w:multiLevelType w:val="hybridMultilevel"/>
    <w:lvl w:ilvl="0">
      <w:lvlJc w:val="left"/>
      <w:lvlText w:val="1"/>
      <w:numFmt w:val="bullet"/>
      <w:start w:val="1"/>
    </w:lvl>
  </w:abstractNum>
  <w:abstractNum w:abstractNumId="39">
    <w:nsid w:val="75C6C33A"/>
    <w:multiLevelType w:val="hybridMultilevel"/>
    <w:lvl w:ilvl="0">
      <w:lvlJc w:val="left"/>
      <w:lvlText w:val="2"/>
      <w:numFmt w:val="bullet"/>
      <w:start w:val="1"/>
    </w:lvl>
  </w:abstractNum>
  <w:abstractNum w:abstractNumId="40">
    <w:nsid w:val="12E685FB"/>
    <w:multiLevelType w:val="hybridMultilevel"/>
    <w:lvl w:ilvl="0">
      <w:lvlJc w:val="left"/>
      <w:lvlText w:val="3"/>
      <w:numFmt w:val="bullet"/>
      <w:start w:val="1"/>
    </w:lvl>
  </w:abstractNum>
  <w:abstractNum w:abstractNumId="41">
    <w:nsid w:val="70C6A529"/>
    <w:multiLevelType w:val="hybridMultilevel"/>
    <w:lvl w:ilvl="0">
      <w:lvlJc w:val="left"/>
      <w:lvlText w:val="7"/>
      <w:numFmt w:val="bullet"/>
      <w:start w:val="1"/>
    </w:lvl>
  </w:abstractNum>
  <w:abstractNum w:abstractNumId="42">
    <w:nsid w:val="520EEDD1"/>
    <w:multiLevelType w:val="hybridMultilevel"/>
    <w:lvl w:ilvl="0">
      <w:lvlJc w:val="left"/>
      <w:lvlText w:val="8"/>
      <w:numFmt w:val="bullet"/>
      <w:start w:val="1"/>
    </w:lvl>
  </w:abstractNum>
  <w:abstractNum w:abstractNumId="43">
    <w:nsid w:val="374A3FE6"/>
    <w:multiLevelType w:val="hybridMultilevel"/>
    <w:lvl w:ilvl="0">
      <w:lvlJc w:val="left"/>
      <w:lvlText w:val="%1"/>
      <w:numFmt w:val="decimal"/>
      <w:start w:val="10"/>
    </w:lvl>
  </w:abstractNum>
  <w:abstractNum w:abstractNumId="44">
    <w:nsid w:val="4F4EF005"/>
    <w:multiLevelType w:val="hybridMultilevel"/>
    <w:lvl w:ilvl="0">
      <w:lvlJc w:val="left"/>
      <w:lvlText w:val="1"/>
      <w:numFmt w:val="bullet"/>
      <w:start w:val="1"/>
    </w:lvl>
  </w:abstractNum>
  <w:abstractNum w:abstractNumId="45">
    <w:nsid w:val="23F9C13C"/>
    <w:multiLevelType w:val="hybridMultilevel"/>
    <w:lvl w:ilvl="0">
      <w:lvlJc w:val="left"/>
      <w:lvlText w:val="2"/>
      <w:numFmt w:val="bullet"/>
      <w:start w:val="1"/>
    </w:lvl>
  </w:abstractNum>
  <w:abstractNum w:abstractNumId="46">
    <w:nsid w:val="649BB77C"/>
    <w:multiLevelType w:val="hybridMultilevel"/>
    <w:lvl w:ilvl="0">
      <w:lvlJc w:val="left"/>
      <w:lvlText w:val="3"/>
      <w:numFmt w:val="bullet"/>
      <w:start w:val="1"/>
    </w:lvl>
  </w:abstractNum>
  <w:abstractNum w:abstractNumId="47">
    <w:nsid w:val="275AC794"/>
    <w:multiLevelType w:val="hybridMultilevel"/>
    <w:lvl w:ilvl="0">
      <w:lvlJc w:val="left"/>
      <w:lvlText w:val="4"/>
      <w:numFmt w:val="bullet"/>
      <w:start w:val="1"/>
    </w:lvl>
  </w:abstractNum>
  <w:abstractNum w:abstractNumId="48">
    <w:nsid w:val="39386575"/>
    <w:multiLevelType w:val="hybridMultilevel"/>
    <w:lvl w:ilvl="0">
      <w:lvlJc w:val="left"/>
      <w:lvlText w:val="5"/>
      <w:numFmt w:val="bullet"/>
      <w:start w:val="1"/>
    </w:lvl>
  </w:abstractNum>
  <w:abstractNum w:abstractNumId="49">
    <w:nsid w:val="1CF10FD8"/>
    <w:multiLevelType w:val="hybridMultilevel"/>
    <w:lvl w:ilvl="0">
      <w:lvlJc w:val="left"/>
      <w:lvlText w:val="6"/>
      <w:numFmt w:val="bullet"/>
      <w:start w:val="1"/>
    </w:lvl>
  </w:abstractNum>
  <w:abstractNum w:abstractNumId="50">
    <w:nsid w:val="180115BE"/>
    <w:multiLevelType w:val="hybridMultilevel"/>
    <w:lvl w:ilvl="0">
      <w:lvlJc w:val="left"/>
      <w:lvlText w:val="7"/>
      <w:numFmt w:val="bullet"/>
      <w:start w:val="1"/>
    </w:lvl>
  </w:abstractNum>
  <w:abstractNum w:abstractNumId="51">
    <w:nsid w:val="235BA861"/>
    <w:multiLevelType w:val="hybridMultilevel"/>
    <w:lvl w:ilvl="0">
      <w:lvlJc w:val="left"/>
      <w:lvlText w:val="8"/>
      <w:numFmt w:val="bullet"/>
      <w:start w:val="1"/>
    </w:lvl>
  </w:abstractNum>
  <w:abstractNum w:abstractNumId="52">
    <w:nsid w:val="47398C89"/>
    <w:multiLevelType w:val="hybridMultilevel"/>
    <w:lvl w:ilvl="0">
      <w:lvlJc w:val="left"/>
      <w:lvlText w:val="9"/>
      <w:numFmt w:val="bullet"/>
      <w:start w:val="1"/>
    </w:lvl>
  </w:abstractNum>
  <w:abstractNum w:abstractNumId="53">
    <w:nsid w:val="354FE9F9"/>
    <w:multiLevelType w:val="hybridMultilevel"/>
    <w:lvl w:ilvl="0">
      <w:lvlJc w:val="left"/>
      <w:lvlText w:val="%1"/>
      <w:numFmt w:val="decimal"/>
      <w:start w:val="10"/>
    </w:lvl>
  </w:abstractNum>
  <w:abstractNum w:abstractNumId="54">
    <w:nsid w:val="15B5AF5C"/>
    <w:multiLevelType w:val="hybridMultilevel"/>
    <w:lvl w:ilvl="0">
      <w:lvlJc w:val="left"/>
      <w:lvlText w:val="%1"/>
      <w:numFmt w:val="decimal"/>
      <w:start w:val="13"/>
    </w:lvl>
    <w:lvl w:ilvl="1">
      <w:lvlJc w:val="left"/>
      <w:lvlText w:val="(%2)"/>
      <w:numFmt w:val="lowerLetter"/>
      <w:start w:val="1"/>
    </w:lvl>
  </w:abstractNum>
  <w:abstractNum w:abstractNumId="55">
    <w:nsid w:val="741226BB"/>
    <w:multiLevelType w:val="hybridMultilevel"/>
    <w:lvl w:ilvl="0">
      <w:lvlJc w:val="left"/>
      <w:lvlText w:val="%1"/>
      <w:numFmt w:val="decimal"/>
      <w:start w:val="16"/>
    </w:lvl>
  </w:abstractNum>
  <w:abstractNum w:abstractNumId="56">
    <w:nsid w:val="D34B6A8"/>
    <w:multiLevelType w:val="hybridMultilevel"/>
    <w:lvl w:ilvl="0">
      <w:lvlJc w:val="left"/>
      <w:lvlText w:val="%1"/>
      <w:numFmt w:val="decimal"/>
      <w:start w:val="19"/>
    </w:lvl>
  </w:abstractNum>
  <w:abstractNum w:abstractNumId="57">
    <w:nsid w:val="10233C99"/>
    <w:multiLevelType w:val="hybridMultilevel"/>
    <w:lvl w:ilvl="0">
      <w:lvlJc w:val="left"/>
      <w:lvlText w:val="%1"/>
      <w:numFmt w:val="decimal"/>
      <w:start w:val="23"/>
    </w:lvl>
  </w:abstractNum>
  <w:abstractNum w:abstractNumId="58">
    <w:nsid w:val="3F6AB60F"/>
    <w:multiLevelType w:val="hybridMultilevel"/>
    <w:lvl w:ilvl="0">
      <w:lvlJc w:val="left"/>
      <w:lvlText w:val="1"/>
      <w:numFmt w:val="bullet"/>
      <w:start w:val="1"/>
    </w:lvl>
  </w:abstractNum>
  <w:abstractNum w:abstractNumId="59">
    <w:nsid w:val="61574095"/>
    <w:multiLevelType w:val="hybridMultilevel"/>
    <w:lvl w:ilvl="0">
      <w:lvlJc w:val="left"/>
      <w:lvlText w:val="2"/>
      <w:numFmt w:val="bullet"/>
      <w:start w:val="1"/>
    </w:lvl>
  </w:abstractNum>
  <w:abstractNum w:abstractNumId="60">
    <w:nsid w:val="7E0C57B1"/>
    <w:multiLevelType w:val="hybridMultilevel"/>
    <w:lvl w:ilvl="0">
      <w:lvlJc w:val="left"/>
      <w:lvlText w:val="3"/>
      <w:numFmt w:val="bullet"/>
      <w:start w:val="1"/>
    </w:lvl>
  </w:abstractNum>
  <w:abstractNum w:abstractNumId="61">
    <w:nsid w:val="77AE35EB"/>
    <w:multiLevelType w:val="hybridMultilevel"/>
    <w:lvl w:ilvl="0">
      <w:lvlJc w:val="left"/>
      <w:lvlText w:val="4"/>
      <w:numFmt w:val="bullet"/>
      <w:start w:val="1"/>
    </w:lvl>
  </w:abstractNum>
  <w:abstractNum w:abstractNumId="62">
    <w:nsid w:val="579BE4F1"/>
    <w:multiLevelType w:val="hybridMultilevel"/>
    <w:lvl w:ilvl="0">
      <w:lvlJc w:val="left"/>
      <w:lvlText w:val="5"/>
      <w:numFmt w:val="bullet"/>
      <w:start w:val="1"/>
    </w:lvl>
  </w:abstractNum>
  <w:abstractNum w:abstractNumId="63">
    <w:nsid w:val="310C50B3"/>
    <w:multiLevelType w:val="hybridMultilevel"/>
    <w:lvl w:ilvl="0">
      <w:lvlJc w:val="left"/>
      <w:lvlText w:val="6"/>
      <w:numFmt w:val="bullet"/>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2025-01-03T16:28:25Z</dcterms:created>
  <dcterms:modified xsi:type="dcterms:W3CDTF">2025-01-03T16:28:25Z</dcterms:modified>
</cp:coreProperties>
</file>