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This current report on Form 6-K is hereby incorporated by reference in the registration statements of Bitdeer Technologies Group on Form F-3 (No. </w:t>
        </w:r>
        <w:r>
          <w:rPr>
            <w:rFonts w:ascii="Times New Roman" w:cs="Times New Roman" w:eastAsia="Times New Roman" w:hAnsi="Times New Roman"/>
            <w:sz w:val="18"/>
            <w:szCs w:val="18"/>
            <w:u w:val="single" w:color="auto"/>
            <w:color w:val="0000EE"/>
          </w:rPr>
          <w:t>333-</w:t>
        </w:r>
      </w:hyperlink>
      <w:hyperlink r:id="rId18">
        <w:r>
          <w:rPr>
            <w:rFonts w:ascii="Times New Roman" w:cs="Times New Roman" w:eastAsia="Times New Roman" w:hAnsi="Times New Roman"/>
            <w:sz w:val="18"/>
            <w:szCs w:val="18"/>
            <w:u w:val="single" w:color="auto"/>
            <w:color w:val="0000EE"/>
          </w:rPr>
          <w:t>273905</w:t>
        </w:r>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333-278027</w:t>
        </w:r>
      </w:hyperlink>
      <w:hyperlink r:id="rId18">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20">
        <w:r>
          <w:rPr>
            <w:rFonts w:ascii="Times New Roman" w:cs="Times New Roman" w:eastAsia="Times New Roman" w:hAnsi="Times New Roman"/>
            <w:sz w:val="18"/>
            <w:szCs w:val="18"/>
            <w:u w:val="single" w:color="auto"/>
            <w:color w:val="0000EE"/>
          </w:rPr>
          <w:t>333-278029</w:t>
        </w:r>
      </w:hyperlink>
      <w:hyperlink r:id="rId18">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333-280041</w:t>
        </w:r>
      </w:hyperlink>
      <w:hyperlink r:id="rId18">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 xml:space="preserve">333-283732 </w:t>
        </w:r>
      </w:hyperlink>
      <w:hyperlink r:id="rId1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333-289855</w:t>
        </w:r>
      </w:hyperlink>
      <w:hyperlink r:id="rId18">
        <w:r>
          <w:rPr>
            <w:rFonts w:ascii="Times New Roman" w:cs="Times New Roman" w:eastAsia="Times New Roman" w:hAnsi="Times New Roman"/>
            <w:sz w:val="18"/>
            <w:szCs w:val="18"/>
            <w:color w:val="000000"/>
          </w:rPr>
          <w:t>) and Form S-8 (No.</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 xml:space="preserve">333-272858 </w:t>
        </w:r>
      </w:hyperlink>
      <w:hyperlink r:id="rId18">
        <w:r>
          <w:rPr>
            <w:rFonts w:ascii="Times New Roman" w:cs="Times New Roman" w:eastAsia="Times New Roman" w:hAnsi="Times New Roman"/>
            <w:sz w:val="18"/>
            <w:szCs w:val="18"/>
            <w:color w:val="000000"/>
          </w:rPr>
          <w:t>and No.</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333-275342</w:t>
        </w:r>
      </w:hyperlink>
      <w:hyperlink r:id="rId18">
        <w:r>
          <w:rPr>
            <w:rFonts w:ascii="Times New Roman" w:cs="Times New Roman" w:eastAsia="Times New Roman" w:hAnsi="Times New Roman"/>
            <w:sz w:val="18"/>
            <w:szCs w:val="18"/>
            <w:color w:val="000000"/>
          </w:rPr>
          <w:t>), to</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extent not superseded by documents or reports subsequently filed or furnished.</w:t>
      </w:r>
    </w:p>
    <w:p>
      <w:pPr>
        <w:spacing w:after="0" w:line="172"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Notes Offering</w:t>
      </w:r>
    </w:p>
    <w:p>
      <w:pPr>
        <w:spacing w:after="0" w:line="225" w:lineRule="exact"/>
        <w:rPr>
          <w:rFonts w:ascii="Times New Roman" w:cs="Times New Roman" w:eastAsia="Times New Roman" w:hAnsi="Times New Roman"/>
          <w:sz w:val="18"/>
          <w:szCs w:val="18"/>
          <w:color w:val="0000EE"/>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Exhibits 4.1, 4.2 and 4.3 relate to the closing of the offering of Bitdeer Technologies Group’s 4.00% Convertible Senior Notes due 2031 (the “Convertible Notes Offering”), which, as previously disclosed, priced on November 12, 2025. On November 17, 2025, Bitdeer Technologies Group (the “Company”) on November 17, 2025 closed its private placement of US$400.0 million principal amount of 4.00% Convertible Senior Notes due 2031 (the “notes”). Initial purchasers of the notes have an option to purchase up to an additional US$60.0 million principal amount of the notes, within a 13-day period beginning on, and including, November 17, 2025.</w:t>
      </w:r>
    </w:p>
    <w:p>
      <w:pPr>
        <w:spacing w:after="0" w:line="18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u w:val="single" w:color="auto"/>
          <w:color w:val="auto"/>
        </w:rPr>
        <w:t>Equity Offering</w:t>
      </w:r>
    </w:p>
    <w:p>
      <w:pPr>
        <w:spacing w:after="0" w:line="225" w:lineRule="exact"/>
        <w:rPr>
          <w:rFonts w:ascii="Times New Roman" w:cs="Times New Roman" w:eastAsia="Times New Roman" w:hAnsi="Times New Roman"/>
          <w:sz w:val="18"/>
          <w:szCs w:val="18"/>
          <w:color w:val="0000EE"/>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19, 2025, the Company completed a registered direct offering of 10,661,140 of its Class A ordinary shares at a price of US$13.94 per share (the “Equity Offering”). In connection with the Equity Offering, the Company entered into individually negotiated share purchase agreements with certain institutional investors holding the Company’s existing 5.25% convertible senior notes due 2029 (the “Existing Notes”). The Company used the net proceeds from the Equity Offering, together with a portion of the net proceeds from the Convertible Notes Offering, to fund certain note repurchase transactions with respect to US$200.0 million aggregate principal amount to the Existing Notes.</w:t>
      </w:r>
    </w:p>
    <w:p>
      <w:pPr>
        <w:spacing w:after="0" w:line="183"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Equity Offering was made pursuant to a prospectus supplement, dated November 12, 2025, and filed with the Securities and Exchange Commission on November 14, 2025, and the base prospectus, dated December 18, 2024, filed as part of the Company’s shelf registration statement (File No. 333-283732) that became effective under the Securities Act of 1933, as amended, on December 18, 2024.</w:t>
      </w:r>
    </w:p>
    <w:p>
      <w:pPr>
        <w:spacing w:after="0" w:line="176" w:lineRule="exact"/>
        <w:rPr>
          <w:rFonts w:ascii="Times New Roman" w:cs="Times New Roman" w:eastAsia="Times New Roman" w:hAnsi="Times New Roman"/>
          <w:sz w:val="18"/>
          <w:szCs w:val="18"/>
          <w:color w:val="0000EE"/>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Barclays Capital Inc. acted as the exclusive placement agent (the “Placement Agent”) in connection with the Equity Offering pursuant to that certain placement agency agreement (the “Placement Agency Agreement”), dated as of November 12, 2025, by and between the Company and the Placement Agent. Pursuant to the Placement Agency Agreement, the Company agreed to reimburse the Placement Agent for certain costs, expenses, fees and taxes in connection with the Equity Offering. The Placement Agency Agreement also contains representations, warranties, indemnification and other provisions customary for transactions of this nature.</w:t>
      </w:r>
    </w:p>
    <w:p>
      <w:pPr>
        <w:spacing w:after="0" w:line="183" w:lineRule="exact"/>
        <w:rPr>
          <w:rFonts w:ascii="Times New Roman" w:cs="Times New Roman" w:eastAsia="Times New Roman" w:hAnsi="Times New Roman"/>
          <w:sz w:val="18"/>
          <w:szCs w:val="18"/>
          <w:color w:val="0000EE"/>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Placement Agency Agreement does not purport to be complete and is qualified in its entirety by reference to the full text of the Placement Agency Agreement, which is attached as Exhibit 1.1 to this Form 6-K and incorporated herein by reference.</w:t>
      </w:r>
    </w:p>
    <w:p>
      <w:pPr>
        <w:spacing w:after="0" w:line="378"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4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Placement Agency Agreement, dated November 12, 2025, by and between Bitdeer Technologies Group and Barclays Capital Inc., as</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placement agent.</w:t>
            </w: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Indenture, dated November 17, 2025, by and between Bitdeer Technologies Group and U.S. Bank Trust Company, National Association</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740" w:type="dxa"/>
            <w:vAlign w:val="bottom"/>
            <w:tcBorders>
              <w:top w:val="single" w:sz="8" w:color="0000EE"/>
            </w:tcBorders>
          </w:tcPr>
          <w:p>
            <w:pPr>
              <w:spacing w:after="0" w:line="20" w:lineRule="exact"/>
              <w:rPr>
                <w:sz w:val="1"/>
                <w:szCs w:val="1"/>
                <w:color w:val="auto"/>
              </w:rPr>
            </w:pPr>
          </w:p>
        </w:tc>
        <w:tc>
          <w:tcPr>
            <w:tcW w:w="40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Capped Call Confirmation</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Form of Global Note, representing Bitdeer Technologies Group’s 4.00% Convertible Senior Notes due 2031 (included as exhibit A to the</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Indenture filed as Exhibit 4.1)</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58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Opinion of Ogier relating to the Class A ordinary shares and the Equity Offering</w:t>
            </w:r>
          </w:p>
        </w:tc>
        <w:tc>
          <w:tcPr>
            <w:tcW w:w="4300" w:type="dxa"/>
            <w:vAlign w:val="bottom"/>
            <w:tcBorders>
              <w:bottom w:val="single" w:sz="8" w:color="CCEEFF"/>
            </w:tcBorders>
            <w:gridSpan w:val="3"/>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306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Ogier (included in Exhibit 5.1)</w:t>
            </w:r>
          </w:p>
        </w:tc>
        <w:tc>
          <w:tcPr>
            <w:tcW w:w="7040" w:type="dxa"/>
            <w:vAlign w:val="bottom"/>
            <w:gridSpan w:val="4"/>
          </w:tcPr>
          <w:p>
            <w:pPr>
              <w:spacing w:after="0"/>
              <w:rPr>
                <w:sz w:val="15"/>
                <w:szCs w:val="15"/>
                <w:color w:val="auto"/>
              </w:rPr>
            </w:pPr>
          </w:p>
        </w:tc>
      </w:tr>
    </w:tbl>
    <w:p>
      <w:pPr>
        <w:spacing w:after="0" w:line="225" w:lineRule="exact"/>
        <w:rPr>
          <w:sz w:val="20"/>
          <w:szCs w:val="20"/>
          <w:color w:val="auto"/>
        </w:rPr>
      </w:pPr>
    </w:p>
    <w:p>
      <w:pPr>
        <w:ind w:left="5580" w:right="2580" w:hanging="5572"/>
        <w:spacing w:after="0" w:line="908" w:lineRule="auto"/>
        <w:tabs>
          <w:tab w:leader="none" w:pos="33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or omitted in accordance with Item 601(a)(6) of Regulation S-K.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10,661,140 Ordinary Shares of Bitdeer Technologies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$0.0000001 per Ordinary Share)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Placement Agency Agreement</w:t>
      </w:r>
    </w:p>
    <w:p>
      <w:pPr>
        <w:spacing w:after="0" w:line="225"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color w:val="auto"/>
        </w:rPr>
        <w:t>November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Placement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Bitdeer Technologies Group, an exempted company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issue and sell directly to the several Purchasers (as defined below) an aggregate of 10,661,140 ordinary shares, par value $0.0000001 per share (the “</w:t>
      </w:r>
      <w:r>
        <w:rPr>
          <w:rFonts w:ascii="Times New Roman" w:cs="Times New Roman" w:eastAsia="Times New Roman" w:hAnsi="Times New Roman"/>
          <w:sz w:val="18"/>
          <w:szCs w:val="18"/>
          <w:u w:val="single" w:color="auto"/>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whereby the Purchasers will receive Ordinary Shares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such sales of Shares, the “</w:t>
      </w:r>
      <w:r>
        <w:rPr>
          <w:rFonts w:ascii="Times New Roman" w:cs="Times New Roman" w:eastAsia="Times New Roman" w:hAnsi="Times New Roman"/>
          <w:sz w:val="18"/>
          <w:szCs w:val="18"/>
          <w:u w:val="single" w:color="auto"/>
          <w:color w:val="auto"/>
        </w:rPr>
        <w:t>Share Purchases</w:t>
      </w:r>
      <w:r>
        <w:rPr>
          <w:rFonts w:ascii="Times New Roman" w:cs="Times New Roman" w:eastAsia="Times New Roman" w:hAnsi="Times New Roman"/>
          <w:sz w:val="18"/>
          <w:szCs w:val="18"/>
          <w:color w:val="auto"/>
        </w:rPr>
        <w:t>”). The Share Purchases will be governed by and pursuant to one or more securities purchase agreements (the “</w:t>
      </w:r>
      <w:r>
        <w:rPr>
          <w:rFonts w:ascii="Times New Roman" w:cs="Times New Roman" w:eastAsia="Times New Roman" w:hAnsi="Times New Roman"/>
          <w:sz w:val="18"/>
          <w:szCs w:val="18"/>
          <w:u w:val="single" w:color="auto"/>
          <w:color w:val="auto"/>
        </w:rPr>
        <w:t>Purchase Agreements</w:t>
      </w:r>
      <w:r>
        <w:rPr>
          <w:rFonts w:ascii="Times New Roman" w:cs="Times New Roman" w:eastAsia="Times New Roman" w:hAnsi="Times New Roman"/>
          <w:sz w:val="18"/>
          <w:szCs w:val="18"/>
          <w:color w:val="auto"/>
        </w:rPr>
        <w:t>”) between the Company and the Purchasers. Payment by the Purchasers for the Shares shall be made pursuant to the terms of the Purchase Agreements at the time and date referred to therein as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proposes to repurchase for cash (through its agent) $200,000,000 aggregate principal amount of the Company’s 5.25% Convertible Senior Notes due 2029 issued pursuant to that certain Indenture, dated November 26, 2024, by and among the Company and U.S. Bank Trust Company, National Association, as trustee (collectively, the “</w:t>
      </w:r>
      <w:r>
        <w:rPr>
          <w:rFonts w:ascii="Times New Roman" w:cs="Times New Roman" w:eastAsia="Times New Roman" w:hAnsi="Times New Roman"/>
          <w:sz w:val="18"/>
          <w:szCs w:val="18"/>
          <w:u w:val="single" w:color="auto"/>
          <w:color w:val="auto"/>
        </w:rPr>
        <w:t>Notes Repurchases</w:t>
      </w:r>
      <w:r>
        <w:rPr>
          <w:rFonts w:ascii="Times New Roman" w:cs="Times New Roman" w:eastAsia="Times New Roman" w:hAnsi="Times New Roman"/>
          <w:sz w:val="18"/>
          <w:szCs w:val="18"/>
          <w:color w:val="auto"/>
        </w:rPr>
        <w:t>”). The Company will use the net proceeds from the Share Purchases, together with a portion of the net proceeds of the Convertible Notes Offering (as defined below), to settle the cash amount due under the Notes Repurchases. In addition, concurrently with Share Purchases, the Company proposes to issue and sell in a private offering $400,000,000 aggregate principal amount of the Company’s 4.00% convertible senior notes due 2031 (the “</w:t>
      </w:r>
      <w:r>
        <w:rPr>
          <w:rFonts w:ascii="Times New Roman" w:cs="Times New Roman" w:eastAsia="Times New Roman" w:hAnsi="Times New Roman"/>
          <w:sz w:val="18"/>
          <w:szCs w:val="18"/>
          <w:u w:val="single" w:color="auto"/>
          <w:color w:val="auto"/>
        </w:rPr>
        <w:t>Convertible Notes Offering</w:t>
      </w:r>
      <w:r>
        <w:rPr>
          <w:rFonts w:ascii="Times New Roman" w:cs="Times New Roman" w:eastAsia="Times New Roman" w:hAnsi="Times New Roman"/>
          <w:sz w:val="18"/>
          <w:szCs w:val="18"/>
          <w:color w:val="auto"/>
        </w:rPr>
        <w:t>” and, together with the Share Purchases and the Notes Repurchases,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prepared and filed, in accordance with the provisions of the Securities Act of 1933, as amended, and the rules and regulations thereunder (collectively,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shelf registration statement on Form F-3 (File No. 333-283732) under the Act, including a prospectus relating to the Shares, which registration statement incorporates by reference documents which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Amendments to such registration statement, if necessary or appropriate, have been similarly prepared and filed with the Commission in accordance with the Act. Such registration statement, as so amended, has become effective under the Act.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Except where the context otherwise requires, “Registration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used herein, means such registration statement, as amended at the time of such registration statement’s effectiveness for purposes of Section 11 of the Act, as such section applies to the Placement Agent (as defined below)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including (i) all documents filed as a part thereof or incorporated or deemed to be incorporated by reference therein and (ii) any information contained or incorporated by reference in a prospectus filed with the Commission pursuant to Rule 424(b) under the Act, to the extent such information is deemed, pursuant to Rule 430B under the Act, to be part of the registration statement at the Effective Time.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where the context otherwise requires, “Prospectus,” as used herein, means the final prospectus supplement to the Base Prospectus, together with the Base Prospectus, relating to the offering of the Shares, filed by the Company with the Commission pursuant to Rule 424(b) under the Act on or before the second business day after the date of determination of the offering price of the Shares (or such earlier time as may be required under the Act), in the form furnished by the Company to the Placement Agent for use by the Placement Agent in connection with the offering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reference in this Placement Agency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the Registration Statement, the Base Prospectus, the Prospectus or any Permitted Pricing Terms Prospectus shall be deemed to refer to and include the documents, if any, incorporated by reference, or deemed to be incorporated by reference, therein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the Prospectus or any Permitted Pricing Terms Prospectus shall be deemed to refer to and include the filing of any document under the Exchange Act on or after the initial effective date of the Registration Statement, or the date of the Prospectus or such Permitted Pricing Terms Prospectus, as the case may be, and deemed to be incorporated therein by reference.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as used herein, means 11:45 P.M., New York City time, on November 12, 2025, or such other time as agreed by the Company and the Placement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as used herein, means the base prospectus filed as part of such Registration Statement, in the form in which it has most recently been filed with the Commission on or prior to the date of this Agreement relating to the Shares.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on which the Commission’s office in Washington, D.C. is open for business.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as used herein, means, collectively, the Pricing Term Sheet, the Base Prospectus, the Incorporated Documents, and all Permitted Pricing Terms Prospectuses if any, considered together.</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the actual knowledge of any of (i) the Company’s Chairperson and Chief Executive Officer, (ii) the Company’s Chief Financial Officer (in his capacity as Chief Financial Officer and interim anti-money laundering officer), (iii) the Company’s Chief Business Officer and (iv) the Company’s Chief Strategy Officer, in each case after reasonable inquiry of officers, directors and employees of the Company and its subsidiaries under such person’s direct supervision who would reasonably be expected to have knowledge or information with respect to the matter in question.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Pricing Terms Prospectuses</w:t>
      </w:r>
      <w:r>
        <w:rPr>
          <w:rFonts w:ascii="Times New Roman" w:cs="Times New Roman" w:eastAsia="Times New Roman" w:hAnsi="Times New Roman"/>
          <w:sz w:val="18"/>
          <w:szCs w:val="18"/>
          <w:color w:val="auto"/>
        </w:rPr>
        <w:t xml:space="preserve">,” as used herein, means the prospectus filed in respect of the pricing terms included on </w:t>
      </w:r>
      <w:r>
        <w:rPr>
          <w:rFonts w:ascii="Times New Roman" w:cs="Times New Roman" w:eastAsia="Times New Roman" w:hAnsi="Times New Roman"/>
          <w:sz w:val="18"/>
          <w:szCs w:val="18"/>
          <w:u w:val="single" w:color="auto"/>
          <w:color w:val="auto"/>
        </w:rPr>
        <w:t>Schedule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Term Sheet</w:t>
      </w:r>
      <w:r>
        <w:rPr>
          <w:rFonts w:ascii="Times New Roman" w:cs="Times New Roman" w:eastAsia="Times New Roman" w:hAnsi="Times New Roman"/>
          <w:sz w:val="18"/>
          <w:szCs w:val="18"/>
          <w:color w:val="auto"/>
        </w:rPr>
        <w:t xml:space="preserve">,” as used herein, means the pricing term sheet attached as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as used herein, means any oral or written communication with potential investors undertaken in reliance on Rule 163B under the Act; and any Testing-the-Waters Communication that is a written communication within the meaning of Rule 405 under the Act is hereinafter called a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terms “herein,” “hereof,” “hereto,” “hereinafter” and similar terms, as used in this Agreement, shall in each case refer to this Agreement as a whole and not to any particular section, paragraph, sentence or other subdivision of this Agreement. The term “or,” as used herein, is not exclusive.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Placement Agent agree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 Appointment as Placement Agent.</w:t>
      </w:r>
      <w:r>
        <w:rPr>
          <w:rFonts w:ascii="Times New Roman" w:cs="Times New Roman" w:eastAsia="Times New Roman" w:hAnsi="Times New Roman"/>
          <w:sz w:val="18"/>
          <w:szCs w:val="18"/>
          <w:color w:val="auto"/>
        </w:rPr>
        <w:t xml:space="preserve"> The Company and the Placement Agent agree:</w:t>
      </w:r>
    </w:p>
    <w:p>
      <w:pPr>
        <w:spacing w:after="0" w:line="227" w:lineRule="exact"/>
        <w:rPr>
          <w:sz w:val="20"/>
          <w:szCs w:val="20"/>
          <w:color w:val="auto"/>
        </w:rPr>
      </w:pPr>
    </w:p>
    <w:p>
      <w:pPr>
        <w:jc w:val="both"/>
        <w:ind w:left="660" w:firstLine="644"/>
        <w:spacing w:after="0" w:line="253" w:lineRule="auto"/>
        <w:tabs>
          <w:tab w:leader="none" w:pos="15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appoints you, Barclays Capital Inc. (“</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as exclusive placement agent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you hereby accept such appointment and agree to act as exclusive placement agent and to solicit offers from Purchasers to participate in Share Purchases, and the Company hereby authorizes you to act on its behalf in accordance with this Agreement. It is understood and agreed that you will act under this Agreement as an independent contractor with duties solely to the Company and nothing in this Agreement or the nature of your services in connection with this engagement or otherwise shall be deemed to create a fiduciary duty or fiduciary or agency relationship between you and the Company or its shareholders, employees or creditors, and the Company agrees that it shall not make, and hereby waives, any claim based on an assertion of such a fiduciary duty or relationship. Additionally, the Placement Agent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and the Placement Agent shall not have any responsibility or liability to the Company with respect thereto. Any review or due diligence by the Placement Agent of the Company, the Transactions or other matters relating to the Transactions will be performed solely for the benefit of the Placement Agent and shall not be on behalf of the Company.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660" w:firstLine="644"/>
        <w:spacing w:after="0" w:line="252" w:lineRule="auto"/>
        <w:tabs>
          <w:tab w:leader="none" w:pos="15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that any written or oral guidance provided by the Placement Agent in connection with the engagement described herein is exclusively for the information of the board of directors and senior management of the Company (solely in their capacities as directors and officers of the Company) in connection with their consideration of the Share Purchases, and such guidance and the terms of this Agreement may not be disclosed to any third party (other than the Company’s outside law firm or accounting firm, in each case who has been informed by the Company of the confidential nature of such guidance and the terms of this Agreement and has agreed to treat such information confidentially or is otherwise subject to professional duties of confidentiality) or circulated or referred to publicly (including any reference to the fact that the Placement Agent has rendered such guidance or entered into this Agreement) or used or relied on by any other party or for any other purpose without the Company’s prior written consent, except to the extent the Company is required or requested to disclose such information (i) under compulsion of law (whether by oral question, interrogatory, subpoena, civil investigative demand or otherwise), by order or act of any court or governmental or regulatory authority or body or (ii) as otherwise required by applicable law, rule or regulation, including any listing exchange, or to the extent requested by the Staff of the Commission, any representative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or any other regulatory agency; provided, in each case, the Company shall, to the extent practicable, provide the Placement Agent with prior written notice of such disclosure and cooperate, to a reasonable extent, with the Placement Agent in any efforts Placement Agent may make to obtain an order or other reliable assurance that confidential treatment will be accorded to such guidance and this Agreement. For the avoidance of doubt, this paragraph shall not prohibit any persons from disclosing information to any governmental, regulatory, or self-regulatory organization.</w:t>
      </w:r>
    </w:p>
    <w:p>
      <w:pPr>
        <w:spacing w:after="0" w:line="195"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Placement Agent shall have no obligation to purchase any of the Shares, or any liability to the Company if any prospective purchaser fails to consummate a purchase of or pay for any of the Shares.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 Share Purchases</w:t>
      </w:r>
      <w:r>
        <w:rPr>
          <w:rFonts w:ascii="Times New Roman" w:cs="Times New Roman" w:eastAsia="Times New Roman" w:hAnsi="Times New Roman"/>
          <w:sz w:val="18"/>
          <w:szCs w:val="18"/>
          <w:color w:val="auto"/>
        </w:rPr>
        <w:t>. The Placement Agent agrees to use its reasonable best efforts to solicit offers from Purchasers to participate in Share Purchases. Neither the Placement Agent nor any of its affiliates, nor any partners, directors, officers, agents, employees or controlling persons (if any) of the Placement Agent or any of its affiliates, shall have any liability to the Company or any other person for any act or omission on the part of any securities broker or dealer (other than the Placement Agent or its successors and assigns), commercial bank or trust company that solicits Share Purchases, and neither the Placement Agent nor any of such persons or entities referred to above related to the Placement Agent shall have any liability to the Company or any person asserting claims on behalf of or in right of the Company in connection with or as a result of the Placement Agent’s engagement or any matter referred to in this Agreement. In soliciting Share Purchases, no securities broker or dealer (other than the Placement Agent or its successors and assigns), commercial bank or trust company shall be deemed to act as the Placement Agent’s agent or the agent of the Company and you, as the Placement Agent, shall not be deemed the agent of any other securities broker or dealer or of any commercial bank or trust company.</w:t>
      </w:r>
    </w:p>
    <w:p>
      <w:pPr>
        <w:spacing w:after="0" w:line="188" w:lineRule="exact"/>
        <w:rPr>
          <w:sz w:val="20"/>
          <w:szCs w:val="20"/>
          <w:color w:val="auto"/>
        </w:rPr>
      </w:pPr>
    </w:p>
    <w:p>
      <w:pPr>
        <w:ind w:left="840" w:hanging="184"/>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i w:val="1"/>
          <w:iCs w:val="1"/>
          <w:color w:val="auto"/>
        </w:rPr>
        <w:t>. Representations and Warranties of the Company</w:t>
      </w:r>
      <w:r>
        <w:rPr>
          <w:rFonts w:ascii="Times New Roman" w:cs="Times New Roman" w:eastAsia="Times New Roman" w:hAnsi="Times New Roman"/>
          <w:sz w:val="18"/>
          <w:szCs w:val="18"/>
          <w:color w:val="auto"/>
        </w:rPr>
        <w:t>. The Company represents and warrants to you that:</w:t>
      </w:r>
    </w:p>
    <w:p>
      <w:pPr>
        <w:spacing w:after="0" w:line="227" w:lineRule="exact"/>
        <w:rPr>
          <w:sz w:val="20"/>
          <w:szCs w:val="20"/>
          <w:color w:val="auto"/>
        </w:rPr>
      </w:pPr>
    </w:p>
    <w:p>
      <w:pPr>
        <w:jc w:val="both"/>
        <w:ind w:firstLine="644"/>
        <w:spacing w:after="0" w:line="266" w:lineRule="auto"/>
        <w:tabs>
          <w:tab w:leader="none" w:pos="8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heretofore become effective under the Act; no stop order of the Commission preventing or suspending the use of any Base Prospectus, or the effectiveness of the Registration Statement, has been issued, and no proceedings for such purpose have been instituted or, to the Company’s knowledge, are contemplated by the Commission.</w:t>
      </w:r>
    </w:p>
    <w:p>
      <w:pPr>
        <w:spacing w:after="0" w:line="175" w:lineRule="exact"/>
        <w:rPr>
          <w:rFonts w:ascii="Times New Roman" w:cs="Times New Roman" w:eastAsia="Times New Roman" w:hAnsi="Times New Roman"/>
          <w:sz w:val="18"/>
          <w:szCs w:val="18"/>
          <w:color w:val="auto"/>
        </w:rPr>
      </w:pPr>
    </w:p>
    <w:p>
      <w:pPr>
        <w:jc w:val="both"/>
        <w:ind w:firstLine="644"/>
        <w:spacing w:after="0" w:line="251" w:lineRule="auto"/>
        <w:tabs>
          <w:tab w:leader="none" w:pos="93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the Registration Statement complied in all material respects with the requirements of the Act and the conditions to the use of Form F-3 in connection with the offering and issue of the Shares as contemplated hereby have been satisfied; the Registration Statement meets, and the offering and issue of the Shares as contemplated hereby complies with, the requirements of Rule 415 under the Act (including, without limitation, Rule 415(a)(5) under the Act) and, as of the Effective Time, did not contain an untrue statement of a material fact or omit to state a material fact required to be stated therein or necessary to make the statements therein not misleading; as of the Applicable Time and as of the Closing Date, the Base Prospectus complied and will comply in all material respects with the requirements of the Act (including, without limitation, Section 10(a) of the Act) and the Disclosure Package did not include and will not include an untrue statement of a material fact or omit to state a material fact necessary in order to make the statements therein, in the light of the circumstances under which they were made, not misleading; each Permitted Terms Pricing Prospectus and each Written Testing-the-Waters Communication does not conflict with the information contained in the Registration Statement, the Base Prospectus or the Prospectus and each Permitted Terms Pricing Prospectus and each Written Testing-the-Waters Communication, as supplemented by and taken together with the Disclosure Package as of the Applicable Time, did not, and as of the Closing Date will not, include any untrue statement of a material fact or omit to state any material fact necessary in order to make the statements therein, in the light of the circumstances under which they were made, not misleading; the Prospectus will comply, as of its date and as of the Closing Date, in all material respects, with the requirements of the Act (including, without limitation, Section 10(a) of the Act) and, as of the date the Prospectus is filed with the Commission and as of the Closing Date, the Prospectus will not, as then amended or supplemented, include an untrue statement of a material fact or omit to state a material fact necessary in order to make the statements therein, in the light of the circumstances under which they were made, not misleading; provided, however, that the Company makes no representation or warranty in this Section 4(b)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any statement contained in the Registration Statement, the Disclosure Package or the Prospectus made in reliance upon and in conformity with information concerning the Placement Agent and furnished in writing by or on behalf of the Placement Agent to the Company expressly for use in the Registration Statement, the Disclosure Package or the Prospectus (such information, the “</w:t>
      </w:r>
      <w:r>
        <w:rPr>
          <w:rFonts w:ascii="Times New Roman" w:cs="Times New Roman" w:eastAsia="Times New Roman" w:hAnsi="Times New Roman"/>
          <w:sz w:val="18"/>
          <w:szCs w:val="18"/>
          <w:u w:val="single" w:color="auto"/>
          <w:color w:val="auto"/>
        </w:rPr>
        <w:t>Placement Agent Information</w:t>
      </w:r>
      <w:r>
        <w:rPr>
          <w:rFonts w:ascii="Times New Roman" w:cs="Times New Roman" w:eastAsia="Times New Roman" w:hAnsi="Times New Roman"/>
          <w:sz w:val="18"/>
          <w:szCs w:val="18"/>
          <w:color w:val="auto"/>
        </w:rPr>
        <w:t>”); each Incorporated Document, as of its date, as of the Applicable Time and as of the Closing Date, complied, in all material respects, with the requirements of the Exchange Act and did not include an untrue statement of a material fact or omit to state a material fact necessary in order to make the statements therein, in the light of the circumstances under which they were made, not misleading.</w:t>
      </w:r>
    </w:p>
    <w:p>
      <w:pPr>
        <w:spacing w:after="0" w:line="205" w:lineRule="exact"/>
        <w:rPr>
          <w:rFonts w:ascii="Times New Roman" w:cs="Times New Roman" w:eastAsia="Times New Roman" w:hAnsi="Times New Roman"/>
          <w:sz w:val="18"/>
          <w:szCs w:val="18"/>
          <w:color w:val="auto"/>
        </w:rPr>
      </w:pPr>
    </w:p>
    <w:p>
      <w:pPr>
        <w:jc w:val="both"/>
        <w:ind w:firstLine="644"/>
        <w:spacing w:after="0" w:line="266" w:lineRule="auto"/>
        <w:tabs>
          <w:tab w:leader="none" w:pos="8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execution of this Agreement, the Company has not, directly or indirectly, offered or issued any Shares by means of any “prospectus” (within the meaning of the Act) or used any “prospectus” (within the meaning of the Act) in connection with the offer or issue of the Shares, in each case other than the Base Prospectus and the Permitted Pricing Terms Prospectus.</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is or, after giving effect to the Transactions and the application of the proceeds thereof as described in the Registration Statement, the Disclosure Package and the Prospectus, will be an “investment company” as defined in the Investment Company Act, without taking account of any exemption arising out of the number of holders of the Company’s securities.</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any of their respective affiliates has taken or will take, directly or indirectly, any action designed to or that has constituted, or that might be reasonably expected to cause or result in, under the Exchange Act or otherwise, stabilization or manipulation of the price of any security of the Company or any of its subsidiaries to facilitate the sale or resale of the Shares.</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8" w:name="page9"/>
    <w:bookmarkEnd w:id="8"/>
    <w:p>
      <w:pPr>
        <w:jc w:val="both"/>
        <w:ind w:left="-460" w:firstLine="644"/>
        <w:spacing w:after="0" w:line="252" w:lineRule="auto"/>
        <w:tabs>
          <w:tab w:leader="none" w:pos="4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been duly incorporated or organized, and is validly existing and in good standing (to the extent such concept is applicable) under the laws of their respective jurisdictions of incorporation or organization, are duly qualified to do business and are in good standing (to the extent such concept is applicable)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would not, individually or in the aggregate, have a material adverse effect on the business, properties, management (financial position), shareholders’ equity, results of operations or prospects of the Company and its subsidiaries taken as a whole or on the performance by the Company of its obligations under this Agreement and the Purchase Agreements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The amended and restated memorandum and articles of association of the Company comply with the requirements of applicable Cayman law and are in full force and effect.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The Company does not own or control, directly or indirectly, any corporation, association or other entity other than the subsidiaries listed in Exhibit 8.1 to the Annual Report and other than (i) those subsidiaries not required to be listed on Exhibit 8.1 by Item 601 of Regulation S-K under the Exchange Act, and (ii) those subsidiaries formed or acquired since the last day of the most recently ended fiscal year.</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under the heading “Capitalization” in the Disclosure Package or the Prospectus as of the date or dates set forth therein; all the outstanding capital shares of the Company have been duly and validly authorized and issued and are fully paid and non-assessable and are not subject to any pre-emptive or similar rights. There are no outstanding rights (including pre-emptive rights or warrants, except as described in or expressly contemplated by the Registration Statement, the Disclosure Package or the Prospectus as of the date or dates set forth therein), or options to acquire, or instruments convertible into or exchangeable for, any capital shares or other equity interest in the Company or any of its subsidiaries, or any contract, commitment, agreement, understanding or arrangement of any kind relating to the issuance of any capital shares of the Company or any such subsidiary, any such convertible or exchangeable securities or any such rights, warrants or options; the capital shares of the Company conform in all material respects to the description thereof contained in the Registration Statement, the Disclosure Package or the Prospectus as of the dates set forth therein. All the outstanding capital shares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except as would not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the Agreement, the Purchase Agreements and the consummation by it of the Transactions contemplated hereby and thereby, and the Share Purchases, have been duly and validly authorized by all necessary corporate action, and no further consent or authorization of the Company, its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its shareholders is required; the execution, delivery and performance by the Company of the Agreement by the Company and the issuance of the Shares, the application of the proceeds from the sale of the Ordinary Shares as described under “Use of Proceeds” in the Disclosure Package or the Prospectus, and the consummation by the Company of the Transactions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memorandum and articles of association, charter or by-laws or similar organizational documents of the Company or any of its subsidiaries or (iii) result in the violation of any Cayman Islands, Singapore or U.S. law or statute or any judgment, order, rule or regulation of any court or arbitrator or governmental or regulatory authority or body having jurisdiction over the Company or any of its subsidiaries or their properties, except, in the case of clauses (i) and (iii) above, (1) as described in the Disclosure Package and the Prospectus, or (2) for any such conflict, breach, violation, default, lien, charge or encumbrance that would not reasonably be expected to have a Material Adverse Effect.</w:t>
      </w: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jc w:val="both"/>
        <w:ind w:left="-460" w:firstLine="644"/>
        <w:spacing w:after="0" w:line="254" w:lineRule="auto"/>
        <w:tabs>
          <w:tab w:leader="none" w:pos="4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 in violation of its respective memorandum and articles of association,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statute, law, rule, regulation, ordinance, directive, judgment, decree, guideline, notice or order of any judicial, regulatory or other legal or governmental agency or body, foreign or domestic, having jurisdiction over the Company or any of its subsidiaries, except, in the case of clauses (ii) and (iii), (1) as described in the Registration Statement, the Disclosure Package or the Prospectus, or (2) for any such default or violation that would not have a Material Adverse Effect.</w:t>
      </w:r>
    </w:p>
    <w:p>
      <w:pPr>
        <w:spacing w:after="0" w:line="188"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Agreements will conform in all material respects to the descriptions thereof in the Prospectus.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to, or have valid rights to lease or otherwise use, all items of real and personal property that are material to the respective businesses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order, registration or qualification of or with any court or arbitrator or any governmental or regulatory authority or applicable law is required for the issue and sale of the Shares and the consummation of the Transactions, except for such consents, approvals, authorizations, orders and registrations or qualifications (i) as may be required under applicable state securities laws or Blue Sky laws of the United States, in connection with the issuance of the Shares and the listing of the Shares on the Nasdaq Capital Market, and (ii) as have been previously obtained by the Company;</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requisite corporate power and authority to enter into this Agreement and the Purchase Agreements (together,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and perform the Transactions contemplated by the Transaction Documents and to issue the Shares in accordance with the terms hereof and thereof.</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(including the related notes thereto) of the Company and its consolidated subsidiaries included or incorporated by reference in the Registration Statement, the Disclosure Package or the Prospectus comply in all material respects with the applicable requirements of the Act and present fairly the financial position of the Company and its consolidated subsidiaries as of the dates indicated and the results of their operations and the changes in their cash flows for the periods specified; such consolidated financial statements have been prepared in conformity with the International Financial Reporting Standards as issued by the International Accounting Standards Boards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applied on a consistent basis throughout the periods covered thereby, and any supporting schedules included in the Registration Statement, the Disclosure Package or the Prospectus present fairly the information required to be stated therein; and the other financial information included in the Registration Statement, the Disclosure Package or the Prospectus has been derived from the accounting records of the Company and its consolidated subsidiaries and presents fairly the information shown thereby; all disclosures included in the Registration Statement, the Disclosure Package or the Prospectus regarding “non-IFRS financial measures” (as such term is defined by the rules and regulations of the Commission) comply in all material respects with Regulation G of the Exchange Act and Item 10 of Regulation S-K of the Act, to the extent applicable. The Company and its consolidated subsidiaries do not have any material liabilities or obligations, direct or contingent (including any off-balance sheet obligations), that are not described in the Registration Statement, the Disclosure Package or the Prospectus. The interactive data in eXtensible Business Reporting Language included or incorporated by reference in the Registration Statement, the Disclosure Package or the Prospectus fairly present the information called for in all material respects and have been prepared in accordance with the Commission’s rules and guidelines applicable thereto.</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jc w:val="both"/>
        <w:ind w:left="4" w:firstLine="644"/>
        <w:spacing w:after="0" w:line="253" w:lineRule="auto"/>
        <w:tabs>
          <w:tab w:leader="none" w:pos="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governmental or regulatory investigations, actions, demands, claims, suits, arbitrations, inquiries or proceedings (“</w:t>
      </w: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pending to which the Company or any of its subsidiaries is or may be a party or to which any property of the Company or any of its subsidiaries is or may be the subject that, if determined adversely to the Company or any of its subsidiaries, would reasonably be expected to have a Material Adverse Effect or which are otherwise material in the context of the sale of the Shares or could, in the aggregate, reasonably be expected to have a Material Adverse Effect on the performance by the Company of its obligations under the Transaction Documents or the consummation of the Transactions; no such Actions are, to the Company’s Knowledge, threatened or contemplated by any governmental or regulatory authority or threatened by others. There are (i) no current or pending Actions or statutes or regulations that would be required to be described in a registration statement on Form F-3 filed under the Act that are not so described in the Registration Statement, the Disclosure Package or the Prospectus, and (ii) no contracts or other documents that would be required to be described in or filed as an exhibit to a registration statement on Form F-3 filed under the Act (collectively, the “</w:t>
      </w:r>
      <w:r>
        <w:rPr>
          <w:rFonts w:ascii="Times New Roman" w:cs="Times New Roman" w:eastAsia="Times New Roman" w:hAnsi="Times New Roman"/>
          <w:sz w:val="18"/>
          <w:szCs w:val="18"/>
          <w:u w:val="single" w:color="auto"/>
          <w:color w:val="auto"/>
        </w:rPr>
        <w:t>Filed Documents</w:t>
      </w:r>
      <w:r>
        <w:rPr>
          <w:rFonts w:ascii="Times New Roman" w:cs="Times New Roman" w:eastAsia="Times New Roman" w:hAnsi="Times New Roman"/>
          <w:sz w:val="18"/>
          <w:szCs w:val="18"/>
          <w:color w:val="auto"/>
        </w:rPr>
        <w:t>”) that are not so described in the Registration Statement, the Disclosure Package or the Prospectus. To the Knowledge of the Company, there is no actual or threatened material breach by any other party to any Filed Documents of their respective obligations contemplated by the terms thereof.</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not received any written notice from any governmental authority of or been charged by any governmental authority with the violation of any applicable law, except for any such violation that would not be reasonably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MaloneBailey LLP, whose report on the consolidated financial statements of the Company is filed with the Commission as part of the Annual Report with the Commission and incorporated into the Registration Statement, the Disclosure Package or the Prospectus, and who have delivered the initial letter referred to in Section 8(c) hereof, are and during the periods covered by their report, were independent registered public accountants within the meaning of the Act and the Public Company Accounting Oversight Board (United States).</w:t>
      </w:r>
    </w:p>
    <w:p>
      <w:pPr>
        <w:spacing w:after="0" w:line="179"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13, 2023, the Company has timely filed all certifications and statements the Company is required to file or furnish under</w:t>
      </w:r>
    </w:p>
    <w:p>
      <w:pPr>
        <w:spacing w:after="0" w:line="27" w:lineRule="exact"/>
        <w:rPr>
          <w:rFonts w:ascii="Times New Roman" w:cs="Times New Roman" w:eastAsia="Times New Roman" w:hAnsi="Times New Roman"/>
          <w:sz w:val="18"/>
          <w:szCs w:val="18"/>
          <w:color w:val="auto"/>
        </w:rPr>
      </w:pPr>
    </w:p>
    <w:p>
      <w:pPr>
        <w:ind w:left="4" w:hanging="4"/>
        <w:spacing w:after="0" w:line="260" w:lineRule="auto"/>
        <w:tabs>
          <w:tab w:leader="none" w:pos="2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13a-14 or Rule 15d-14 under the Exchange Act or (ii) 18 U.S.C. Section 1350 (Section 906 of the Sarbanes-Oxley Act) with respect to all Exchange Act Reports with respect to which the Company is required to file such certifications and statements thereunder.</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third-party logistics providers, IT service providers, or customers, except (1) as otherwise disclosed in the Registration Statement, the Disclosure Package or the Prospectu or (2) as would not have, or be reasonably expected to have, a Material Adverse Effect. Neither the Company nor any of its subsidiaries has received any notice of cancellation or termination with respect to any collective bargaining agreement to which it is a party.</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8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of the Company included in the Registration Statement, the Disclosure Package or the Prospectus, there has been (i) no dividend or distribution of any kind declared, paid or made by the Company on any class of its share capital and (ii) no material adverse change in the share capital, short-term indebtedness or long-term indebtedness of the Company and its subsidiaries, taken as a whole. Neither the Company nor any of its subsidiaries has entered (A) into any material transaction or agreement or incurred any material liability or obligation, direct or contingent, that is not disclosed or contemplated in the Registration Statement, the Disclosure Package or the Prospectus, or (B) sustained any material loss or material interference with its business from fire, explosion, flood or other calamity, whether or not covered by insurance, or from any labor dispute or court or governmental action, order or decree.</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0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or any of its subsidiaries, on the one hand, and the directors, officers, shareholders, customers, suppliers or other affiliates of the Company or any of its subsidiaries, on the other, that would be required to be described in a registration statement of the Company pursuant to Item 404 of Regulation S-K (or such successor provision) that has not been described in the Registration Statement, the Disclosure Package or the Prospectus.</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jc w:val="both"/>
        <w:ind w:left="-460" w:firstLine="644"/>
        <w:spacing w:after="0" w:line="254" w:lineRule="auto"/>
        <w:tabs>
          <w:tab w:leader="none" w:pos="4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from the sale of the Shares by the Company shall be used by the Company and its subsidiaries in the manner as will be set forth in the Registration Statement, the Disclosure Package or the Prospectus. The application of the net proceeds received by the Company in connection with the offering of the Shares as described in the Registration Statement, the Disclosure Package and the Prospectus will not (i) contravene any provision of any laws applicable to the Company or any of its subsidiaries, (ii) contravene the memorandum and articles of association, charter or other constitutive documents of the Company or any of its subsidiaries, (iii) contravene the terms or provisions of, or constitute a default under, any indenture, mortgage, deed of trust, loan agreement, note, lease or other agreement or instrument currently binding upon the Company or any of its subsidiaries, or (iv) contravene or violate the terms or provisions of any governmental authorization applicable to any of the Company or any of its subsidiaries, except, in the case of (iii) and (iv) above, such contravention or violation that would not have a Material Adverse Effect.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will not be, either after giving effect to the receipt of gross proceeds from the offering and sale of the Shares as contemplated by the Transaction Documents or after the application of the proceeds from the Transactions as described in the Registration Statement, the Disclosure Package or the Prospectus, required to register as an “investment company” as such term is defined in the U.S. Investment Company Act of 1940, as amended.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the Disclosure Package or the Prospectus, except where the failure to possess or make the same would not have a Material Adverse Effect. Except as described in the Registration Statement, the Disclosure Package or the Prospectus or would not have a Material Adverse Effect neither the Company nor any of its subsidiaries received notice of any revocation or modification of any such license, sub-license, certificate, permit or authorization or has any reason to believe that any such license, sub-license, certificate, permit or authorization will not be renewed in the ordinary course. This Section does not relate to environmental matters, such items being the subject of Section 4(z) below.</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systems of “internal control over financial reporting” (as defined in Rule 13a-15(f) of the Exchange Act) that comply with the requirements of the Exchange Act, as applicable to the Company,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IFRS. The Company and its subsidiaries maintain internal accounting controls designed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Disclosure Package or the Prospectus, there are no material weaknesses in the Company’s internal controls (it being understood that the Company is not required as of the date hereof to comply with Section 404(b)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Except as disclosed in the Registration Statement, the Disclosure Package or the Prospectus, as of the date of the most recent balance sheet of the Company reviewed or audited by the Company’s auditors and the Audit Committee of the Board, there was: (i) no significant deficiency and/or material weakness in the design or operation of internal controls over financial reporting which have adversely affected or are reasonably likely to adversely affect the Company’s ability to record, process, summarize and report financial information; (ii) no fraud, whether or not material, that involves management or other employees who have a significant role in the Company’s internal controls over financial reporting; and (iii) the interactive data in eXtensible Business Reporting Language included or incorporated by reference in the the Registration Statement, the Disclosure Package and the Prospectus fairly present the information called for in all material respects and have been prepared in accordance with the Commission’s rules and guidelines applicable thereto.</w:t>
      </w:r>
    </w:p>
    <w:p>
      <w:pPr>
        <w:spacing w:after="0" w:line="200" w:lineRule="exact"/>
        <w:rPr>
          <w:sz w:val="20"/>
          <w:szCs w:val="20"/>
          <w:color w:val="auto"/>
        </w:rPr>
      </w:pP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jc w:val="both"/>
        <w:ind w:left="4" w:firstLine="644"/>
        <w:spacing w:after="0" w:line="252" w:lineRule="auto"/>
        <w:tabs>
          <w:tab w:leader="none" w:pos="9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(x) are and since December 31, 2022 have been in compliance with all, and have not violated any, applicable federal, state, local and foreign laws (including common law), rules, regulations, decisions, judgments, decrees, orders and other legally enforceable requirements relating to pollution, the protection of human health or safety, the environment, hazardous or toxic substances or wastes, chemicals, pollutants or contaminants (collectively, “</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or the protection of natural resources from Hazardous Substances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(y) have received and are and have been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Hazardous Substances, and have no Knowledge of any event or condition that would reasonably be expected to result in any such notice, liability, obligation or violation; and (ii) there are no costs, obligations or liabilities associated with Environmental Laws of or relating to the Company or any of its subsidiaries, except in the case of each of (i) and (ii) above, (1) as otherwise disclosed in the Registration Statement, the Disclosure Package or the Prospectus or (2) for any such matter as would not reasonably be expected to have a Material Adverse Effect; and (iii) except as described in the Registration Statement, the Disclosure Package or the Prospectus, (x) there is no proceeding that is pending, or to the Company’s Knowledge, that is contemplated, against the Company or any of its subsidiaries under any Environmental Laws in which a governmental entity is also a party, (y) the Company and its subsidiaries are not aware of any facts or issues regarding compliance with Environmental Laws that would reasonably be expected to have a material effect on the capital expenditures, earnings or competitive position of the Company and its subsidiaries, and (z) none of the Company or its subsidiaries anticipates any material capital expenditures relating to any Environmental Laws.</w:t>
      </w:r>
    </w:p>
    <w:p>
      <w:pPr>
        <w:spacing w:after="0" w:line="193" w:lineRule="exact"/>
        <w:rPr>
          <w:sz w:val="20"/>
          <w:szCs w:val="20"/>
          <w:color w:val="auto"/>
        </w:rPr>
      </w:pPr>
    </w:p>
    <w:p>
      <w:pPr>
        <w:jc w:val="both"/>
        <w:ind w:left="4" w:firstLine="644"/>
        <w:spacing w:after="0" w:line="253" w:lineRule="auto"/>
        <w:tabs>
          <w:tab w:leader="none" w:pos="99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employee benefit plan, within the meaning of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that is maintained, administered or contributed to by the Company or any of its subsidiaries for employees or former employees, directors or independent contractors of the Company, or under which the Company has had or has any present or future obligation or liability, has been maintained in material compliance with its terms and the requirements of any applicable laws, including but not limited to ERISA and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(ii)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(iii) no event has occurred (including a “reportable event” as such term is defined in Section 4043 of ERISA) and no condition exists that would subject the Company to any material tax, fine, lien, penalty, or liability imposed by ERISA, the Code or other applicable law;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89"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00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in the Registration Statement, the Disclosure Package or the Prospectus or where the failure to have any of the following would not reasonably be expected to have a Material Adverse Effect: (i) the Company and its subsidiaries own or have valid and enforceable rights to use all patents, trademarks, service marks, trade names, domain names and other source indicators, copyrights and copyrightable works, know-how (including trade secrets and other unpatented or unpatentable proprietary or confidential information, systems or procedures) and all other similar intellectual property, industrial property and proprietary rights (including all registrations and applications for registration of, and all goodwill associated with, the foregoing)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used in or necessary for the conduct of their respective businesses and as proposed to be conducted; (ii) the Company’s and its subsidiaries’ conduct of their respective businesses has not infringed, misappropriated or otherwise violated any Intellectual Property of any third party; (iii) the Company and its subsidiaries have not received any written notice and are not otherwise aware of any pending or threatened claim alleging infringement, misappropriation or other violation of any Intellectual Property of any third party, or challenging the validity, enforceability, scope or ownership of any Intellectual Property of the Company or its subsidiaries; (iv) to the Knowledge of the Company, no Intellectual Property owned by or exclusively licensed to the Company and its subsidiaries has been infringed, misappropriated or otherwise violated by any third party; (v) to the Knowledge of the Company, all Intellectual Property owned by or exclusively licensed to the Company and its subsidiaries is valid and enforceable in all material respects; and</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reasonable steps in accordance with normal industry practice to maintain the confidentiality of all Intellectual Property, the value of which to the Company or any of its subsidiaries is contingent upon maintaining the confidentiality thereof.</w:t>
      </w:r>
    </w:p>
    <w:p>
      <w:pPr>
        <w:spacing w:after="0" w:line="39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jc w:val="both"/>
        <w:ind w:left="-460" w:firstLine="644"/>
        <w:spacing w:after="0" w:line="256" w:lineRule="auto"/>
        <w:tabs>
          <w:tab w:leader="none" w:pos="5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in the Registration Statement, the Disclosure Package or the Prospectus, the Company and its subsidiaries have paid all Cayman Islands federal, state, local and foreign taxes and filed all tax returns required to be paid or filed through the date hereof except, in each case, where the failure to pay or file would not have a Material Adverse Effect; and except as otherwise disclosed in the Registration Statement, the Disclosure Package or the Prospectus, there is no tax deficiency that has been, or would reasonably be expected to be, asserted against the Company or any of its subsidiaries or any of their respective properties or assets, except a tax deficiency that would not have a Material Adverse Effect.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disclosed in the Registration Statement, the Disclosure Package or the Prospectus, the Company and the subsidiaries have insurance covering their respective material properties, operations, personnel and businesses, which insurance is in amounts and insures against such losses and risks as are appropriate and commercially reasonable (including reference to standard industry practice) to protect the Company and the subsidiaries and their respective businesses (which shall exclude business interruption insurance); and except as otherwise disclosed in the Registration Statement, the Disclosure Package or the Prospectus, neither the Company nor any of its subsidiaries has (i) received notice from any insurer or agent of such insurer that capital improvements or other expenditures are required or necessary to be made in order to continue such insurance or (ii) to the Company’s Knowledge, any reason to believe that it will not be able to renew its existing insurance coverage as and when such coverage expires or to obtain similar coverage from similar insurers as may be necessary to continue its business without a significant increase in cost other than increases in premium costs generally applicable to the types of insurance maintained by the Company. There is no material insurance claim made by or against the Company or any of its subsidiaries, pending, outstanding or threatened, and no facts or circumstances exist which would reasonably be expected to give rise to any such claim and all due premiums in respect thereof have been paid.</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officers and directors nor, to the Knowledge of the Company, its affiliates has taken, directly or indirectly, any action designed to or that might cause or result in stabilization or manipulation of the price of the Ordinary Shares or of any “reference security” (as defined in Rule 100 of Regulation M under the Exchange Act (“</w:t>
      </w: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with respect to the Ordinary Shares, whether to facilitate the sale of the Shares or otherwise, in each case that would violate Regulation M, and has taken no action which would directly or indirectly violate Regulation M.</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registered pursuant to Section 12(b)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received notice from Nasdaq to the effect that the Company is not in compliance with the listing or maintenance requirements of Nasdaq.</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any of the Company’s affiliates, any director, officer, nor, to the Knowledge of the Company, after due inquiry, agent, employee or other person associated with or acting on behalf of the Company or any of its subsidiaries, has in the course of its actions for, or on behalf of, the Company or any of its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domestic government official; or (iii) violated or is in violation of any provision of the FCPA, the Bribery Act 2010 of the United Kingdom, as amended (the “</w:t>
      </w:r>
      <w:r>
        <w:rPr>
          <w:rFonts w:ascii="Times New Roman" w:cs="Times New Roman" w:eastAsia="Times New Roman" w:hAnsi="Times New Roman"/>
          <w:sz w:val="18"/>
          <w:szCs w:val="18"/>
          <w:u w:val="single" w:color="auto"/>
          <w:color w:val="auto"/>
        </w:rPr>
        <w:t>Bribery Act 2010</w:t>
      </w:r>
      <w:r>
        <w:rPr>
          <w:rFonts w:ascii="Times New Roman" w:cs="Times New Roman" w:eastAsia="Times New Roman" w:hAnsi="Times New Roman"/>
          <w:sz w:val="18"/>
          <w:szCs w:val="18"/>
          <w:color w:val="auto"/>
        </w:rPr>
        <w:t>”), or any other applicable anti-corruption or anti-bribery statute or regulation. The Company and its subsidiaries and, to the Knowledge of the Company, the Company’s affiliates, have conducted their respective businesses in compliance with the FCPA, Bribery Act 2010, and all other applicable anti-corruption and anti-bribery statutes or regulations, and have instituted and maintain policies and procedures designed to ensure, and which are reasonably expected to ensure, continued compliance therewith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or anti-bribery laws.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left="-460" w:firstLine="644"/>
        <w:spacing w:after="0" w:line="252" w:lineRule="auto"/>
        <w:tabs>
          <w:tab w:leader="none" w:pos="5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information technology assets and equipment, computers, systems, networks, hardware, software, websites, applications, and databases (including the data of their respective customers, employees, suppliers, vendors and any third party data maintained by or on behalf of the Company and its subsidiaries)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to the Knowledge of the Company, its subsidiaries are free and clear of all material bugs, errors, defects, Trojan horses, time bombs, malware and other corruptants. The Company and its subsidiaries have implemented and maintained appropriate controls, policies, procedures, and safeguards necessary to maintain and protect their material confidential information and the integrity, continuous operation, redundancy and security of all IT Systems and data (including all personal, personally identifiable, sensitive, confidential or regulated data (collectively,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used in connection with their businesses. Without limiting the foregoing, the Company and its subsidiaries have used reasonable efforts to establish, maintain, implement and comply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and there has been no such Breach. The Company and its subsidiaries have not been notified of and have no Knowledge of any event or condition that would reasonably be expected to result in, any such Breach. This representation is limited in each case to the extent that such breach or noncompliance would not reasonably be expected to have a Material Adverse Effect, and except as otherwise disclosed in the Registration Statement, the Disclosure Package or the Prospectus.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complied, and are presently in compliance, in all material respects, with all internal and external privacy policies, contractual obligations, industry standards, applicable laws, statutes, judgments, orders, rules and regulations of any court or arbitrator or other governmental or regulatory authority and any legal obligations regarding the collection, use, transfer, import, export, storage, protection, disposal and disclosure by the Company and its subsidiaries of Data (“</w:t>
      </w:r>
      <w:r>
        <w:rPr>
          <w:rFonts w:ascii="Times New Roman" w:cs="Times New Roman" w:eastAsia="Times New Roman" w:hAnsi="Times New Roman"/>
          <w:sz w:val="18"/>
          <w:szCs w:val="18"/>
          <w:u w:val="single" w:color="auto"/>
          <w:color w:val="auto"/>
        </w:rPr>
        <w:t>Data Security Obligations</w:t>
      </w:r>
      <w:r>
        <w:rPr>
          <w:rFonts w:ascii="Times New Roman" w:cs="Times New Roman" w:eastAsia="Times New Roman" w:hAnsi="Times New Roman"/>
          <w:sz w:val="18"/>
          <w:szCs w:val="18"/>
          <w:color w:val="auto"/>
        </w:rPr>
        <w:t>”). Neither the Company nor any of its subsidiaries has received any notification of or complaint regarding, or have knowledge of any other facts that, individually or in the aggregate, would reasonably indicate non-compliance with any applicable Data Security Obligation in all material respects. There is no pending, or threatened, action, suit or proceeding by or before any court or governmental agency, authority or body pending or to the Knowledge of the Company, threatened alleging non-compliance with any applicable Data Security Obligation. The Company and its subsidiaries have at all times taken reasonable steps in accordance with industry standard practices to protect Data used in connection with their businesses against loss and against unauthorized access, use, modification, disclosure or other misuse. There has been no unauthorized access to such information. To the extent applicable to the operations of the Company and its subsidiaries, the Company and its subsidiaries are in material compliance with the European Union General Data Protection Regulation (and all other laws and regulations applicable to the operations of the Company and its subsidiaries with respect to Data).</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are and have been conducted at all times in compliance in all material respects with applicable financial record keeping and reporting requirements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that have been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jc w:val="both"/>
        <w:ind w:left="4" w:firstLine="644"/>
        <w:spacing w:after="0" w:line="266" w:lineRule="auto"/>
        <w:tabs>
          <w:tab w:leader="none" w:pos="100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sale and delivery of the Shares nor the application of the proceeds thereof by the Company as described in the Registration Statement, the Disclosure Package or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after due inquiry, any of the Company’s affiliates, any director, officer, agent, employee or affiliate of the Company or any of its subsidiaries is (i) currently the subject or the target of any sanctions administered or enforced by the Office of Foreign Assets Control of the U.S. Treasury Department, the U.S. Department of State,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or target of Sanctions (including, without limitation, Cuba, Iran, North Korea, Syria, the Crimea region of Ukraine, the so-called Donetsk People’s Republic and the so-called Luhansk People’s Republic); and the Company will not directly or indirectly use the proceeds of the offering, or lend, contribute or otherwise make available such proceeds to any subsidiary, joint venture partner or other person or entity, for the purpose of financing or facilitating the activities or business of any person, or in any country or territory, that at the time of such financing or facilitation and is the subject or target of Sanctions or in any other manner that will result in a violation by any person (including any person participating in the transaction whether as an underwriter, advisor, investor or otherwise) of Sanctions. Neither the Company nor any of its subsidiaries, nor any of their directors, officers, employees, or affiliates has violated any laws or regulations relating to economic sanctions, export controls, import, customs, or antiboycott laws, in each case only in their capacity acting for, on behalf of, or otherwise in relation to the Company or any of its subsidiaries. Each of the Company and its subsidiaries is and has been in possession of and in compliance with any and all licenses, registrations, and permits that may be required for its lawful conduct under any economic sanctions, import, and export control laws or regulations. The Company and each of its subsidiaries have not knowingly engaged in since April 24, 2019, are not now knowingly engaged in, and will not engage in, any dealings or transactions with any individual or entity, or in any country or territory, that at the time of the dealing or transaction, is or was the subject or target of Sanction. Each of the Company and its subsidiaries have instituted, and maintain, policies and procedures designed to promote and achieve compliance with Sanctions or applicable export control laws and regulations administered by the Bureau of Industry and Security, or other relevant authorities, including the Export Administration Regulations.</w:t>
      </w:r>
    </w:p>
    <w:p>
      <w:pPr>
        <w:spacing w:after="0" w:line="190"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12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any other financing arrangements the Company has entered into or may enter into from time to time and disclosed in the Registration Statement, the Disclosure Package or the Prospectus, no subsidiary of the Company is currently prohibited, directly or indirectly, under any applicable laws or regulations, or agreement or other instrument to which it is a party or is subject, from paying any dividends to the Company, from making any other distribution on such subsidiary’s capital shares or similar ownership interest, from repaying to the Company any loans or advances to such subsidiary from the Company or from transferring any of such subsidiary’s properties or assets to the Company or any other subsidiary of the Company except as would be reasonably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0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Cayman Islands stamp duty if the Transaction Documents are executed in, or brought to, the Cayman Islands (including being produced to a court of the Cayman Islands) in which case nominal stamp duty would be payable, no stamp duties or other issuance or transfer taxes are payable in the Cayman Islands or Singapore, or any political subdivision or taxing authority thereof solely in connection with (A) the execution, delivery and performance of the Transaction Documents, (B) the issuance and delivery of the Shares in the manner contemplated by this Agreement and the Purchase Agreements, or (C) the sale and delivery of the Shares as contemplated in the Purchase Agreements.</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 w:name="page17"/>
    <w:bookmarkEnd w:id="16"/>
    <w:p>
      <w:pPr>
        <w:jc w:val="both"/>
        <w:ind w:left="-460" w:firstLine="644"/>
        <w:spacing w:after="0" w:line="253" w:lineRule="auto"/>
        <w:tabs>
          <w:tab w:leader="none" w:pos="5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their properties or assets has immunity under Cayman Islands, U.S. federal or New York state law from any legal action, suit or proceeding, from the giving of any relief in any such legal action, suit or proceeding, from set-off or counterclaim, from the jurisdiction of any Cayman Islands,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waived or will waive, pursuant to Section 20 of this Agreement, and upon execution of the Purchase Agreements, pursuant to Section 4.10 of each Purchase Agreement, and it will cause its subsidiaries to waive, such right to the extent permitted by law.</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final and conclusive judgment for a fixed, definite or determined sum of money and not in respect of a tax, fine or other penalty rendered by any U.S. District Court and other courts of the United States in the State of New York having jurisdiction under its own laws in respect of any suit, action or proceeding against the Company based upon this Agreement which was not obtained by fraud and is not of a kind, the enforcement of which is contrary to public policy in the Cayman Islands would be enforceable against the Company by the courts of the Cayman Islands, without re-examination or re-litigation of the matters adjudicated upon.</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laws of the State of New York as the governing law of this Agreement is a valid choice of law under the laws of the Cayman Islands and will be recognized and upheld by the courts of the Cayman Islands, subject to exceptions including but not limited to fraud, public policy, and natural justice. The Company has the power to submit, and pursuant to Section 15 of this Agreement and Section 4.12 of each Purchase Agreement, has or upon execution and delivery of the Purchase Agreements by the Company, will have, legally, validly, effectively and irrevocably submitted, to the personal jurisdiction of each New York state and United States federal court sitting in the City of New York and has, or in the case of the Purchase Agreements, upon execution and delivery by the Company, will have, validly and irrevocably waived any objection to the laying of venue of any suit, action or proceeding brought in such court. The Company has the power to designate, appoint and empower, and pursuant to Section 15 of this Agreement and Section 4.13 of each Purchase Agreement, has, or in the case of the Purchase Agreements, upon execution and delivery by the Company, will have, legally, validly, effectively and irrevocably designated, appointed and empowered, an authorized agent for service of process in any action arising out of or relating to the Transaction Documents or the Transactions contemplated thereunder, in any New York Court, and service of process in any manner permitted by applicable laws effected on such authorized agent will be effective to confer valid personal jurisdiction over the Company as provided herein or in any other Transaction Document.</w:t>
      </w:r>
    </w:p>
    <w:p>
      <w:pPr>
        <w:spacing w:after="0" w:line="189" w:lineRule="exact"/>
        <w:rPr>
          <w:rFonts w:ascii="Times New Roman" w:cs="Times New Roman" w:eastAsia="Times New Roman" w:hAnsi="Times New Roman"/>
          <w:sz w:val="18"/>
          <w:szCs w:val="18"/>
          <w:color w:val="auto"/>
        </w:rPr>
      </w:pPr>
    </w:p>
    <w:p>
      <w:pPr>
        <w:ind w:left="460" w:hanging="276"/>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contribution provisions set forth in Section 11 hereof do not contravene Cayman Islands law.</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available to the Company at the time of the filing of the Form 20-F dated April 21, 2025, the Company believes that it was not a “passive foreign investment company” as defined in Section 1297 of the Code for the Company’s taxable year ended December 31, 2024.</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or enforceability of any of the Registration Statement, the Disclosure Package or the Prospectus, the Transaction Documents or the Shares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 Any final judgment for a fixed sum of money rendered by a New York Court having jurisdiction under its own domestic laws in respect of any suit, action or proceeding against the Company based upon the Transaction Documents would be recognized and enforced by Cayman courts without reexamining the merits of the case.</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 w:name="page18"/>
    <w:bookmarkEnd w:id="17"/>
    <w:p>
      <w:pPr>
        <w:jc w:val="both"/>
        <w:ind w:left="-460" w:firstLine="644"/>
        <w:spacing w:after="0" w:line="258" w:lineRule="auto"/>
        <w:tabs>
          <w:tab w:leader="none" w:pos="5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described in Section 15 hereof, the Placement Agent is entitled to sue as plaintiff in the court of the jurisdiction of formation and domicile of the Company for the enforcement of its rights under the Transaction Documents and the Shares and such access to such courts will not be subject to any conditions which are not applicable to residents of such jurisdiction or a company incorporated in such jurisdiction except that plaintiffs not residing in the Cayman Islands may be required to guarantee payment of a possible order for payment of costs or damages at the request of the defendant.</w:t>
      </w:r>
    </w:p>
    <w:p>
      <w:pPr>
        <w:spacing w:after="0" w:line="183"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“foreign private issuer” as defined in Rule 405 under the Act.</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relied upon the Placement Agent or legal counsel for the Placement Agent for any legal, tax or accounting advice in connection with the offering and sale of the Shares.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Act and Section 21E of the Exchange Act) contained in any of the Registration Statement, the Disclosure Package or the Prospectus or any “road show” (as defined in Rule 433 under the Act)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sent or received any communication regarding termination of, or, where applicable, intent not to renew, any of the material contracts or agreements referred to or described in the Registration Statement, the Disclosure Package or the Prospectus or filed as an exhibit to the Annual Report, and no such termination or nonrenewal has been threatened by the Company or any of its subsidiaries or, to the Knowledge of the Company, by any other party to any such contract or agreement.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Disclosure Package or the Prospectus,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w:t>
      </w:r>
    </w:p>
    <w:p>
      <w:pPr>
        <w:spacing w:after="0" w:line="183" w:lineRule="exact"/>
        <w:rPr>
          <w:sz w:val="20"/>
          <w:szCs w:val="20"/>
          <w:color w:val="auto"/>
        </w:rPr>
      </w:pPr>
    </w:p>
    <w:p>
      <w:pPr>
        <w:ind w:left="580" w:hanging="396"/>
        <w:spacing w:after="0"/>
        <w:tabs>
          <w:tab w:leader="none" w:pos="5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Section 13 or 15(d) of the Exchange Act.</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issued any debt securities that have been or are rated by any “nationally recognized statistical rating organization”, as defined in Section 3(a)(62) of the Exchange Act.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60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“disclosure controls and procedures” (as defined in Rule 13a-15(e) under the Exchange Act) that complies with the requirements of the Exchange Act and is designed to ensure that material information relating to the Company and its subsidiaries is made known to the Company’s management as appropriate. The Company has carried out evaluations of the effectiveness of its disclosure controls and procedures as required by Rule 13a-15 under the Exchange Act. The Company’s disclosure controls and procedures were effective as of December 31, 2023.</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63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Disclosure Package and the Prospectus under the headings “The Offering,” “Risk Factors,” “Description of Share Capital,” and “Taxation” insofar as such statements summarize legal matters, agreements, documents or proceedings discussed therein, are accurate and fair summaries of such legal matters, agreements, documents or proceedings in all material respects. The preceding sentence, insofar as it relates to statements in the Registration Statement, the Disclosure Package or the Prospectus under the heading “Plan of Distribution” does not apply to Placement Agent Information. The statements set forth in the Annual Report under the headings “Item 4. Information on the Company - B. Business Overview,” “Item 5. Operating and Financial Review and Prospects - A.- Operating Results - Liquidity and Capital Resources,” “Item 6. Directors, Senior Management and Employees - B. Compensation,” “Item 6. Directors, Senior Management and Employees - C. Board Practices,” “Item 8. Financial Information – A. Consolidated Statements and Other Financial Information - Legal Proceedings,” “Item 10. Additional Information - B. Memorandum and Articles of Association” and “Item 10. Additional Information - E. Taxation,” as supplemented or modified by the information included in the Disclosure Package and the Prospectus, and the statements set forth in Exhibit 99.1 filed as part of the interim report on Form 6-K as filed with the Commission on May 15, 2025, Exhibit 99.1 filed as part of the interim report on Form 6-K as filed with the Commission on August 19, 2025, and Exhibit 99.1 filed as part of the interim report on Form 6-K as filed with the Commission on November 10, 2025, insofar as such statements summarize legal matters, agreements, documents or proceedings discussed therein, are accurate and fair summaries of such legal matters, agreements, documents or proceedings in all material respects.</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left="-460" w:firstLine="644"/>
        <w:spacing w:after="0" w:line="261" w:lineRule="auto"/>
        <w:tabs>
          <w:tab w:leader="none" w:pos="5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statistical, industry and market-related data included or incorporated by reference in the Registration Statement, the Disclosure Package or the Prospectus are based on or derived from sources that the Company believes to be reliable and accurate, and such data agree with the sources from which they are derived. The Company has obtained written consents for the use of such data from such sources to the extent required as determined in the Company’s reasonable discretion.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Company’s directors and executive officers are not a party to any legal, governmental or regulatory proceedings that would result in such director or officer to be unsuitable for his or her position on the Company’s Board or in the Company.</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6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“Item 5. Operating and Financial Review and Prospects - A. Operating Results - Critical Accounting Policies and Significant Judgments and Estimates” in the Annual Report, as updated by the Registration Statement, the Disclosure Package or the Prospectus, fairly and accurately describes (i) material accounting policies that the Company believes are the most significant in the portrayal of the Company’s financial condition and results of operations and that require management’s most difficult, subjective or complex judgments, (ii) material judgments, estimates and uncertainties affecting the application of the foregoing critical accounting policies and (iii) the likelihood that different amounts would be reported under different conditions or using different assumptions and an explanation thereof (to the extent required to be so disclosed). The Company’s directors and management have reviewed and agreed with the selection, application and disclosure of the Company’s critical accounting policies as described in the Annual Report, the Registration Statement, the Disclosure Package or the Prospectus.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6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the Disclosure Package or the Prospectus fairly and accurately describe all material trends, demands, commitments and events known to the Company, that the Company believes would materially affect its liquidity and are reasonably likely to occur. The Registration Statement, the Disclosure Package or the Prospectus fairly and accurately describe in all material respects all off-balance sheet transactions, arrangements, commitments and obligations of the Company and its subsidiaries.</w:t>
      </w:r>
    </w:p>
    <w:p>
      <w:pPr>
        <w:spacing w:after="0" w:line="179"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ceased to be an issuer as described in Rule 144(i)(1)(i) of the Act on March 9, 2024.</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“legal entity customer” for the purposes of 31 CFR § 1010.230(e).</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6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(1) is a “covered foreign person,” as that term is defined in 31 C.F.R. 850.209 (“</w:t>
      </w:r>
      <w:r>
        <w:rPr>
          <w:rFonts w:ascii="Times New Roman" w:cs="Times New Roman" w:eastAsia="Times New Roman" w:hAnsi="Times New Roman"/>
          <w:sz w:val="18"/>
          <w:szCs w:val="18"/>
          <w:u w:val="single" w:color="auto"/>
          <w:color w:val="auto"/>
        </w:rPr>
        <w:t>Covered Foreign Person</w:t>
      </w:r>
      <w:r>
        <w:rPr>
          <w:rFonts w:ascii="Times New Roman" w:cs="Times New Roman" w:eastAsia="Times New Roman" w:hAnsi="Times New Roman"/>
          <w:sz w:val="18"/>
          <w:szCs w:val="18"/>
          <w:color w:val="auto"/>
        </w:rPr>
        <w:t>”), or (2) has plans to engage, directly or indirectly, make an investment, become a party of any joint venture, or other arrangement or engage in any other activity as a result of which the Company would be or become a Covered Foreign Person.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qualifications and assumptions as are set forth in the opinion of relevant local counsel for the Company, the Placement Agent is entitled to sue as plaintiffs in the courts of the jurisdiction of incorporation and domicile of the Company for the enforcement of its rights under this Agreement and such access to such courts will not be subject to any conditions which are not applicable to residents of such jurisdiction or a company incorporated in such jurisdiction, other than the requirement to post a bond or guarantee with respect to court costs and legal fees.</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jc w:val="both"/>
        <w:ind w:left="660" w:firstLine="644"/>
        <w:spacing w:after="0" w:line="266" w:lineRule="auto"/>
        <w:tabs>
          <w:tab w:leader="none" w:pos="19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this Agreement and as contemplated under the Transactions, neither the Company nor any of its subsidiaries has incurred any liability for any finder’s or broker’s fee or agent’s commission in connection with the offering, sale and delivery of the Shares or any other Transaction.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by the Company pursuant to the Purchase Agreements have been duly and validly authorized and, when issued and delivered against payment therefor as provided in the Purchase Agreements, will be duly and validly issued, fully paid, non-assessable and free of statutory and contractual preemptive rights, resale rights, rights of first refusal and similar rights and will be free of any restriction upon the voting or transfer thereof pursuant to Cayman Islands law or the Company’s memorandum and articles of association, charter or by-laws, similar organizational documents or any agreement or other instrument to which the Company is a party except as otherwise set forth in the Registration Statement, the Disclosure Package and the Prospectus.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has the right, contractual or otherwise, to cause the Company to register under the Act any Ordinary Shares, any other shares in the capital of the Company or other equity interests in the Company, or to include any such shares or interests in the Registration Statement or the offering contemplated thereby.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any certificate signed by any officer of the Company or any of its subsidiaries and delivered to the Placement Agent or counsel for the Placement Agent in connection with the offering of the Shares shall be deemed to be a representation and warranty by the Company or such subsidiary, as the case may be, as to matters covered thereby, to the Placement Agent.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i w:val="1"/>
          <w:iCs w:val="1"/>
          <w:color w:val="auto"/>
        </w:rPr>
        <w:t>. Certain Covenants of the Company</w:t>
      </w:r>
      <w:r>
        <w:rPr>
          <w:rFonts w:ascii="Times New Roman" w:cs="Times New Roman" w:eastAsia="Times New Roman" w:hAnsi="Times New Roman"/>
          <w:sz w:val="18"/>
          <w:szCs w:val="18"/>
          <w:color w:val="auto"/>
        </w:rPr>
        <w:t>. The Company agrees:</w:t>
      </w:r>
    </w:p>
    <w:p>
      <w:pPr>
        <w:spacing w:after="0" w:line="227" w:lineRule="exact"/>
        <w:rPr>
          <w:sz w:val="20"/>
          <w:szCs w:val="20"/>
          <w:color w:val="auto"/>
        </w:rPr>
      </w:pPr>
    </w:p>
    <w:p>
      <w:pPr>
        <w:jc w:val="both"/>
        <w:ind w:left="660" w:firstLine="644"/>
        <w:spacing w:after="0" w:line="256" w:lineRule="auto"/>
        <w:tabs>
          <w:tab w:leader="none" w:pos="15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such information as may be reasonably required and otherwise to cooperate in qualifying the Shares for offering and issue under the securities or blue sky laws of such states or other jurisdictions as you may designate; provided, however, that the Company shall not be required to qualify as a foreign corporation or to consent to the service of process under the laws of any such jurisdiction (except service of process with respect to the offering and issue of the Shares); and to promptly advise you of the receipt by the Company of any notification with respect to the suspension of the qualification of the Shares for offer or issue in any jurisdiction or the initiation or threatening of any proceeding for such purpose;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available to the Placement Agent in New York City, as soon as practicable after this Agreement becomes effective, and thereafter from time to time to furnish to the Placement Agent, as many copies of the Prospectus (or of the Prospectus as amended or supplemented if the Company shall have made any amendments or supplements thereto after the effective date of the Registration Statement) as the Placement Agent may reasonably request for the purposes contemplated by the Act; in case the Placement Agent is required to deliver (whether physically or through compliance with Rule 172 under the Act or any similar rule), in connection with the issue of the Shares, a prospectus after the nine-month period referred to in Section 10(a)(3) of the Act, the Company will prepare, at its expense, promptly upon reasonable request such amendment or amendments to the Registration Statement and the Prospectus as may be necessary to permit compliance with the requirements of Section 10(a)(3) of the Act;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this Agreement is executed and delivered, it is necessary or appropriate for a post-effective amendment to the Registration Statement to be filed with the Commission and become effective before the Shares may be issued, the Company will use its best efforts to cause such post-effective amendment to be filed and become effective, and will pay any applicable fees in accordance with the Act, as soon as possible; and the Company will advise you promptly and, if requested by you, will confirm such advice in writing, (i) when such post-effective amendment has become effective, and (ii) when the Prospectus is filed with the Commission pursuant to Rule 424(b) under the Act (which the Company agrees to file in a timely manner in accordance with such rule);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left="-460" w:firstLine="644"/>
        <w:spacing w:after="0" w:line="253" w:lineRule="auto"/>
        <w:tabs>
          <w:tab w:leader="none" w:pos="4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period when a prospectus is required by the Act to be delivered (whether physically or through compliance with Rule 172 under the Act or any similar rule) in connection with any issue of Shares, the Registration Statement shall cease to comply with the requirements of the Act with respect to eligibility for the use of the form on which the Registration Statement was filed with the Commission or the Registration Statement shall cease to be an “automatic shelf registration statement” (as defined in Rule 405 under the Act) or the Company shall have received, from the Commission, a notice, pursuant to Rule 401(g)(2), of objection to the use of the form on which the Registration Statement was filed with the Commission, to (i) promptly notify the Placement Agent, (ii) promptly file with the Commission a new registration statement under the Act, relating to the Shares, or a post-effective amendment to the Registration Statement, which new registration statement or post-effective amendment shall comply with the requirements of the Act and shall be in a form satisfactory to you, (iii) use its best efforts to cause such new registration statement or post-effective amendment to become effective under the Act as soon as practicable, (iv) promptly notify the Placement Agent of such effectiveness and (v) take all other action necessary or appropriate to permit the public offering and issue of the Shares to continue as contemplated in the Prospectus; all references herein to the Registration Statement shall be deemed to include each such new registration statement or post-effective amendment, if any;</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you promptly, confirming such advice in writing, of any request by the Commission for amendments or supplements to the Registration Statement, the Disclosure Package and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or the Prospectus, and to provide you and your counsel copies of any such documents for review and comment a reasonable amount of time prior to any proposed filing and to file no such amendment or supplement to which you shall have objected as soon as reasonably practicable in writing;</w:t>
      </w:r>
    </w:p>
    <w:p>
      <w:pPr>
        <w:spacing w:after="0" w:line="184" w:lineRule="exact"/>
        <w:rPr>
          <w:rFonts w:ascii="Times New Roman" w:cs="Times New Roman" w:eastAsia="Times New Roman" w:hAnsi="Times New Roman"/>
          <w:sz w:val="18"/>
          <w:szCs w:val="18"/>
          <w:color w:val="auto"/>
        </w:rPr>
      </w:pPr>
    </w:p>
    <w:p>
      <w:pPr>
        <w:jc w:val="both"/>
        <w:ind w:left="-460" w:firstLine="644"/>
        <w:spacing w:after="0" w:line="262" w:lineRule="auto"/>
        <w:tabs>
          <w:tab w:leader="none" w:pos="4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hereof, to file promptly all reports and documents and any preliminary or definitive proxy or information statement required to be filed by the Company with the Commission in order to comply with the Exchange Act for so long as a prospectus is required by the Act to be delivered (whether physically or through compliance with Rule 172 under the Act or any similar rule) in connection with any issue of Shares; and to promptly notify the Placement Agent of such filing;</w:t>
      </w:r>
    </w:p>
    <w:p>
      <w:pPr>
        <w:spacing w:after="0" w:line="180"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fees applicable to the Registration Statement in connection with the offering of the Shares within the time required by Rule 456(b)(1)(i) under the Act (without reliance on the proviso to Rule 456(b)(1)(i) under the Act) and in compliance with Rule 456(b) and Rule 457(r) under the Act;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the Placement Agent promptly of the happening of any event within the period during which a prospectus is required by the Act to be delivered (whether physically or through compliance with Rule 172 under the Act or any similar rule) in connection with any issue of Shares, which event could require the making of any change in the Prospectus then being used so that the Prospectus would not include an untrue statement of a material fact or omit to state a material fact necessary in order to make the statements therein, in the light of the circumstances under which they are made, not misleading, and to advise the Placement Agent promptly if, during such period, it shall become necessary to amend or supplement the Prospectus to cause the Prospectus to comply with the requirements of the Act, and, in each case, during such time, subject to Section 5(e)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hereof, to prepare and furnish, at the Company’s expense, to the Placement Agent promptly such amendments or supplements to such Prospectus as may be necessary to reflect any such change or to effect such compliance;</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 holders, and to deliver to you, an earnings statement of the Company which will satisfy the provisions of Section 11(a) of the Act and Rule 158, provided that (i) such delivery requirements to the Company’s security holders shall be deemed satisfied by the Company’s compliance with its reporting requirements pursuant to the Exchange Act if such compliance satisfies the conditions of Rule 158 and (ii) such delivery requirements to the Placement Agent shall be deemed met by the Company if the related reports are available on the Commission’s Electronic Data Gather,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 w:name="page22"/>
    <w:bookmarkEnd w:id="21"/>
    <w:p>
      <w:pPr>
        <w:ind w:firstLine="644"/>
        <w:spacing w:after="0" w:line="282" w:lineRule="auto"/>
        <w:tabs>
          <w:tab w:leader="none" w:pos="8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you copies of the Registration Statement, as initially filed with the Commission, and of all amendments thereto (including all exhibits thereto);</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Placement Agent, to prepare a final term sheet relating to the offering of the Shares, containing only information that describes the final terms of the offering in a form consented to by the Placement Agent, and to file a Permitted Pricing Terms Prospectus within the period required by Rule 424 under the Act following the date the final terms have been established for the offering of the Shares;</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8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to issue no press release or other communication directly or indirectly and hold no press conferences with respect to the Company or any of its subsidiaries, the financial condition, results of operations, business, properties, assets, or liabilities of the Company or any of its subsidiaries, or the offering of the Shares, without your prior consent which shall not be unreasonably withheld;</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at any time at or after the execution of this Agreement, to, directly or indirectly, offer or issue any Shares by means of any “prospectus” (within the meaning of the Act), or use any “prospectus” (within the meaning of the Act) in connection with the offer or issue of the Shares, in each case other than the Prospectus;</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and to cause its subsidiaries not to, take, directly or indirectly, any action designed, or which will constitute, or has constituted, or might reasonably be expected to cause or result in the stabilization or manipulation of the price of any security of the Company to facilitate the sale or resale of the Shares;</w:t>
      </w:r>
    </w:p>
    <w:p>
      <w:pPr>
        <w:spacing w:after="0" w:line="175"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 transfer agent and, if necessary under the jurisdiction of incorporation of the Company, a registrar for the Ordinary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w:t>
      </w:r>
    </w:p>
    <w:p>
      <w:pPr>
        <w:spacing w:after="0" w:line="206" w:lineRule="exact"/>
        <w:rPr>
          <w:rFonts w:ascii="Times New Roman" w:cs="Times New Roman" w:eastAsia="Times New Roman" w:hAnsi="Times New Roman"/>
          <w:sz w:val="18"/>
          <w:szCs w:val="18"/>
          <w:color w:val="auto"/>
        </w:rPr>
      </w:pPr>
    </w:p>
    <w:p>
      <w:pPr>
        <w:ind w:firstLine="644"/>
        <w:spacing w:after="0" w:line="282" w:lineRule="auto"/>
        <w:tabs>
          <w:tab w:leader="none" w:pos="93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proceeds from the issue of the Shares in the manner described in the Registration Statement, the Prospectus or any Permitted Pricing Terms Prospectus under the caption “Use of Proceeds.”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i w:val="1"/>
          <w:iCs w:val="1"/>
          <w:color w:val="auto"/>
        </w:rPr>
        <w:t>. Covenant to Pay Costs</w:t>
      </w:r>
      <w:r>
        <w:rPr>
          <w:rFonts w:ascii="Times New Roman" w:cs="Times New Roman" w:eastAsia="Times New Roman" w:hAnsi="Times New Roman"/>
          <w:sz w:val="18"/>
          <w:szCs w:val="18"/>
          <w:color w:val="auto"/>
        </w:rPr>
        <w:t>. The Company agrees:</w:t>
      </w:r>
    </w:p>
    <w:p>
      <w:pPr>
        <w:spacing w:after="0" w:line="227" w:lineRule="exact"/>
        <w:rPr>
          <w:sz w:val="20"/>
          <w:szCs w:val="20"/>
          <w:color w:val="auto"/>
        </w:rPr>
      </w:pPr>
    </w:p>
    <w:p>
      <w:pPr>
        <w:jc w:val="both"/>
        <w:ind w:firstLine="644"/>
        <w:spacing w:after="0" w:line="252" w:lineRule="auto"/>
        <w:tabs>
          <w:tab w:leader="none" w:pos="8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transactions contemplated by this Agreement are consummated or this Agreement is terminated, to pay all costs, expenses, fees and taxes in connection with (i) the preparation and filing of the Registration Statement, the Prospectus, the Permitted Pricing Terms Prospectus, any Written Testing-the-Waters Communication and any amendments or supplements thereto, and the printing and furnishing of copies of each thereof to the Placement Agent and to dealers (including costs of mailing and shipment) (other than legal fees and expenses of the Placement Agent’s counsel incurred in connection therewith), (ii) the registration, issue and delivery of the Shares, including any ordinary share or stamp or other issuance or transfer taxes or duties or other similar fees or charges imposed by any governmental authority payable on the issue or delivery of the Shares to the Purchasers, (iii) the producing, word processing and/or printing of this Agreement, any dealer agreements and any closing documents (including compilations thereof) and the reproduction and/or printing and furnishing of copies of each thereof to the Placement Agent and (except closing documents) to dealers (including costs of mailing and shipment), (iv) the qualification of the Shares for offering and issue under state or foreign laws and the determination of their eligibility for investment under state or foreign law (including the legal fees and filing fees and other disbursements of counsel for the Placement Agent in an amount not to exceed $35,000) and the printing and furnishing of copies of any blue sky surveys or legal investment surveys to the Placement Agent and to dealers, any listing of the Shares on any securities exchange or qualification of the Shares for quotation on Nasdaq and any registration thereof under the Exchange Act, and any filing for review of the public offering of the Shares by FINRA, (v) the fees and disbursements of any transfer agent or registrar for the Shares and (vi) the performance of the Company’s other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explicitly provided in this Agreement, the Placement Agent shall pay the costs and expenses incurred by it in connection with the offering of the Shares contemplated hereby, including the fees and expenses of its legal counsel.</w:t>
      </w: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ind w:left="840" w:hanging="184"/>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i w:val="1"/>
          <w:iCs w:val="1"/>
          <w:color w:val="auto"/>
        </w:rPr>
        <w:t>. Conditions of the Placement Agent’s Obligations</w:t>
      </w:r>
      <w:r>
        <w:rPr>
          <w:rFonts w:ascii="Times New Roman" w:cs="Times New Roman" w:eastAsia="Times New Roman" w:hAnsi="Times New Roman"/>
          <w:sz w:val="18"/>
          <w:szCs w:val="18"/>
          <w:color w:val="auto"/>
        </w:rPr>
        <w:t>. The obligations of the Placement Agent hereunder are subject to the accuracy of the representations and warranties on the part of the Company on the date hereof, the performance by the Company of its obligations hereunder (except as would have a de minimis effect) and to the following additional conditions precedent:</w:t>
      </w:r>
    </w:p>
    <w:p>
      <w:pPr>
        <w:spacing w:after="0" w:line="175" w:lineRule="exact"/>
        <w:rPr>
          <w:sz w:val="20"/>
          <w:szCs w:val="20"/>
          <w:color w:val="auto"/>
        </w:rPr>
      </w:pPr>
    </w:p>
    <w:p>
      <w:pPr>
        <w:jc w:val="both"/>
        <w:ind w:left="660" w:firstLine="644"/>
        <w:spacing w:after="0" w:line="258" w:lineRule="auto"/>
        <w:tabs>
          <w:tab w:leader="none" w:pos="15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you at the Closing Date (i) an opinion letter and a negative assurance letter of Cooley LLP, counsel for the Company, in form reasonably acceptable to the Placement Agent, (ii) an opinion of Ogier, Cayman counsel for the Company, in form reasonably acceptable to the Placement Agent, and (iii) an opinion of WongPartnership LLP, Singapore counsel for the Company, in form reasonably acceptable to the Placement Agent, in each case, addressed to the Placement Agent, and dated the Closing Date, with executed copies for the Placement Agent.</w:t>
      </w:r>
    </w:p>
    <w:p>
      <w:pPr>
        <w:spacing w:after="0" w:line="18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have received from MaloneBailey LLP letters dated, respectively, the date of this Agreement and the Closing Date and addressed to the Placement Agent in the forms reasonably satisfactory to the Placement Agent, which letters shall cover, without limitation, the various financial disclosures incorporated by reference in the Registration Statement, the Disclosure Package and the Prospectus.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you a certificate dated, respectively, the date of this Agreement and the Closing Date, of its Chief Financial Officer, to the effect that certain operating and financial data disclosed in the Registration Statement, Disclosure Package and the Prospectus have been derived from and verified against the Company’s accounting and business records, and he has no reason to believe that such data is not true and correct.</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have received at the Closing Date the favorable opinion of Goodwin Procter LLP, counsel for the Placement Agent, dated the Closing Date, in form and substance reasonably satisfactory to the Placement Agent.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have been filed and shall have become effective under the Act. The Prospectus and any Permitted Terms Pricing Prospectus shall have been filed with the Commission in accordance with the rules and regulations under the Act.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at the Closing Date, no stop order with respect to the effectiveness of the Registration Statement shall have been issued under the Act or proceedings initiated under Section 8(d) or 8(e) of the Act.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at the Closing Date, deliver to you a certificate of its duly authorized executive officer, dated as of the Closing Date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raised any objection with respect to the fairness or reasonableness of the arrangements of the transactions contemplated hereby.</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Date, the Shares shall have been approved for listing on Nasdaq, subject only to official notice of issuance.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have furnished to the Placement Agent such further certificates and documents as the Placement Agent may reasonably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i w:val="1"/>
          <w:iCs w:val="1"/>
          <w:color w:val="auto"/>
        </w:rPr>
        <w:t>. Effective Date of Agreement; Termination</w:t>
      </w:r>
      <w:r>
        <w:rPr>
          <w:rFonts w:ascii="Times New Roman" w:cs="Times New Roman" w:eastAsia="Times New Roman" w:hAnsi="Times New Roman"/>
          <w:sz w:val="18"/>
          <w:szCs w:val="18"/>
          <w:color w:val="auto"/>
        </w:rPr>
        <w:t>. This Agreement shall become effective when the parties hereto have executed and delivered this Agreement.</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Agreement shall be subject to termination in the absolute discretion of the Placement Agent, by prompt written notice given to the Company, if (1) since the time of execution of this Agreement there has been any change or any development involving a prospective change in the business, properties, management, financial condition or results of operations of the Company and its subsidiaries taken as a whole, except as disclosed in Registration Statement, the Disclosure Package and the Prospectus, the effect of which change or development is, in the judgment of the Placement Agent, so material and adverse as to make it impracticable or inadvisable to proceed with the public offering or the delivery of the Shares on the terms and in the manner contemplated in the Registration Statement, the Disclosure Package and the Prospectus, (2) at any time since the execution of this Agreement (i) there shall have occurred a suspension or material limitation in trading in the securities of the Company on Nasdaq or trading in any securities generally on the New York Stock Exchange or Nasdaq shall have been suspended or materially limited or minimum prices shall have been established on such exchange or the Nasdaq Stock Market; (ii) a commercial banking moratorium shall have been declared either by U.S. federal or New York State authorities or a material disruption shall have occurred in commercial banking or securities settlement or clearance services in the United States; or (iii) there shall have occurred any outbreak or escalation of hostilities, declaration by the United States of a national emergency or war or other calamity or crisis the effect of which on financial markets is such as to make it, in the judgment of the Placement Agent, impractical or inadvisable to proceed with the offering, sale or delivery of the Shares as contemplated in the Registration Statement, the Disclosure Package and the Prospectus or (3) since the time of execution of this Agreement, there shall have occurred any downgrading, or any notice or announcement shall have been given or made of: (A) any intended or potential downgrading or (B) any watch, review or possible change that does not indicate an affirmation or improvement in the rating accorded any securities of or guaranteed by the Company or any subsidiary by any “nationally recognized statistical rating organization” registered under Section 15E of the Exchange Act. If the issue to the Purchasers of the Shares, as contemplated by the Purchase Agreements, is not carried out because any Purchaser or the Company, as the case may be, shall be unable to comply with any of the terms of the Purchase Agreements, the Placement Agent shall be under no obligation or liability to the Company under this Agreement (except to the extent provided in Section 11 hereof).</w:t>
      </w:r>
    </w:p>
    <w:p>
      <w:pPr>
        <w:spacing w:after="0" w:line="189" w:lineRule="exact"/>
        <w:rPr>
          <w:sz w:val="20"/>
          <w:szCs w:val="20"/>
          <w:color w:val="auto"/>
        </w:rPr>
      </w:pPr>
    </w:p>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 and Contribution.</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51" w:lineRule="auto"/>
        <w:tabs>
          <w:tab w:leader="none" w:pos="155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(x) indemnify, defend and hold harmless the Placement Agent, its partners, directors, officers and members, any person who controls the Placement Agent within the meaning of Section 15 of the Act or Section 20 of the Exchange Act, and any “affiliate” (within the meaning of Rule 405 under the Act) of the Placement Agent, and the successors and assigns of all of the foregoing persons, from and against any loss, damage, expense, liability or claim (including the reasonable cost of investigation) which the Placement Agent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or any omission or alleged omission to state a material fact required to be stated therein or necessary to make the statements therein not misleading, except insofar as any such loss, damage, expense, liability or claim arises out of or is based upon any untrue statement or alleged untrue statement of a material fact made in reliance upon and in conformity with any Placement Agent Information or arises out of or is based upon any omission or alleged omission to state a material fact in the Registration Statement in connection with the Placement Agent Information, which material fact was not contained in the Placement Agent Information and which material fact was required to be stated in such Registration Statement or was necessary to make such information not misleading or (ii) any untrue statement or alleged untrue statement of a material fact included in any Prospectus (the term Prospectus for the purpose of this Section 11 being deemed to include the Base Prospectus, the Prospectus and any amendments or supplements to the foregoing), in any Permitted Terms Pricing Prospectus, in any Testing-the-Waters Communication, in any “issuer information” (as defined in Rule 433 under the Act) of the Company or in any Prospectus together with any combination of one or more of the Permitted Terms Pricing Prospectuses, if any, or any omission or alleged omission to state a material fact necessary in order to make the statements therein, in the light of the circumstances under which they were made, not misleading, except, with respect to such Prospectus or the Permitted Pricing Terms Prospectus, or any Testing-the-Waters Communication, insofar as any such loss, damage, expense, liability or claim arises out of or is based upon any untrue statement or alleged untrue statement of a material fact made in reliance upon and in conformity with any Placement Agent Information or arises out of or is based upon any omission or alleged omission to state a material fact in such Prospectus or Permitted Pricing Terms Prospectus in connection with the Placement Agent Information, which material fact was not contained in the Placement Agent Information and which material fact was necessary in order to make the statements in such information, in the light of the circumstances under which they were made, not misleading and (y) indemnify and hold harmless the Placement Agent, its affiliates, directors and officers and each person, if any, who controls the Placement Agent within the meaning of Section 15 of the Act or Section 20 of the Exchange Act, from and against any and all other losses, damages, liabilities or claims (or actions in respect thereof) that otherwise arise out of or are based upon or asserted against the Placement Agent, its affiliates, directors and officers and each person, if any, who controls the Placement Agent within the meaning of Section 15 of the Act or Section 20 of the Exchange Act, as applicable, by any person, including stockholders of the Company, in connection with or as a result of your acting as the Placement Agent in connection with the Share Purchases or that arise in connection with any other matter referred to in this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both"/>
        <w:ind w:left="-460" w:firstLine="644"/>
        <w:spacing w:after="0" w:line="252" w:lineRule="auto"/>
        <w:tabs>
          <w:tab w:leader="none" w:pos="4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agrees to indemnify, defend and hold harmless the Company and its subsidiaries, each of their respective directors and officers,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common law or otherwise, insofar as such loss, damage, expense, liability or claim arises out of or is based upon (i) any untrue statement or alleged untrue statement of a material fact made in reliance upon and in conformity with any Placement Agent Information or any omission or alleged omission to state a material fact in such Registration Statement in connection with the Placement Agent Information, which material fact was not contained in the Placement Agent Information and which material fact was required to be stated in such Registration Statement or was necessary to make such information, in light of the circumstances under which they were made, not misleading or (ii) any untrue statement or alleged untrue statement of a material fact made in reliance upon and in conformity with any Placement Agent Information or any omission or alleged omission to state a material fact in such Prospectus or Permitted Pricing Terms Prospectus or Testing-the-Waters Communication in connection with the Placement Agent Information, which material fact was not contained in the Placement Agent Information and which material fact was necessary in order to make the statements in such information, in the light of the circumstances under which they were made, not misleading.</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suit or proceeding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is brought against a person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respect of which indemnity may be sought against the Company or the Placement Agent (as applicable,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pursuant to subsection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respectively, of this Section 11, such indemnified party shall promptly notify such indemnifying party in writing of the institution of such Proceeding and such indemnifying party shall be entitled to assume the defense of such Proceeding, including the employment of counsel reasonably satisfactory to such indemnified party and payment of all fees and expenses; provided, however, that the omission to so notify such indemnifying party shall not relieve such indemnifying party from any liability which such indemnifying party may have to any indemnified party or otherwise unless and to the extent the indemnifying party did not otherwise learn of such Proceeding and such failure results in the forfeiture by the indemnifying party of substantive rights and defenses as determined by a final non-appealable judicial determination. The indemnified party or parties shall have the right to employ its or their own counsel in any such case, but the fees and expenses of such counsel shall be at the expense of such indemnified party or parties unless the employment of such counsel shall have been authorized in writing by the indemnifying party in connection with the defense of such Proceeding or the indemnifying party shall not have, within a reasonable period of time in light of the circumstances, employed counsel to defend such Proceeding or such indemnified party or parties shall have reasonably concluded that there may be defenses available to it or them which are different from, additional to or in conflict with those available to such indemnifying party (in which case such indemnifying party shall not have the right to direct the defense of such Proceeding on behalf of the indemnified party or parties), in any of which events such fees and expenses shall be borne by such indemnifying party and paid as incurred (it being understood, however, that such indemnifying party shall not be liable for the expenses of more than one separate counsel (in addition to any local counsel), in any one Proceeding or series of related Proceedings in the same jurisdiction representing the indemnified parties who are parties to such Proceeding). The indemnifying party shall not be liable for any settlement of any Proceeding effected without its written consent but, if settled with its written consent such indemnifying party agrees to indemnify and hold harmless the indemnified party or parties from and against any loss or liability by reason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or culpability or a failure to act by or on behalf of such indemnified party.</w:t>
      </w:r>
    </w:p>
    <w:p>
      <w:pPr>
        <w:spacing w:after="0" w:line="200" w:lineRule="exact"/>
        <w:rPr>
          <w:sz w:val="20"/>
          <w:szCs w:val="20"/>
          <w:color w:val="auto"/>
        </w:rPr>
      </w:pP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5" w:name="page26"/>
    <w:bookmarkEnd w:id="25"/>
    <w:p>
      <w:pPr>
        <w:jc w:val="both"/>
        <w:ind w:left="-460" w:firstLine="644"/>
        <w:spacing w:after="0" w:line="268" w:lineRule="auto"/>
        <w:tabs>
          <w:tab w:leader="none" w:pos="44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indemnification provided for in this Section 11 is unavailable to an indemnified party under subsections (a)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or (b)</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of this Section 11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indemnifying party on the one hand and the indemnified party on the other hand from the offering of the Shares or (ii) if the allocation provided by clause (i)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above is not permitted by applicable law, in such proportion as is appropriate to reflect not only the relative benefits referred to in clause (i)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above but also the relative fault of the indemnifying party on the one hand and of the indemnified party on the other in connection with the statements or omissions which resulted in such losses, damages, expenses, liabilities or claims, as well as any other relevant equitable considerations. The relative benefits received by the Company on the one hand and the Placement Agent on the other shall be deemed to be in the same respective proportions as the total proceeds from the offering (net of the placement fee but before deducting expenses) received by the Company and the placement fee received by the Placement Agent, bear to the aggregate public offering price of the Shares. The relative fault of the Company on the one hand and of the Placement Agent on the other shall be determined by reference to, among other things, whether the untrue statement or alleged untrue statement of a material fact or omission or alleged omission relates to information supplied by the Company or by the Placement Agent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83" w:lineRule="exact"/>
        <w:rPr>
          <w:rFonts w:ascii="Times New Roman" w:cs="Times New Roman" w:eastAsia="Times New Roman" w:hAnsi="Times New Roman"/>
          <w:sz w:val="17"/>
          <w:szCs w:val="17"/>
          <w:color w:val="auto"/>
        </w:rPr>
      </w:pPr>
    </w:p>
    <w:p>
      <w:pPr>
        <w:jc w:val="both"/>
        <w:ind w:left="-460" w:firstLine="644"/>
        <w:spacing w:after="0" w:line="255" w:lineRule="auto"/>
        <w:tabs>
          <w:tab w:leader="none" w:pos="4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Placement Agent agree that it would not be just and equitable if contribution pursuant to this Section 11 were determined by pro rata allocation or by any other method of allocation that does not take account of the equitable considerations referred to in subsection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 Notwithstanding the provisions of this Section 11, the Placement Agent shall not be required to contribute any amount in excess of the amount by which the total placement fee received by the Placement Agent exceeds the amount of any damages that the Placement Agent has otherwise been required to pay by reason of (i) such untrue statement or alleged untrue statement or omission or alleged omission or (ii) such loss, damage, expense, liability or claim (or action in respect thereof). No person guilty of fraudulent misrepresentation (within the meaning of Section 11(f) of the Act) shall be entitled to contribution from any person who was not guilty of such fraudulent misrepresentation.</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agreements contained in this Section 11 and the covenants, warranties and representations of the Company contained in this Agreement shall remain in full force and effect regardless of any investigation made by or on behalf of the Placement Agent, its partners, directors, officers or members or any person (including each partner, officer, director or member of such person) who controls the Placement Agent within the meaning of Section 15 of the Act or Section 20 of the Exchange Act, or by or on behalf of the Company, its directors or officers or any person who controls the Company within the meaning of Section 15 of the Act or Section 20 of the Exchange Act, and shall survive any termination of this Agreement or the issuance and delivery of Shares. the Company and the Placement Agent agree promptly to notify each other of the commencement of any Proceeding against it and, in the case of the Company, against any of its officers or directors in connection with the issuance of the Shares, or in connection with the Registration Statement, the Prospectus or the Permitted Pricing Terms Prospectus.</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6" w:name="page27"/>
    <w:bookmarkEnd w:id="26"/>
    <w:p>
      <w:pPr>
        <w:ind w:firstLine="648"/>
        <w:spacing w:after="0" w:line="284" w:lineRule="auto"/>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i w:val="1"/>
          <w:iCs w:val="1"/>
          <w:color w:val="auto"/>
        </w:rPr>
        <w:t>. Information Furnished by the Placement Agent</w:t>
      </w:r>
      <w:r>
        <w:rPr>
          <w:rFonts w:ascii="Times New Roman" w:cs="Times New Roman" w:eastAsia="Times New Roman" w:hAnsi="Times New Roman"/>
          <w:sz w:val="18"/>
          <w:szCs w:val="18"/>
          <w:color w:val="auto"/>
        </w:rPr>
        <w:t>. The name of the Placement Agent constitutes the only information furnished by or on behalf of the Placement Agent as “Placement Agent Information.”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i w:val="1"/>
          <w:iCs w:val="1"/>
          <w:color w:val="auto"/>
        </w:rPr>
        <w:t>. Notices</w:t>
      </w:r>
      <w:r>
        <w:rPr>
          <w:rFonts w:ascii="Times New Roman" w:cs="Times New Roman" w:eastAsia="Times New Roman" w:hAnsi="Times New Roman"/>
          <w:sz w:val="18"/>
          <w:szCs w:val="18"/>
          <w:color w:val="auto"/>
        </w:rPr>
        <w:t>. All communications hereunder will be in writing and effective only on receipt, and:</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the Placement Agent, shall be sent by hand delivery, mail, overnight courier or facsimile transmission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Syndicated Registration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a copy to</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James P. Barri</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to the Company, shall be sent by mail, telex, overnight courier or facsimile transmission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08 Kallang Avenue, Aperia Tower 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#09-03/04, Singapore 339509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CEO</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a copy to</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35th Floor, Two Exchange Square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Connaught Place, Central, Hong Kong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Will H. Cai</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i w:val="1"/>
          <w:iCs w:val="1"/>
          <w:color w:val="auto"/>
        </w:rPr>
        <w:t>. Governing Law; Construction</w:t>
      </w:r>
      <w:r>
        <w:rPr>
          <w:rFonts w:ascii="Times New Roman" w:cs="Times New Roman" w:eastAsia="Times New Roman" w:hAnsi="Times New Roman"/>
          <w:sz w:val="18"/>
          <w:szCs w:val="18"/>
          <w:color w:val="auto"/>
        </w:rPr>
        <w:t>. This Agreement and any transaction contemplated by this Agreement and any claim, controversy or dispute arising under or related to this Agreement shall be governed by and construed in accordance with the laws of the State of New York without regard to conflict of laws principles that would result in the application of any other law than the laws of the State of New York (other than Section 5-1401 of the General Obligations Law). The section headings in this Agreement have been inserted as a matter of convenience of reference and are not a part of this Agreement.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i w:val="1"/>
          <w:iCs w:val="1"/>
          <w:color w:val="auto"/>
        </w:rPr>
        <w:t>. Submission to Jurisdiction</w:t>
      </w:r>
      <w:r>
        <w:rPr>
          <w:rFonts w:ascii="Times New Roman" w:cs="Times New Roman" w:eastAsia="Times New Roman" w:hAnsi="Times New Roman"/>
          <w:sz w:val="18"/>
          <w:szCs w:val="18"/>
          <w:color w:val="auto"/>
        </w:rPr>
        <w:t>. The Company and the Placement Agent agree that any suit, action or proceeding arising out of or based upon this Agreement or the transactions contemplated hereby may be instituted in any State or U.S. federal court in The City of New York and County of New York, and waives any objection that such party may now or hereafter have to the laying of venue of any such proceeding, and irrevocably submits to the exclusive jurisdiction of such courts in any suit, action or proceeding. The Company irrevocably appointed Cogency Global Inc., located 122 E. 42nd Street, 18th Floor, New York, New York 10168, as its authorized agent in the State of New York, the City of New York and County of New York, upon which process may be served in any such suit or proceeding, and agrees that service of process upon such agent, and written notice of said service to the Company by the person serving the same to the address provided in Section 13,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seven years from the date of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8"/>
          <w:szCs w:val="18"/>
          <w:i w:val="1"/>
          <w:iCs w:val="1"/>
          <w:color w:val="auto"/>
        </w:rPr>
        <w:t>. Parties at Interest</w:t>
      </w:r>
      <w:r>
        <w:rPr>
          <w:rFonts w:ascii="Times New Roman" w:cs="Times New Roman" w:eastAsia="Times New Roman" w:hAnsi="Times New Roman"/>
          <w:sz w:val="18"/>
          <w:szCs w:val="18"/>
          <w:color w:val="auto"/>
        </w:rPr>
        <w:t>. This Agreement shall inure to the benefit of and be binding upon the Placement Agent, the Company, and their respective successors. This Agreement and the terms and provisions hereof are for the sole benefit of only those persons, except that the representations, warranties, indemnities and agreements of the Company contained in this Agreement shall also be deemed to be for the benefit of affiliates, directors, officers and employees of the Placement Agent and each person or persons, if any, controlling any Placement Agent within the meaning of Section 15 of the Act or Section 20 of the Exchange Act. Nothing in this Agreement is intended or shall be construed to give any person, other than the persons referred to in this Section 16, any legal or equitable right, remedy or claim under or in respect of this Agreement or any provision contained herein.</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i w:val="1"/>
          <w:iCs w:val="1"/>
          <w:color w:val="auto"/>
        </w:rPr>
        <w:t>. No Fiduciary Relationship</w:t>
      </w:r>
      <w:r>
        <w:rPr>
          <w:rFonts w:ascii="Times New Roman" w:cs="Times New Roman" w:eastAsia="Times New Roman" w:hAnsi="Times New Roman"/>
          <w:sz w:val="18"/>
          <w:szCs w:val="18"/>
          <w:color w:val="auto"/>
        </w:rPr>
        <w:t>. The Company acknowledges and agrees that in connection with this offering, or any other services the Placement Agent may be deemed to be providing hereunder, notwithstanding any preexisting relationship, advisory or otherwise, between the parties or any oral representations or assurances previously or subsequently made by the Placement Agent: (a) no fiduciary or agency relationship exists between the Company and any other person, on the one hand, and the Placement Agent, on the other hand; (b) the Placement Agent is not acting as advisors, expert or otherwise, to the Company, including, without limitation, with respect to the Transactions, and such relationship between the Company, on the one hand, and the Placement Agent, on the other hand, is entirely and solely commercial, based on arms-length negotiations; (c) any duties and obligations that the Placement Agent may have to the Company shall be limited to those duties and obligations specifically stated herein; (d) the Placement Agent and their respective affiliates may have interests that differ from those of the Company; and (e) the Company has consulted its own legal and financial advisors to the extent it deemed appropriate. The Company hereby waives any claims that the Company may have against the Placement Agent with respect to any breach of fiduciary duty in connection with the Transactions.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i w:val="1"/>
          <w:iCs w:val="1"/>
          <w:color w:val="auto"/>
        </w:rPr>
        <w:t>. Counterparts</w:t>
      </w:r>
      <w:r>
        <w:rPr>
          <w:rFonts w:ascii="Times New Roman" w:cs="Times New Roman" w:eastAsia="Times New Roman" w:hAnsi="Times New Roman"/>
          <w:sz w:val="18"/>
          <w:szCs w:val="18"/>
          <w:color w:val="auto"/>
        </w:rPr>
        <w:t>. This Agreement may be executed in one or more counterparts and, if executed in more than one counterpart, the executed counterparts shall each be deemed to be an original but all such counterparts shall together constitute one and the same instrument. Delivery of an executed Agreement by one party to any other party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8"/>
          <w:szCs w:val="18"/>
          <w:i w:val="1"/>
          <w:iCs w:val="1"/>
          <w:color w:val="auto"/>
        </w:rPr>
        <w:t>. Successors and Assigns</w:t>
      </w:r>
      <w:r>
        <w:rPr>
          <w:rFonts w:ascii="Times New Roman" w:cs="Times New Roman" w:eastAsia="Times New Roman" w:hAnsi="Times New Roman"/>
          <w:sz w:val="18"/>
          <w:szCs w:val="18"/>
          <w:color w:val="auto"/>
        </w:rPr>
        <w:t>. This Agreement shall be binding upon the Placement Agent and the Company and their successors and assigns and any successor or assign of any substantial portion of the Company’s and the Placement Agent’s respective businesses and/or assets.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i w:val="1"/>
          <w:iCs w:val="1"/>
          <w:color w:val="auto"/>
        </w:rPr>
        <w:t>. Waiver of Immunities</w:t>
      </w:r>
      <w:r>
        <w:rPr>
          <w:rFonts w:ascii="Times New Roman" w:cs="Times New Roman" w:eastAsia="Times New Roman" w:hAnsi="Times New Roman"/>
          <w:sz w:val="18"/>
          <w:szCs w:val="18"/>
          <w:color w:val="auto"/>
        </w:rPr>
        <w:t>. To the extent that the Company or any of its properties, assets or revenues may have or may hereafter become entitled to, or have attributed to it, any right of immunity, on the grounds of sovereignty, from any legal action, suit or proceeding, from set-off or counterclaim, from the jurisdiction of any court, from service of process, from attachment upon or prior to judgment, or from attachment in aid of execution of judgment, or from execution of judgment, or other legal process or proceeding for the giving of any relief or for the enforcement of any judgment, in any jurisdiction in which proceedings may at any time be commenced, with respect to their obligations, liabilities or any other matter under or arising out of or in connection with this Agreement, the Company hereby irrevocably and unconditionally, to the extent permitted by applicable law, waives and agrees not to plead or claim any such immunity and consents to such relief and enforcement.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i w:val="1"/>
          <w:iCs w:val="1"/>
          <w:color w:val="auto"/>
        </w:rPr>
        <w:t>. Foreign Taxes</w:t>
      </w:r>
      <w:r>
        <w:rPr>
          <w:rFonts w:ascii="Times New Roman" w:cs="Times New Roman" w:eastAsia="Times New Roman" w:hAnsi="Times New Roman"/>
          <w:sz w:val="18"/>
          <w:szCs w:val="18"/>
          <w:color w:val="auto"/>
        </w:rPr>
        <w:t>. All payments by the Company to the Placement Agent hereunder shall be made free and clear of, and without deduction or withholding for or on account of, any and all present and future income, stamp or other taxes, levies, imposts, duties, charges, fees, deductions or withholdings, now or hereinafter imposed, levied, collected, withheld or assessed by any jurisdiction in which the Company is organized, resident, doing business or has an office from which payment is made or deemed to be made, excluding (i) any such tax imposed by reason of the Placement Agent having some connection with the taxing jurisdiction other than its participation as the Placement Agent hereunder and (ii) any income or franchise tax on the overall net income of the Placement Agent imposed by the United States, by the State of New York or any other state thereof, or the District of Columbia, or any political subdivision or territory of the United States, of any state thereof, of the District of Columbia or of the State of New York (all such non-excluded taxes, “</w:t>
      </w:r>
      <w:r>
        <w:rPr>
          <w:rFonts w:ascii="Times New Roman" w:cs="Times New Roman" w:eastAsia="Times New Roman" w:hAnsi="Times New Roman"/>
          <w:sz w:val="18"/>
          <w:szCs w:val="18"/>
          <w:u w:val="single" w:color="auto"/>
          <w:color w:val="auto"/>
        </w:rPr>
        <w:t>Foreign Taxes</w:t>
      </w:r>
      <w:r>
        <w:rPr>
          <w:rFonts w:ascii="Times New Roman" w:cs="Times New Roman" w:eastAsia="Times New Roman" w:hAnsi="Times New Roman"/>
          <w:sz w:val="18"/>
          <w:szCs w:val="18"/>
          <w:color w:val="auto"/>
        </w:rPr>
        <w:t>”). If the Company is prevented by operation of law or otherwise from paying, causing to be paid or remitting that portion of amounts payable hereunder represented by Foreign Taxes withheld or deducted, then amounts payable under this Agreement shall, to the extent permitted by law, be increased to such amount as is necessary to yield and remit to the Placement Agent an amount which, after deduction of all Foreign Taxes (including all Foreign Taxes payable on such increased payments) equals the amount that would have been payable if no Foreign Taxes applied.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i w:val="1"/>
          <w:iCs w:val="1"/>
          <w:color w:val="auto"/>
        </w:rPr>
        <w:t>. Judgment Currency</w:t>
      </w:r>
      <w:r>
        <w:rPr>
          <w:rFonts w:ascii="Times New Roman" w:cs="Times New Roman" w:eastAsia="Times New Roman" w:hAnsi="Times New Roman"/>
          <w:sz w:val="18"/>
          <w:szCs w:val="18"/>
          <w:color w:val="auto"/>
        </w:rPr>
        <w:t>. The obligation of the Company pursuant to this Agreement in respect of any sum due to the Placement Agent shall, notwithstanding any judgment in a currency other than United States dollars, not be discharged until the first business day, following receipt by the Placement Agent of any sum adjudged to be so due in such other currency, on which (and only to the extent that) the Placement Agent may in accordance with normal banking procedures purchase United States dollars with such other currency; if the United States dollars so purchased are less than the sum originally due to the Placement Agent hereunder, the Company agrees, as a separate obligation and notwithstanding any such judgment, to indemnify the Placement Agent against such loss. If the United States dollars so purchased are greater than the sum originally due to the Placement Agent hereunder, the Placement Agent agrees to pay to the Company an amount equal to the excess of the dollars so purchased over the sum originally due to the Placement Agent hereunder.</w:t>
      </w:r>
    </w:p>
    <w:p>
      <w:pPr>
        <w:spacing w:after="0" w:line="185" w:lineRule="exact"/>
        <w:rPr>
          <w:sz w:val="20"/>
          <w:szCs w:val="20"/>
          <w:color w:val="auto"/>
        </w:rPr>
      </w:pPr>
    </w:p>
    <w:p>
      <w:pPr>
        <w:ind w:left="920" w:hanging="264"/>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VAT.</w:t>
      </w:r>
    </w:p>
    <w:p>
      <w:pPr>
        <w:spacing w:after="0" w:line="227" w:lineRule="exact"/>
        <w:rPr>
          <w:sz w:val="20"/>
          <w:szCs w:val="20"/>
          <w:color w:val="auto"/>
        </w:rPr>
      </w:pPr>
    </w:p>
    <w:p>
      <w:pPr>
        <w:jc w:val="both"/>
        <w:ind w:left="660" w:firstLine="644"/>
        <w:spacing w:after="0" w:line="261" w:lineRule="auto"/>
        <w:tabs>
          <w:tab w:leader="none" w:pos="156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by the Company pursuant to this Agreement are exclusive of any value added tax (“</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Accordingly, if any payment by the Company pursuant to this Agreement constitutes the consideration for a taxable supply for VAT purposes, then, in addition to that payment, the Company shall pay an amount equal to any VAT chargeable on such supply subject, where applicable, to the receipt of a valid VAT invoice by the Company.</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under the terms of this Agreement the Company is liable to pay, indemnify or reimburse the Placement Agent in respect of any costs, charges or expenses, the payment shall include an amount equal to any VAT thereon not recoverable by the Placement Agent or any group of which the Placement Agent is a member for VAT purposes.</w:t>
      </w:r>
    </w:p>
    <w:p>
      <w:pPr>
        <w:spacing w:after="0" w:line="17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Placement Agent is a Covered Entity subject to a proceeding under a U.S. Special Resolution Regime, the transfer from the Placement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Placement Agent is a Covered Entity or a BHC Act Affiliate of the Placement Agent becomes subject to a proceeding under a U.S. Special Resolution Regime, Default Rights under this Agreement that may be exercised against the Placement Agent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2160" w:hanging="208"/>
        <w:spacing w:after="0"/>
        <w:tabs>
          <w:tab w:leader="none" w:pos="2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 Frank Wall Street Reform and Consumer Protection Act and the regulations promulgated thereunder.</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i w:val="1"/>
          <w:iCs w:val="1"/>
          <w:color w:val="auto"/>
        </w:rPr>
        <w:t>. Miscellaneous</w:t>
      </w:r>
      <w:r>
        <w:rPr>
          <w:rFonts w:ascii="Times New Roman" w:cs="Times New Roman" w:eastAsia="Times New Roman" w:hAnsi="Times New Roman"/>
          <w:sz w:val="18"/>
          <w:szCs w:val="18"/>
          <w:color w:val="auto"/>
        </w:rPr>
        <w:t>. In accordance with the requirements of the USA Patriot Act (Title III of Pub. L. 107-56 (signed into law October 26, 2001)), the Placement Agent are required to obtain, verify and record information that identifies its clients, including the Company, which information may include the name and address of its clients, as well as other information that will allow the Placement Agent to properly identify their clients.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Placement Agent, please so indicate in the space provided below for that purpose, whereupon this Agreement and your acceptance shall constitute a binding agreement between the Company and the Placement Agent.</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Jihan Wu</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Chairman of the Board and Chief Executive</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7"/>
          <w:szCs w:val="17"/>
          <w:color w:val="auto"/>
        </w:rPr>
        <w:t>The foregoing Agreement is hereby confirmed and accepted as of the date first above written.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Barclays Capital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Faiz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26403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Faiz Khan</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Prospectus dated December 18, 2024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333-283732</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10,661,140 ORDINARY SHARES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pricing term sheet of Bitdeer Technologies Group (“BTDR” or the “Issuer”) relates only to the registered direct offering of its ordinary shares described in, and should be read together with, the preliminary prospectus supplement, dated November 12, 2025 (the “Preliminary Prospectus Supplement”), which supplements the prospectus included in Issuer’s Registration Statement on Form F-3 (File No. 333-283732), as filed with the U.S. Securities and Exchange Commission (the “SEC”), before deciding to invest in the ordinary shares offered thereby. Terms used and not defined herein have the meanings assigned in the Preliminary Prospectus Supplement.</w:t>
      </w:r>
    </w:p>
    <w:p>
      <w:pPr>
        <w:sectPr>
          <w:pgSz w:w="11900" w:h="16838" w:orient="portrait"/>
          <w:cols w:equalWidth="0" w:num="1">
            <w:col w:w="11240"/>
          </w:cols>
          <w:pgMar w:left="320" w:top="900" w:right="339" w:bottom="1440" w:gutter="0" w:footer="0" w:header="0"/>
        </w:sectPr>
      </w:pP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Ticker / Exchange for Class A ordinary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Offered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Last Reported Sale Price of Class A ordinary shares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12, 2025</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1116965</wp:posOffset>
            </wp:positionV>
            <wp:extent cx="17830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 Technologies Group, a Cayman Islands exempted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BTDR / Nasdaq Capital Market (“Nasdaq”)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10,661,140 Class A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2025 (T+4)</w:t>
      </w:r>
      <w:r>
        <w:rPr>
          <w:rFonts w:ascii="Times New Roman" w:cs="Times New Roman" w:eastAsia="Times New Roman" w:hAnsi="Times New Roman"/>
          <w:sz w:val="29"/>
          <w:szCs w:val="29"/>
          <w:color w:val="auto"/>
          <w:vertAlign w:val="superscript"/>
        </w:rPr>
        <w:t>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$13.94 per Class A ordinary share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$13.94 per Class A ordinary share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that the net proceeds from the offering of our Class A ordinary shares will be approximately US$148.4 million, after deducting our estimated offering expenses payable by us. We estimate that the net proceeds from the Concurrent Note Offering (as defined below) will be approximately US$388.0 million (or approximately US$446.4 million if the initial purchasers in the Concurrent Note Offering exercise their option to purchase additional New Convertible Notes in full), after deducting initial purchasers’ discounts and estimated offering expenses payable by us.</w:t>
      </w:r>
    </w:p>
    <w:p>
      <w:pPr>
        <w:spacing w:after="0" w:line="200" w:lineRule="exact"/>
        <w:rPr>
          <w:sz w:val="20"/>
          <w:szCs w:val="20"/>
          <w:color w:val="auto"/>
        </w:rPr>
      </w:pPr>
    </w:p>
    <w:p>
      <w:pPr>
        <w:sectPr>
          <w:pgSz w:w="11900" w:h="16838" w:orient="portrait"/>
          <w:cols w:equalWidth="0" w:num="2">
            <w:col w:w="5500" w:space="220"/>
            <w:col w:w="5520"/>
          </w:cols>
          <w:pgMar w:left="320" w:top="900" w:right="339" w:bottom="1440" w:gutter="0" w:footer="0" w:header="0"/>
          <w:type w:val="continuous"/>
        </w:sectPr>
      </w:pPr>
    </w:p>
    <w:p>
      <w:pPr>
        <w:spacing w:after="0" w:line="32" w:lineRule="exact"/>
        <w:rPr>
          <w:sz w:val="20"/>
          <w:szCs w:val="20"/>
          <w:color w:val="auto"/>
        </w:rPr>
      </w:pPr>
    </w:p>
    <w:p>
      <w:pPr>
        <w:jc w:val="both"/>
        <w:ind w:left="340" w:hanging="332"/>
        <w:spacing w:after="0" w:line="224" w:lineRule="auto"/>
        <w:tabs>
          <w:tab w:leader="none" w:pos="34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Under Rule 15c6-1 under the Securities Exchange Act of 1934, as amended (the “Exchange Act”), trades in the secondary market generally are required to settle in one business day, unless the parties to any such trade expressly agree otherwise. Accordingly, purchasers who wish to trade the Class A ordinary shares prior to the business day preceding the settlement date will be required, by virtue of the fact that the notes initially will settle T+4, to specify an alternate settlement cycle at the time of any such trade to prevent a failed settlement. Purchasers of the Class A ordinary shares who wish to trade the shares prior to the business day preceding the settlement date should consult their own advisors.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We intend to use the net proceeds from this offering and the Concurrent</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Note Offering: (i) to pay the approximately US$35.4 million cost of the</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capped call transactions referred to in the preliminary prospectus that we</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entered into with the option counterparties; and (ii) to pay the approximately</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US$267.9  million  cost  of  repurchasing  for  cash  approximately</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US$200.0 million aggregate principal amount of the November 2029 notes</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in the Concurrent Note Repurchases. We intend to use the remaining net</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proceeds from this offering and the Concurrent Note Offering for datacenter</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expansion,  ASIC-based  mining  rig  development  and  manufacture,</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expansion of our HPC and AI cloud business, as well as working capital and</w:t>
            </w:r>
          </w:p>
        </w:tc>
      </w:tr>
      <w:tr>
        <w:trPr>
          <w:trHeight w:val="234"/>
        </w:trPr>
        <w:tc>
          <w:tcPr>
            <w:tcW w:w="4320" w:type="dxa"/>
            <w:vAlign w:val="bottom"/>
          </w:tcPr>
          <w:p>
            <w:pPr>
              <w:spacing w:after="0"/>
              <w:rPr>
                <w:sz w:val="20"/>
                <w:szCs w:val="20"/>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other general corporate purposes.</w:t>
            </w:r>
          </w:p>
        </w:tc>
      </w:tr>
      <w:tr>
        <w:trPr>
          <w:trHeight w:val="414"/>
        </w:trPr>
        <w:tc>
          <w:tcPr>
            <w:tcW w:w="4320" w:type="dxa"/>
            <w:vAlign w:val="bottom"/>
          </w:tcPr>
          <w:p>
            <w:pPr>
              <w:spacing w:after="0"/>
              <w:rPr>
                <w:sz w:val="24"/>
                <w:szCs w:val="24"/>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If the initial purchasers in the Concurrent Note Offering exercise their</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option to purchase additional New Convertible Notes (as defined below), we</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intend to use net proceeds from the sale of the additional New Convertible</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Notes to enter into additional capped call transactions with the option</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counterparties and the remaining net proceeds for datacenter expansion,</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ASIC-based mining rig development and manufacture, expansion of our</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HPC and AI cloud business, as well as working capital and other general</w:t>
            </w:r>
          </w:p>
        </w:tc>
      </w:tr>
      <w:tr>
        <w:trPr>
          <w:trHeight w:val="234"/>
        </w:trPr>
        <w:tc>
          <w:tcPr>
            <w:tcW w:w="4320" w:type="dxa"/>
            <w:vAlign w:val="bottom"/>
          </w:tcPr>
          <w:p>
            <w:pPr>
              <w:spacing w:after="0"/>
              <w:rPr>
                <w:sz w:val="20"/>
                <w:szCs w:val="20"/>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corporate purposes as described above.</w:t>
            </w:r>
          </w:p>
        </w:tc>
      </w:tr>
      <w:tr>
        <w:trPr>
          <w:trHeight w:val="414"/>
        </w:trPr>
        <w:tc>
          <w:tcPr>
            <w:tcW w:w="4320" w:type="dxa"/>
            <w:vAlign w:val="bottom"/>
          </w:tcPr>
          <w:p>
            <w:pPr>
              <w:spacing w:after="0"/>
              <w:rPr>
                <w:sz w:val="24"/>
                <w:szCs w:val="24"/>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See  “Use  of  Proceeds”  in  the  preliminary  prospectus  for  additional</w:t>
            </w:r>
          </w:p>
        </w:tc>
      </w:tr>
      <w:tr>
        <w:trPr>
          <w:trHeight w:val="234"/>
        </w:trPr>
        <w:tc>
          <w:tcPr>
            <w:tcW w:w="4320" w:type="dxa"/>
            <w:vAlign w:val="bottom"/>
          </w:tcPr>
          <w:p>
            <w:pPr>
              <w:spacing w:after="0"/>
              <w:rPr>
                <w:sz w:val="20"/>
                <w:szCs w:val="20"/>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information.</w:t>
            </w:r>
          </w:p>
        </w:tc>
      </w:tr>
      <w:tr>
        <w:trPr>
          <w:trHeight w:val="414"/>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Concurrent Convertible Notes Offering</w:t>
            </w:r>
            <w:r>
              <w:rPr>
                <w:rFonts w:ascii="Times New Roman" w:cs="Times New Roman" w:eastAsia="Times New Roman" w:hAnsi="Times New Roman"/>
                <w:sz w:val="18"/>
                <w:szCs w:val="18"/>
                <w:color w:val="auto"/>
              </w:rPr>
              <w:t>:</w:t>
            </w: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Concurrently with the offering of Class A ordinary shares, we are offering</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(the “Concurrent Note Offering”) US$400,000,000 aggregate principal</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amount of 4.00% convertible senior notes due 2031 (the “New Convertible</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Notes”) (or up to US$460,000,000 aggregate principal amount of New</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Convertible Notes if the initial purchasers in such offering exercise in full</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their option to purchase additional New Convertible Notes). The Concurrent</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Note  Offering  is  being  made  pursuant  to  a  confidential  offering</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memorandum (and not pursuant to the prospectus supplement or this pricing</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term sheet) only to persons reasonably believed to be qualified institutional</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buyers (as defined in Rule 144A under the Securities Act) in transactions</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that are exempt from the registration and prospectus-delivery requirements</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of the Securities Act. The prospectus supplement and this pricing term sheet</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do not constitute an offer to sell, or the solicitation of an offer to buy, any of</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the New Convertible Notes, or the Class A ordinary shares, if any, issuable</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upon conversion of the New Convertible Notes. The completion of the</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offering of Class A ordinary shares is contingent on the completion of the</w:t>
            </w:r>
          </w:p>
        </w:tc>
      </w:tr>
      <w:tr>
        <w:trPr>
          <w:trHeight w:val="234"/>
        </w:trPr>
        <w:tc>
          <w:tcPr>
            <w:tcW w:w="4320" w:type="dxa"/>
            <w:vAlign w:val="bottom"/>
          </w:tcPr>
          <w:p>
            <w:pPr>
              <w:spacing w:after="0"/>
              <w:rPr>
                <w:sz w:val="20"/>
                <w:szCs w:val="20"/>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Concurrent Note Offering.</w:t>
            </w:r>
          </w:p>
        </w:tc>
      </w:tr>
      <w:tr>
        <w:trPr>
          <w:trHeight w:val="414"/>
        </w:trPr>
        <w:tc>
          <w:tcPr>
            <w:tcW w:w="4320" w:type="dxa"/>
            <w:vAlign w:val="bottom"/>
          </w:tcPr>
          <w:p>
            <w:pPr>
              <w:spacing w:after="0"/>
              <w:rPr>
                <w:sz w:val="24"/>
                <w:szCs w:val="24"/>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Subject to satisfaction of certain conditions and during certain periods, the</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New Convertible Notes may be converted at an initial conversion rate of</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56.2635 Class A ordinary shares per US$1,000 principal amount of New</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Convertible  Notes  (equivalent  to  an  initial  conversion  price  of</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approximately US$17.77 per Class A ordinary share). The conversion rate is</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subject to adjustment if certain events occur. Notwithstanding anything to</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the contrary, in no event will the conversion rate be increased to an amount</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that exceeds 71.7360 Class A ordinary shares per $1,000 principal amount</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of New Convertible Notes, which amount is subject to adjustment in the</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same manner as, and at the same time and for the same events for which, the</w:t>
            </w:r>
          </w:p>
        </w:tc>
      </w:tr>
      <w:tr>
        <w:trPr>
          <w:trHeight w:val="216"/>
        </w:trPr>
        <w:tc>
          <w:tcPr>
            <w:tcW w:w="4320" w:type="dxa"/>
            <w:vAlign w:val="bottom"/>
          </w:tcPr>
          <w:p>
            <w:pPr>
              <w:spacing w:after="0"/>
              <w:rPr>
                <w:sz w:val="18"/>
                <w:szCs w:val="18"/>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conversion  rate is  required  to be adjusted  pursuant  to the indenture</w:t>
            </w:r>
          </w:p>
        </w:tc>
      </w:tr>
      <w:tr>
        <w:trPr>
          <w:trHeight w:val="234"/>
        </w:trPr>
        <w:tc>
          <w:tcPr>
            <w:tcW w:w="4320" w:type="dxa"/>
            <w:vAlign w:val="bottom"/>
          </w:tcPr>
          <w:p>
            <w:pPr>
              <w:spacing w:after="0"/>
              <w:rPr>
                <w:sz w:val="20"/>
                <w:szCs w:val="20"/>
                <w:color w:val="auto"/>
              </w:rPr>
            </w:pPr>
          </w:p>
        </w:tc>
        <w:tc>
          <w:tcPr>
            <w:tcW w:w="6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governing the notes.</w:t>
            </w:r>
          </w:p>
        </w:tc>
      </w:tr>
      <w:tr>
        <w:trPr>
          <w:trHeight w:val="682"/>
        </w:trPr>
        <w:tc>
          <w:tcPr>
            <w:tcW w:w="43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Concurrent Note Repurchase Transactions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the offering of Class A ordinary shares, we entered into privately negotiated transactions with certain holders of our November 2029 notes to repurchase for cash approximately US$200.0 million in aggregate principal amount of the November 2029 notes for approximately US$267.9 million (including accrued and unpaid interest).</w:t>
      </w:r>
    </w:p>
    <w:p>
      <w:pPr>
        <w:spacing w:after="0" w:line="183" w:lineRule="exact"/>
        <w:rPr>
          <w:sz w:val="20"/>
          <w:szCs w:val="20"/>
          <w:color w:val="auto"/>
        </w:rPr>
      </w:pPr>
    </w:p>
    <w:p>
      <w:pPr>
        <w:sectPr>
          <w:pgSz w:w="11900" w:h="16838" w:orient="portrait"/>
          <w:cols w:equalWidth="0" w:num="2">
            <w:col w:w="5000" w:space="720"/>
            <w:col w:w="5520"/>
          </w:cols>
          <w:pgMar w:left="320" w:top="927" w:right="339" w:bottom="1440" w:gutter="0" w:footer="0" w:header="0"/>
        </w:sectPr>
      </w:pPr>
    </w:p>
    <w:p>
      <w:pPr>
        <w:ind w:left="5720"/>
        <w:spacing w:after="0"/>
        <w:rPr>
          <w:sz w:val="20"/>
          <w:szCs w:val="20"/>
          <w:color w:val="auto"/>
        </w:rPr>
      </w:pPr>
      <w:r>
        <w:rPr>
          <w:rFonts w:ascii="Times New Roman" w:cs="Times New Roman" w:eastAsia="Times New Roman" w:hAnsi="Times New Roman"/>
          <w:sz w:val="18"/>
          <w:szCs w:val="18"/>
          <w:color w:val="auto"/>
        </w:rPr>
        <w:t>In connection with the concurrent note repurchase transactions, we expect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that holders of the November 2029 notes who have agreed to have their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November 2029 notes repurchased and who have hedged their equity price</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risk with respect to such notes (the “hedged holders”) will unwind all or part</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of their hedge positions by buying our Class A ordinary shares and/or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entering into or unwinding various derivative transactions with respect to</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our Class A ordinary shares. The amount of our Class A ordinary shares to</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be purchased by the hedged holders or in connection with such derivative</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transactions may be substantial in relation to the historic average daily</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trading volume of our Class A ordinary shares. This activity by the hedged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holders could increase (or reduce the size of any decrease in) the market</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price of our Class A ordinary shares, including concurrently with the pricing</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of the notes. We cannot predict the magnitude of such market activity or the</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overall effect it will have on the price of the notes offered hereby or our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Class A ordinary shares. See the section titled “Risk Factors—Risks Related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to the Concurrent Notes Offering and the Existing Notes—Any repurchases</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of the November 2029 notes may affect the value of our Class A ordinary</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shares.” Each of the prospectus supplement and this pricing term sheet does</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not constitute an offer to buy, or the solicitation of an offer to sell, any of</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our  November  2029  notes.  The  completion  of  the  concurrent  note</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repurchase transactions is contingent upon the completion of the offering of</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Class A ordinary shares and the Concurrent Note Offering.</w:t>
      </w:r>
    </w:p>
    <w:p>
      <w:pPr>
        <w:sectPr>
          <w:pgSz w:w="11900" w:h="16838" w:orient="portrait"/>
          <w:cols w:equalWidth="0" w:num="1">
            <w:col w:w="11240"/>
          </w:cols>
          <w:pgMar w:left="320" w:top="927"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 Price: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cap price of the capped call transactions referred to in the preliminary prospectus that we entered into with the option counterparties will initially be US$27.88 per share, which represents a premium of 100% above the offering price per share in the offering of our Class A ordinary shares.</w:t>
      </w:r>
    </w:p>
    <w:p>
      <w:pPr>
        <w:spacing w:after="0" w:line="95" w:lineRule="exact"/>
        <w:rPr>
          <w:sz w:val="20"/>
          <w:szCs w:val="20"/>
          <w:color w:val="auto"/>
        </w:rPr>
      </w:pPr>
    </w:p>
    <w:p>
      <w:pPr>
        <w:sectPr>
          <w:pgSz w:w="11900" w:h="16838" w:orient="portrait"/>
          <w:cols w:equalWidth="0" w:num="2">
            <w:col w:w="5000" w:space="720"/>
            <w:col w:w="5520"/>
          </w:cols>
          <w:pgMar w:left="320" w:top="927" w:right="339" w:bottom="1440" w:gutter="0" w:footer="0" w:header="0"/>
          <w:type w:val="continuous"/>
        </w:sect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THE OFFERING. YOU MAY GET THESE DOCUMENTS FOR FREE BY VISITING EDGAR ON THE SEC WEBSITE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EXECUTIVE OFFICERS’ CERTIFICATE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Jihan Wu, Chief Executive Officer of Bitdeer Technologies Group, an exempted company incorporated under the laws of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does hereby certify pursuant to Section 8(h) of that certain Placement Agency Agreement, dated November 12, 2025 (the “</w:t>
      </w:r>
      <w:r>
        <w:rPr>
          <w:rFonts w:ascii="Times New Roman" w:cs="Times New Roman" w:eastAsia="Times New Roman" w:hAnsi="Times New Roman"/>
          <w:sz w:val="18"/>
          <w:szCs w:val="18"/>
          <w:b w:val="1"/>
          <w:bCs w:val="1"/>
          <w:color w:val="auto"/>
        </w:rPr>
        <w:t>Placement Agency Agreement</w:t>
      </w:r>
      <w:r>
        <w:rPr>
          <w:rFonts w:ascii="Times New Roman" w:cs="Times New Roman" w:eastAsia="Times New Roman" w:hAnsi="Times New Roman"/>
          <w:sz w:val="18"/>
          <w:szCs w:val="18"/>
          <w:color w:val="auto"/>
        </w:rPr>
        <w:t>”), between the Company and Barclays Capital Inc., as placement agent, that as of November 19, 2025:</w:t>
      </w:r>
    </w:p>
    <w:p>
      <w:pPr>
        <w:spacing w:after="0" w:line="176" w:lineRule="exact"/>
        <w:rPr>
          <w:sz w:val="20"/>
          <w:szCs w:val="20"/>
          <w:color w:val="auto"/>
        </w:rPr>
      </w:pPr>
    </w:p>
    <w:p>
      <w:pPr>
        <w:ind w:left="840" w:hanging="184"/>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reviewed the Disclosure Package and the Prospectus and any amendment or supplement to the Disclosure Package and the Prospectus.</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as set forth in the Placement Agency Agreement are true and correct in all material respects as of the date hereof and as if made on the date hereof, and the Company has complied in all material respects with all the agreements and satisfied all the conditions on its part to be performed or satisfied under the Placement Agency Agreement at or before the date 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incorporated by reference in the Disclosure Package and the Prospectus (exclusive of any amendment or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amendment or supplement thereto).</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of the Shares pursuant to the Purchase Agreements have not been enjoined (temporarily or permanently).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Terms defined in the Placement Agency Agreement and not otherwise defined herein, are used herein as therein defined.</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immediately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tabs>
          <w:tab w:leader="none" w:pos="6080" w:val="left"/>
        </w:tabs>
        <w:rPr>
          <w:sz w:val="20"/>
          <w:szCs w:val="20"/>
          <w:color w:val="auto"/>
        </w:rPr>
      </w:pPr>
      <w:r>
        <w:rPr>
          <w:rFonts w:ascii="Times New Roman" w:cs="Times New Roman" w:eastAsia="Times New Roman" w:hAnsi="Times New Roman"/>
          <w:sz w:val="18"/>
          <w:szCs w:val="18"/>
          <w:color w:val="auto"/>
        </w:rPr>
        <w:t>IN WITNESS WHEREOF, the undersigned have hereunto set their hands on this [</w:t>
      </w:r>
      <w:r>
        <w:rPr>
          <w:sz w:val="20"/>
          <w:szCs w:val="20"/>
          <w:color w:val="auto"/>
        </w:rPr>
        <w:tab/>
      </w:r>
      <w:r>
        <w:rPr>
          <w:rFonts w:ascii="Times New Roman" w:cs="Times New Roman" w:eastAsia="Times New Roman" w:hAnsi="Times New Roman"/>
          <w:sz w:val="17"/>
          <w:szCs w:val="17"/>
          <w:color w:val="auto"/>
        </w:rPr>
        <w:t>  ]</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November,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241935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7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Jihan Wu</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980" w:top="908" w:right="53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6060" w:type="dxa"/>
            <w:vAlign w:val="bottom"/>
            <w:gridSpan w:val="3"/>
          </w:tcPr>
          <w:p>
            <w:pPr>
              <w:jc w:val="center"/>
              <w:ind w:right="5090"/>
              <w:spacing w:after="0"/>
              <w:rPr>
                <w:sz w:val="20"/>
                <w:szCs w:val="20"/>
                <w:color w:val="auto"/>
              </w:rPr>
            </w:pPr>
            <w:r>
              <w:rPr>
                <w:rFonts w:ascii="Times New Roman" w:cs="Times New Roman" w:eastAsia="Times New Roman" w:hAnsi="Times New Roman"/>
                <w:sz w:val="18"/>
                <w:szCs w:val="18"/>
                <w:b w:val="1"/>
                <w:bCs w:val="1"/>
                <w:color w:val="auto"/>
              </w:rPr>
              <w:t>Annex A</w:t>
            </w:r>
          </w:p>
        </w:tc>
      </w:tr>
      <w:tr>
        <w:trPr>
          <w:trHeight w:val="392"/>
        </w:trPr>
        <w:tc>
          <w:tcPr>
            <w:tcW w:w="5180" w:type="dxa"/>
            <w:vAlign w:val="bottom"/>
          </w:tcPr>
          <w:p>
            <w:pPr>
              <w:spacing w:after="0"/>
              <w:rPr>
                <w:sz w:val="24"/>
                <w:szCs w:val="24"/>
                <w:color w:val="auto"/>
              </w:rPr>
            </w:pPr>
          </w:p>
        </w:tc>
        <w:tc>
          <w:tcPr>
            <w:tcW w:w="6060" w:type="dxa"/>
            <w:vAlign w:val="bottom"/>
            <w:gridSpan w:val="3"/>
          </w:tcPr>
          <w:p>
            <w:pPr>
              <w:jc w:val="center"/>
              <w:ind w:right="5090"/>
              <w:spacing w:after="0"/>
              <w:rPr>
                <w:sz w:val="20"/>
                <w:szCs w:val="20"/>
                <w:color w:val="auto"/>
              </w:rPr>
            </w:pPr>
            <w:r>
              <w:rPr>
                <w:rFonts w:ascii="Times New Roman" w:cs="Times New Roman" w:eastAsia="Times New Roman" w:hAnsi="Times New Roman"/>
                <w:sz w:val="18"/>
                <w:szCs w:val="18"/>
                <w:color w:val="auto"/>
                <w:w w:val="99"/>
              </w:rPr>
              <w:t>Subsidiaries</w:t>
            </w:r>
          </w:p>
        </w:tc>
      </w:tr>
      <w:tr>
        <w:trPr>
          <w:trHeight w:val="236"/>
        </w:trPr>
        <w:tc>
          <w:tcPr>
            <w:tcW w:w="5180" w:type="dxa"/>
            <w:vAlign w:val="bottom"/>
            <w:tcBorders>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p>
        </w:tc>
      </w:tr>
      <w:tr>
        <w:trPr>
          <w:trHeight w:val="187"/>
        </w:trPr>
        <w:tc>
          <w:tcPr>
            <w:tcW w:w="5180" w:type="dxa"/>
            <w:vAlign w:val="bottom"/>
            <w:tcBorders>
              <w:lef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5180" w:type="dxa"/>
            <w:vAlign w:val="bottom"/>
            <w:tcBorders>
              <w:right w:val="single" w:sz="8" w:color="auto"/>
            </w:tcBorders>
          </w:tcPr>
          <w:p>
            <w:pPr>
              <w:jc w:val="center"/>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of Incorporation or</w:t>
            </w:r>
          </w:p>
        </w:tc>
      </w:tr>
      <w:tr>
        <w:trPr>
          <w:trHeight w:val="238"/>
        </w:trPr>
        <w:tc>
          <w:tcPr>
            <w:tcW w:w="5180" w:type="dxa"/>
            <w:vAlign w:val="bottom"/>
            <w:tcBorders>
              <w:left w:val="single" w:sz="8" w:color="auto"/>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6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09"/>
        </w:trPr>
        <w:tc>
          <w:tcPr>
            <w:tcW w:w="518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spacing w:after="0"/>
              <w:rPr>
                <w:sz w:val="18"/>
                <w:szCs w:val="18"/>
                <w:color w:val="auto"/>
              </w:rPr>
            </w:pP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Bitdeer Gedu Private Limited</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Bhutan</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Sharpening Technology Limited</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Singapura Technologies Limited</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Bitdeer Bhutan Equipment Limited</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Bitdeer Equipment (Canada) Inc.</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Bitdeer Technologies Holding Company</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8"/>
              </w:rPr>
              <w:t>Cayman Islands</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Bitdeer Technologies Limited</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Hong Kong</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Tosummer Technologies HK Limited</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Hong Kong</w:t>
            </w: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Bitdeer Netherlands B.V.</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Bitdeer Norway AS</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Norway</w:t>
            </w: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Norway Hash Technologies AS</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Norway</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Norwegian AI Technology AS</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Norway</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Bitdeer Inc.</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Asia Freeport Holdings Pte. Ltd.</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Singapore</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 Freeport Real Estate Pte. Ltd.</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Singapore</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 Freeport Management Pte. Ltd.</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Singapore</w:t>
            </w: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Bitdeer Semiconductor Technology Pte. Ltd.</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Singapore</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Straitdeer Pte. Ltd.</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Singapore</w:t>
            </w: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Carpenter Creek. LLC</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 Creek, LLC</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Dory Creek, LLC</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 Engineers, LLC</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09"/>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Bitdeer Sales (USA) Inc.</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10"/>
        </w:trPr>
        <w:tc>
          <w:tcPr>
            <w:tcW w:w="5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Brock Creek LLC</w:t>
            </w:r>
          </w:p>
        </w:tc>
        <w:tc>
          <w:tcPr>
            <w:tcW w:w="46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648"/>
        </w:trPr>
        <w:tc>
          <w:tcPr>
            <w:tcW w:w="5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1528445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November 17, 2025</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4.00% Convertible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1963420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216"/>
        </w:trPr>
        <w:tc>
          <w:tcPr>
            <w:tcW w:w="200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86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200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1.01</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1.02</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References to Interest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68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Issue, Description, Execution, Registration and Exchange of Notes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200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2.01</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Designation and Amount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2.02</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Form of Notes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2.03</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Date and Denomination of Notes; Payments of Interest and Defaulted Amounts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2.04</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Execution, Authentication and Delivery of Notes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2.05</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Exchange and Registration of Transfer of Notes; Restrictions on Transfer; Depositary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2.06</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Mutilated, Destroyed, Lost or Stolen Notes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2.07</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Temporary Notes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2.08</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Cancellation of Notes Paid, Converted, Etc.</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2.09</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CUSIP Numbers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2.10</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Additional Notes; Repurchases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06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Satisfaction and Discharge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0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3.01</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Satisfaction and Discharge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06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Particular Covenants of the Company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0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4.01</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Payment of Principal and Interest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4.02</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Maintenance of Office or Agency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4.03</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Appointments to Fill Vacancies in Trustee’s Office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4.04</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Provisions as to Paying Agent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4.05</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Existence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4.06</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Rule 144A Information Requirement and Annual Reports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4.07</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Stay, Extension and Usury Laws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4.08</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Compliance Certificate; Statements as to Defaults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4.09</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Further Instruments and Acts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4.10</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Additional Amounts.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68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Lists of Holders and Reports by the Company and the Trustee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200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5.01</w:t>
            </w:r>
          </w:p>
        </w:tc>
        <w:tc>
          <w:tcPr>
            <w:tcW w:w="868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Lists of Holders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2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5.02</w:t>
            </w: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Preservation and Disclosure of Lists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9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6.01</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Events of Default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6.02</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Acceleration; Rescission and Annulment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6.03</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Additional Interest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6.04</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Payments of Notes on Default; Suit Therefor</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6.05</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Application of Monies Collected by Trustee</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6.06</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Proceedings by Holders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6.07</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Proceedings by Trustee</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6.08</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Remedies Cumulative and Continuing</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6.09</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Direction of Proceedings and Waiver of Defaults by Majority of Holders</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6.10</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Notice of Defaults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6.11</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Undertaking to Pay Costs</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2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9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7.01</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Duties and Responsibilities of Trustee</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7.02</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Reliance on Documents, Opinions, Etc.</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7.03</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No Responsibility for Recitals, Etc.</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7.04</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Trustee, Paying Agents, Conversion Agents, Bid Solicitation Agent or Note Registrar May Own Notes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7.05</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Monies and Ordinary Shares to Be Held in Trust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7.06</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Compensation and Expenses of Trustee</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7.07</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Officer’s Certificate as Evidence</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7.08</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Eligibility of Trustee</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7.09</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Resignation or Removal of Trustee</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7.10</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Acceptance by Successor Trustee</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7.11</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Succession by Merger, Etc.</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7.12</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Trustee’s Application for Instructions from the Company</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2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Holders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92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8.01</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Action by Holders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8.02</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Proof of Execution by Holders</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8.03</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Who Are Deemed Absolute Owners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8.04</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Company-Owned Notes Disregarded</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8.05</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Revocation of Consents; Future Holders Bound</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22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10220" w:type="dxa"/>
            <w:vAlign w:val="bottom"/>
            <w:gridSpan w:val="2"/>
          </w:tcPr>
          <w:p>
            <w:pPr>
              <w:jc w:val="center"/>
              <w:ind w:right="7850"/>
              <w:spacing w:after="0"/>
              <w:rPr>
                <w:sz w:val="20"/>
                <w:szCs w:val="20"/>
                <w:color w:val="auto"/>
              </w:rPr>
            </w:pPr>
            <w:r>
              <w:rPr>
                <w:rFonts w:ascii="Times New Roman" w:cs="Times New Roman" w:eastAsia="Times New Roman" w:hAnsi="Times New Roman"/>
                <w:sz w:val="18"/>
                <w:szCs w:val="18"/>
                <w:color w:val="auto"/>
                <w:w w:val="99"/>
              </w:rPr>
              <w:t>ARTICLE 9 Holders’ Meetings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92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9.01</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Purpose of Meetings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9.02</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Call of Meetings by Trustee</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9.03</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Call of Meetings by Company or Holders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9.04</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Qualifications for Voting</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9.05</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Regulations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9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9.06</w:t>
            </w:r>
          </w:p>
        </w:tc>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Voting</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36"/>
        </w:trPr>
        <w:tc>
          <w:tcPr>
            <w:tcW w:w="19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Section 9.07</w:t>
            </w:r>
          </w:p>
        </w:tc>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No Delay of Rights by Meeting</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 Supplemental Indentures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9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10.01</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Amendments or Supplemental Indentures Without Consent of Holders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10.02</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Amendments or Supplemental Indentures with Consent of Holders</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10.03</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Effect of Supplemental Indentures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10.04</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Notation on Notes</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10.05</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Evidence of Compliance of Supplemental Indenture to Be Furnished to Trustee</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3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0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11 Consolidation, Merger and Sale of Assets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9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11.01</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When Company May Merge, Etc.</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11.02</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Successor Entity to Be Substituted</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38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Shareholders, Officers and Directors</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96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12.01</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Indenture and Notes Solely Corporate Obligations</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38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[Intentionally Omitted]</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38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Conversion of Notes</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96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14.01</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Conversion Privilege</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14.02</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Conversion Procedure; Settlement Upon Conversion</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14.03</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Adjustment to Conversion Rate Upon Conversion Upon a Make-Whole Fundamental Change</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14.04</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Adjustment to Conversion Rate upon Conversion in Connection with a Redemption</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14.05</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Adjustment of Conversion Rate</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14.06</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Adjustments of Prices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14.07</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Shares To Be Fully Paid</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14.08</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Effect of Recapitalizations, Reclassifications and Changes of the Class A Ordinary Shares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14.09</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Certain Covenants</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14.10</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Responsibility of Trustee</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14.11</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[Intentionally Omitted]</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14.12</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Shareholder Rights Plans</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14.13</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Exchange in Lieu of Conversion</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380" w:type="dxa"/>
            <w:vAlign w:val="bottom"/>
            <w:gridSpan w:val="2"/>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15 Repurchase of Notes at Option of Holders</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96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15.01</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Repurchase at Option of Holders on November 20, 2029</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15.02</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Repurchase at Option of Holders Upon a Fundamental Change</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15.03</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Withdrawal of Fundamental Change Repurchase Notice or Specified Repurchase Date Repurchase Notice</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15.04</w:t>
            </w:r>
          </w:p>
        </w:tc>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Deposit of Fundamental Change Repurchase Price</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r>
      <w:tr>
        <w:trPr>
          <w:trHeight w:val="236"/>
        </w:trPr>
        <w:tc>
          <w:tcPr>
            <w:tcW w:w="1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Section 15.05</w:t>
            </w:r>
          </w:p>
        </w:tc>
        <w:tc>
          <w:tcPr>
            <w:tcW w:w="84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Covenant to Comply with Applicable Laws Upon Repurchase of Notes</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16 Optional Redemption, Cleanup Redemption and Tax Redemption</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90</w:t>
            </w:r>
          </w:p>
        </w:tc>
      </w:tr>
      <w:tr>
        <w:trPr>
          <w:trHeight w:val="216"/>
        </w:trPr>
        <w:tc>
          <w:tcPr>
            <w:tcW w:w="2200" w:type="dxa"/>
            <w:vAlign w:val="bottom"/>
            <w:gridSpan w:val="2"/>
          </w:tcPr>
          <w:p>
            <w:pPr>
              <w:spacing w:after="0"/>
              <w:rPr>
                <w:sz w:val="18"/>
                <w:szCs w:val="18"/>
                <w:color w:val="auto"/>
              </w:rPr>
            </w:pPr>
          </w:p>
        </w:tc>
        <w:tc>
          <w:tcPr>
            <w:tcW w:w="79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16.01</w:t>
            </w:r>
          </w:p>
        </w:tc>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Optional Redemption</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90</w:t>
            </w:r>
          </w:p>
        </w:tc>
      </w:tr>
      <w:tr>
        <w:trPr>
          <w:trHeight w:val="216"/>
        </w:trPr>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16.02</w:t>
            </w:r>
          </w:p>
        </w:tc>
        <w:tc>
          <w:tcPr>
            <w:tcW w:w="7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Cleanup Redemption</w:t>
            </w:r>
          </w:p>
        </w:tc>
        <w:tc>
          <w:tcPr>
            <w:tcW w:w="10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91</w:t>
            </w:r>
          </w:p>
        </w:tc>
      </w:tr>
      <w:tr>
        <w:trPr>
          <w:trHeight w:val="216"/>
        </w:trPr>
        <w:tc>
          <w:tcPr>
            <w:tcW w:w="2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16.03</w:t>
            </w:r>
          </w:p>
        </w:tc>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Tax Redemption</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92</w:t>
            </w:r>
          </w:p>
        </w:tc>
      </w:tr>
      <w:tr>
        <w:trPr>
          <w:trHeight w:val="216"/>
        </w:trPr>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16.04</w:t>
            </w:r>
          </w:p>
        </w:tc>
        <w:tc>
          <w:tcPr>
            <w:tcW w:w="7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Payment of Notes Called for Redemption</w:t>
            </w:r>
          </w:p>
        </w:tc>
        <w:tc>
          <w:tcPr>
            <w:tcW w:w="10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94</w:t>
            </w:r>
          </w:p>
        </w:tc>
      </w:tr>
      <w:tr>
        <w:trPr>
          <w:trHeight w:val="216"/>
        </w:trPr>
        <w:tc>
          <w:tcPr>
            <w:tcW w:w="2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16.05</w:t>
            </w:r>
          </w:p>
        </w:tc>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Restrictions on Redemption</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94</w:t>
            </w:r>
          </w:p>
        </w:tc>
      </w:tr>
      <w:tr>
        <w:trPr>
          <w:trHeight w:val="216"/>
        </w:trPr>
        <w:tc>
          <w:tcPr>
            <w:tcW w:w="10180" w:type="dxa"/>
            <w:vAlign w:val="bottom"/>
            <w:gridSpan w:val="3"/>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0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17 Miscellaneous Provisions</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2200" w:type="dxa"/>
            <w:vAlign w:val="bottom"/>
            <w:gridSpan w:val="2"/>
          </w:tcPr>
          <w:p>
            <w:pPr>
              <w:spacing w:after="0"/>
              <w:rPr>
                <w:sz w:val="18"/>
                <w:szCs w:val="18"/>
                <w:color w:val="auto"/>
              </w:rPr>
            </w:pPr>
          </w:p>
        </w:tc>
        <w:tc>
          <w:tcPr>
            <w:tcW w:w="79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17.01</w:t>
            </w:r>
          </w:p>
        </w:tc>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Governing Law; Jurisdiction</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17.02</w:t>
            </w:r>
          </w:p>
        </w:tc>
        <w:tc>
          <w:tcPr>
            <w:tcW w:w="7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Waiver of Jury Trial</w:t>
            </w:r>
          </w:p>
        </w:tc>
        <w:tc>
          <w:tcPr>
            <w:tcW w:w="10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2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17.03</w:t>
            </w:r>
          </w:p>
        </w:tc>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Addresses for Notices, Etc.</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17.04</w:t>
            </w:r>
          </w:p>
        </w:tc>
        <w:tc>
          <w:tcPr>
            <w:tcW w:w="7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Provisions Binding on Company’s Successors; Official Acts by Successor Entity</w:t>
            </w:r>
          </w:p>
        </w:tc>
        <w:tc>
          <w:tcPr>
            <w:tcW w:w="10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96</w:t>
            </w:r>
          </w:p>
        </w:tc>
      </w:tr>
      <w:tr>
        <w:trPr>
          <w:trHeight w:val="216"/>
        </w:trPr>
        <w:tc>
          <w:tcPr>
            <w:tcW w:w="2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17.05</w:t>
            </w:r>
          </w:p>
        </w:tc>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Evidence of Compliance with Conditions Precedent; Certificates and Opinions of Counsel to Trustee</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96</w:t>
            </w:r>
          </w:p>
        </w:tc>
      </w:tr>
      <w:tr>
        <w:trPr>
          <w:trHeight w:val="216"/>
        </w:trPr>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17.06</w:t>
            </w:r>
          </w:p>
        </w:tc>
        <w:tc>
          <w:tcPr>
            <w:tcW w:w="7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Legal Holidays</w:t>
            </w:r>
          </w:p>
        </w:tc>
        <w:tc>
          <w:tcPr>
            <w:tcW w:w="10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2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17.07</w:t>
            </w:r>
          </w:p>
        </w:tc>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No Security Interest Created</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17.08</w:t>
            </w:r>
          </w:p>
        </w:tc>
        <w:tc>
          <w:tcPr>
            <w:tcW w:w="7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Benefits of Indenture</w:t>
            </w:r>
          </w:p>
        </w:tc>
        <w:tc>
          <w:tcPr>
            <w:tcW w:w="10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2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17.09</w:t>
            </w:r>
          </w:p>
        </w:tc>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Table of Contents, Headings, Etc</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17.10</w:t>
            </w:r>
          </w:p>
        </w:tc>
        <w:tc>
          <w:tcPr>
            <w:tcW w:w="7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Authenticating Agent</w:t>
            </w:r>
          </w:p>
        </w:tc>
        <w:tc>
          <w:tcPr>
            <w:tcW w:w="10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2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17.11</w:t>
            </w:r>
          </w:p>
        </w:tc>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Multiple Originals</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17.12</w:t>
            </w:r>
          </w:p>
        </w:tc>
        <w:tc>
          <w:tcPr>
            <w:tcW w:w="7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10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2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17.13</w:t>
            </w:r>
          </w:p>
        </w:tc>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Calculations</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17.14</w:t>
            </w:r>
          </w:p>
        </w:tc>
        <w:tc>
          <w:tcPr>
            <w:tcW w:w="7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[Intentionally Omitted].</w:t>
            </w:r>
          </w:p>
        </w:tc>
        <w:tc>
          <w:tcPr>
            <w:tcW w:w="10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2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Section 17.15</w:t>
            </w:r>
          </w:p>
        </w:tc>
        <w:tc>
          <w:tcPr>
            <w:tcW w:w="7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Delivery of Notices</w:t>
            </w:r>
          </w:p>
        </w:tc>
        <w:tc>
          <w:tcPr>
            <w:tcW w:w="10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98</w:t>
            </w:r>
          </w:p>
        </w:tc>
      </w:tr>
      <w:tr>
        <w:trPr>
          <w:trHeight w:val="236"/>
        </w:trPr>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Section 17.16</w:t>
            </w:r>
          </w:p>
        </w:tc>
        <w:tc>
          <w:tcPr>
            <w:tcW w:w="79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USA PATRIOT Act</w:t>
            </w:r>
          </w:p>
        </w:tc>
        <w:tc>
          <w:tcPr>
            <w:tcW w:w="10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98</w:t>
            </w:r>
          </w:p>
        </w:tc>
      </w:tr>
      <w:tr>
        <w:trPr>
          <w:trHeight w:val="412"/>
        </w:trPr>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98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6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Note</w:t>
            </w:r>
          </w:p>
        </w:tc>
        <w:tc>
          <w:tcPr>
            <w:tcW w:w="7980" w:type="dxa"/>
            <w:vAlign w:val="bottom"/>
          </w:tcPr>
          <w:p>
            <w:pPr>
              <w:spacing w:after="0"/>
              <w:rPr>
                <w:sz w:val="24"/>
                <w:szCs w:val="24"/>
                <w:color w:val="auto"/>
              </w:rPr>
            </w:pPr>
          </w:p>
        </w:tc>
        <w:tc>
          <w:tcPr>
            <w:tcW w:w="10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A-1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2" w:name="page43"/>
    <w:bookmarkEnd w:id="4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INDENTURE </w:t>
      </w:r>
      <w:r>
        <w:rPr>
          <w:rFonts w:ascii="Times New Roman" w:cs="Times New Roman" w:eastAsia="Times New Roman" w:hAnsi="Times New Roman"/>
          <w:sz w:val="18"/>
          <w:szCs w:val="18"/>
          <w:color w:val="auto"/>
        </w:rPr>
        <w:t>dated as of November 17, 2025, between BITDEER TECHNOLOGIES GROUP, an exempted company with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under the laws of the Cayman Islands,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and U.S. BANK TRUST COMPANY, NATIONAL ASSOCIATION, a national 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4.00%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each $1,000 principal amount thereof, unless the context otherwise requires,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initially in an aggregate principal amount not to exceed $400,000,000 plus up to an additional $60,000,000 principal amount of any additional Notes purchased by the Initial Purchasers pursuant to the exercise of their option to purchase additional Notes as set forth in the Purchase Agreement, and in order to provide the terms and conditions upon which the Notes are to be authenticated, issued and delivered, the Company has duly authorized the execution and delivery of this Indenture;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Notice, the Form of Specified Repurchase Date Repurchase Notice and the Form of Assignment and Transfer to be borne by the Notes are to be substantially in the forms hereinafter provided;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xml:space="preserve"> For all purposes of this Indenture, except as herein otherwise expressly provided or unless the context otherwise requires:</w:t>
      </w:r>
    </w:p>
    <w:p>
      <w:pPr>
        <w:spacing w:after="0" w:line="235" w:lineRule="exact"/>
        <w:rPr>
          <w:sz w:val="20"/>
          <w:szCs w:val="20"/>
          <w:color w:val="auto"/>
        </w:rPr>
      </w:pPr>
    </w:p>
    <w:p>
      <w:pPr>
        <w:ind w:left="660" w:right="20" w:firstLine="644"/>
        <w:spacing w:after="0" w:line="286" w:lineRule="auto"/>
        <w:tabs>
          <w:tab w:leader="none" w:pos="15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 shall have the respective meanings assigned to them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 and include the plural as well as the singular;</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(i) when used with regard to any specified Article, Section or sub-division, refer to such Article, Section or sub-division of this Indenture and (ii) otherwise, refer to this Indenture as a whole and not to any particular Article, Section or other subdivision; and</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Indenture and/or the Notes to dollars are to U.S. dollars.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 shall have the meaning specified in Section 14.05(f).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shall have the meaning specified in Section 4.10(a).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Class A Ordinary Shares</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means all amounts, if any, payable pursuant to Section‎ 4.04(d) and Section 6.03, as applicable.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another Person for purposes of this Indenture shall be made based on the facts at the time such determination is made or required to be made, as the case may be, hereunder.</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means, with respect to a Depositary, as to any matter at any time, the policies and procedures of such Depositary, if any, that are applicable to such matter at such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Company or the Person appointed by the Company to solicit bids for the Trading Price of the Notes in accordance with Section 14.01(b)(i). The Company shall initially act as the Bid Solicitation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shall have the meaning specified in Section 11.01.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each Monday, Tuesday, Wednesday, Thursday and Friday that is not a day on which banking institutions in the State of New York, Singapore, the Cayman Islands or, in the case of a payment under this Indenture, place of payment are authorized or obligated by law or executive order to close or be closed.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Called Notes</w:t>
      </w:r>
      <w:r>
        <w:rPr>
          <w:rFonts w:ascii="Times New Roman" w:cs="Times New Roman" w:eastAsia="Times New Roman" w:hAnsi="Times New Roman"/>
          <w:sz w:val="18"/>
          <w:szCs w:val="18"/>
          <w:color w:val="auto"/>
        </w:rPr>
        <w:t>” means Notes called for Optional Redemption, Tax Redemption or Cleanup Redemption pursuant to Article 16 or Notes subject to a Deemed Redemption.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Shares</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shares issued by that entity, but shall not include any debt securities convertible into or exchangeable for any securities otherwise constituting Capital Shares pursuant to this definition.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Tax Law</w:t>
      </w:r>
      <w:r>
        <w:rPr>
          <w:rFonts w:ascii="Times New Roman" w:cs="Times New Roman" w:eastAsia="Times New Roman" w:hAnsi="Times New Roman"/>
          <w:sz w:val="18"/>
          <w:szCs w:val="18"/>
          <w:color w:val="auto"/>
        </w:rPr>
        <w:t>” shall have the meaning specified in Section 16.03(a).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means the Class A ordinary shares of the Company, par value $0.0000001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V Ordinary Shares</w:t>
      </w:r>
      <w:r>
        <w:rPr>
          <w:rFonts w:ascii="Times New Roman" w:cs="Times New Roman" w:eastAsia="Times New Roman" w:hAnsi="Times New Roman"/>
          <w:sz w:val="18"/>
          <w:szCs w:val="18"/>
          <w:color w:val="auto"/>
        </w:rPr>
        <w:t>” means the Class V ordinary shares of the Company, par value $0.0000001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Cleanup Redemption</w:t>
      </w:r>
      <w:r>
        <w:rPr>
          <w:rFonts w:ascii="Times New Roman" w:cs="Times New Roman" w:eastAsia="Times New Roman" w:hAnsi="Times New Roman"/>
          <w:sz w:val="18"/>
          <w:szCs w:val="18"/>
          <w:color w:val="auto"/>
        </w:rPr>
        <w:t>” shall have the meaning specified in Section 16.02(a).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“Cleanup Redemption Date” </w:t>
      </w:r>
      <w:r>
        <w:rPr>
          <w:rFonts w:ascii="Times New Roman" w:cs="Times New Roman" w:eastAsia="Times New Roman" w:hAnsi="Times New Roman"/>
          <w:sz w:val="18"/>
          <w:szCs w:val="18"/>
          <w:color w:val="auto"/>
        </w:rPr>
        <w:t>shall have the meaning specified in Section 16.02(b).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“Cleanup Redemption Notice</w:t>
      </w:r>
      <w:r>
        <w:rPr>
          <w:rFonts w:ascii="Times New Roman" w:cs="Times New Roman" w:eastAsia="Times New Roman" w:hAnsi="Times New Roman"/>
          <w:sz w:val="18"/>
          <w:szCs w:val="18"/>
          <w:color w:val="auto"/>
        </w:rPr>
        <w:t>” shall have the meaning specified in Section 16.02(b).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Shares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hereof, shall include its successors and assigns.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one of its Officers, and delivered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shall have the meaning specified in Section 14.13(a).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this Indenture shall be administered, which office at the date hereof is located at U.S. Bank Trust Company, National Association, 633 West 5th Street, 24th Floor, Los Angeles, California 90071, Attention: Bitdeer Technologies Group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forty (40) consecutive Trading Days during the Observation Period, 2.5% of the product of (a) the Conversion Rate in effect immediately after the close of business on such Trading Day and (b) the Daily VWAP for such Trading Day.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xml:space="preserve">” means the Specified Dollar Amount (if any),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40.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forty (40) consecutive Trading Days during the Observation Period, shall consist of:</w:t>
      </w:r>
    </w:p>
    <w:p>
      <w:pPr>
        <w:spacing w:after="0" w:line="229" w:lineRule="exact"/>
        <w:rPr>
          <w:sz w:val="20"/>
          <w:szCs w:val="20"/>
          <w:color w:val="auto"/>
        </w:rPr>
      </w:pPr>
    </w:p>
    <w:p>
      <w:pPr>
        <w:ind w:left="1540" w:hanging="236"/>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equal to the lesser of (i) the Daily Measurement Value and (ii) the Daily Conversion Value;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Daily Conversion Value exceeds the Daily Measurement Value, a number of Class A Ordinary Shares equal to (i) the difference between such Daily Conversion Value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Daily VWAP for such Trading Day.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forty (40) consecutive Trading Days during the relevant Observation Period, the per share volume-weighted average price as displayed under the heading “Bloomberg VWAP” on Bloomberg page “BTDR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Class A Ordinary Share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shall have the meaning specified in Section 14.01(b)(v).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means, initially, Physical Settlement.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the Fundamental Change Repurchase Price, or the Specified Repurchase Date Repurchase Price, principal and interest) that are payable but are not punctually paid or duly provided for.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solely for purposes of this Indenture and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such successor.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shall have the meaning specified in Section 14.13(a).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14.05 and Section‎ 14.06,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Class A Ordinary Shares trade on the applicable exchange or in the applicable market, regular way, reflecting the relevant share split or share combination, as applicable (and for the avoidance of doubt, any alternative trading convention on the applicable exchange or market in respect of Class A Ordinary Shares under a separate ticker symbol or CUSIP number will not be considered “regular way” for this purpose).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the Class A Ordinary Shares trade on the applicable exchange or in the applicable market, regular way, without the right to receive the issuance, dividend or distribution in question, from the Company or, if applicable, from the seller of Class A Ordinary Shares on such exchange or market (in the form of due bills or otherwise) as determined by such exchange or market. For the avoidance of doubt, any alternative trading convention on the applicable exchange or market in respect of the Class A Ordinary Shares under a separate ticker symbol or CUSIP number will not be considered “regular way” for this purpose.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shall have the meaning specified in Section 14.13(a).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shall have the meaning specified in Section 15.02(d).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shall have the meaning specified in Section‎ 14.05(e).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freely tradable</w:t>
      </w:r>
      <w:r>
        <w:rPr>
          <w:rFonts w:ascii="Times New Roman" w:cs="Times New Roman" w:eastAsia="Times New Roman" w:hAnsi="Times New Roman"/>
          <w:sz w:val="18"/>
          <w:szCs w:val="18"/>
          <w:color w:val="auto"/>
        </w:rPr>
        <w:t>” means, with respect to any security of the Company, that such security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any such requirement as to the availability of current public information will be disregarded if the same is satisfied at that time).</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xml:space="preserve">” means the “Form of Assignment and Transfer” attached as Attachment 4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Notice</w:t>
      </w:r>
      <w:r>
        <w:rPr>
          <w:rFonts w:ascii="Times New Roman" w:cs="Times New Roman" w:eastAsia="Times New Roman" w:hAnsi="Times New Roman"/>
          <w:sz w:val="18"/>
          <w:szCs w:val="18"/>
          <w:color w:val="auto"/>
        </w:rPr>
        <w:t xml:space="preserve">” means the “Form of Fundamental Change Repurchase Notice” attached as Attachment 2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xml:space="preserve">” means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xml:space="preserve">” means the “Form of Notice of Conversion” attached as Attachment 1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Specified Repurchase Date Repurchase Notice</w:t>
      </w:r>
      <w:r>
        <w:rPr>
          <w:rFonts w:ascii="Times New Roman" w:cs="Times New Roman" w:eastAsia="Times New Roman" w:hAnsi="Times New Roman"/>
          <w:sz w:val="18"/>
          <w:szCs w:val="18"/>
          <w:color w:val="auto"/>
        </w:rPr>
        <w:t xml:space="preserve">” means the “Form of Specified Repurchase Date Repurchase Notice” attached as Attachment 3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229" w:lineRule="exact"/>
        <w:rPr>
          <w:sz w:val="20"/>
          <w:szCs w:val="20"/>
          <w:color w:val="auto"/>
        </w:rPr>
      </w:pPr>
    </w:p>
    <w:p>
      <w:pPr>
        <w:jc w:val="both"/>
        <w:ind w:left="660" w:firstLine="644"/>
        <w:spacing w:after="0" w:line="252" w:lineRule="auto"/>
        <w:tabs>
          <w:tab w:leader="none" w:pos="15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in clause (b) below, (i) a “person” or “group” within the meaning of Section 13(d) of the Exchange Act, other than the Company and its Wholly Owned Subsidiaries, the employee benefit plans of the Company and its Wholly Owned Subsidiaries, and any Permitted Holder, becomes and files a Schedule TO or any schedule, form or report under the Exchange Act disclosing that such “person” or “group” has become, the direct or indirect “beneficial owner,” as defined in Rule 13d-3 under the Exchange Act, of the Company’s ordinary share capital representing more than 50% of the voting power of the Company’s ordinary share capital, or (ii) or the Permitted Holders, individually or in the aggregate, file a Schedule TO or any schedule, form or report under the Exchange Act disclosing that such person or group has become the direct or indirect “beneficial owner,” as defined in Rule 13d-3 under the Exchange Act, of more than 50% of the then outstanding Class A Ordinary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purposes of clause (ii), in calculating the beneficial ownership percentage of Class A Ordinary Shares held by any Permitted Holder, any Class A Ordinary Shares (1) beneficially owned directly or indirectly by any Permitted Holder on the date of the Offering Memorandum (including any Class A Ordinary Shares issued or issuable under employee benefit plans or upon conversion of the Class V Ordinary Shares) shall be excluded from both the numerator and denominator, and (2) deemed to be beneficially owned directly or indirectly by any Permitted Holder at any time solely because of voting proxy or agreements shall be excluded from the numerator;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for purposes of both clause (i) and clause (ii), no “person” or “group” shall be deemed to be the beneficial owner of any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tendered pursuant to a tender or exchange offer made by or on behalf of such “person” or “group” until such tendered securities are accepted for purchase or exchange under such offer or if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left="660" w:firstLine="644"/>
        <w:spacing w:after="0" w:line="253" w:lineRule="auto"/>
        <w:tabs>
          <w:tab w:leader="none" w:pos="15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(i) any recapitalization, reclassification or change of the Class A Ordinary Shares (other than a change to par value, or from par value to no par value, or changes resulting from a subdivision or combination) as a result of which the Class A Ordinary Shares would be converted into, or exchanged for, stock, other securities, other property or assets; (ii) any share exchange, consolidation or merger of the Company, or any similar transaction, pursuant to which the Class A Ordinary Shares will be converted into cash, securities or other property or assets; or (iii)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transaction described in clauses (i) or (ii) in which the holders of all classes of the Company’s ordinary share capital immediately prior to such transaction own, directly or indirectly, more than 50% of all classes of Common Equity of the continuing or surviving corporation or transferee or the parent thereof immediately after such transaction in substantially the same proportions (vis-a-vis to each other) as such ownership immediately prior to such transaction shall not be a Fundamental Change pursuant to this clause (b);</w:t>
      </w:r>
    </w:p>
    <w:p>
      <w:pPr>
        <w:spacing w:after="0" w:line="194"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approve any plan or proposal for the liquidation or dissolution of the Company; or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(or other Common Equity in respect of Reference Property) cease to be listed or quoted on any of The New York Stock Exchange, the Nasdaq Global Select Market, the Nasdaq Global Market or the Nasdaq Capital Market (or any of their respective successors) and none of the Class A Ordinary Shares (or other Common Equity in respect of Reference Property) is listed or quoted on one of The New York Stock Exchange, the Nasdaq Global Select Market, the Nasdaq Global Market or the Nasdaq Capital Market (or any of their respective successors) within one trading day of such cessation;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transactions described in clause (a) or clause (b) above shall not constitute a Fundamental Change if at least 90%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consideration received or to be received by the holders of the Class A Ordinary Shares, excluding cash payments for fractional shares and cash payments made in respect of dissenters’ appraisal rights, in connection with such transaction or transactions consists of shares of equity interests that are listed or quoted on any of The New York Stock Exchange, The Nasdaq Global Select Market or The Nasdaq Global Market or The Nasdaq Capital Market (or any of their respective successors) or will be so listed or quoted when issued or exchanged in connection with such transaction or transactions and as a result of such transaction or transactions such consideration, excluding cash payments for fractional shares and cash payments made in respect of dissenters’ appraisal rights becomes Reference Property for the Notes.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sent</w:t>
      </w:r>
      <w:r>
        <w:rPr>
          <w:rFonts w:ascii="Times New Roman" w:cs="Times New Roman" w:eastAsia="Times New Roman" w:hAnsi="Times New Roman"/>
          <w:sz w:val="18"/>
          <w:szCs w:val="18"/>
          <w:color w:val="auto"/>
        </w:rPr>
        <w:t>” with respect to any notice to be given to a Holder pursuant to this Indenture, shall mean notice</w:t>
      </w:r>
    </w:p>
    <w:p>
      <w:pPr>
        <w:spacing w:after="0" w:line="31" w:lineRule="exact"/>
        <w:rPr>
          <w:sz w:val="20"/>
          <w:szCs w:val="20"/>
          <w:color w:val="auto"/>
        </w:rPr>
      </w:pPr>
    </w:p>
    <w:p>
      <w:pPr>
        <w:jc w:val="both"/>
        <w:ind w:firstLine="8"/>
        <w:spacing w:after="0" w:line="253" w:lineRule="auto"/>
        <w:tabs>
          <w:tab w:leader="none" w:pos="2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means any Person in whose name at the time a particular Note is registered on the Note Register.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each May 15 and November 15 of each year, beginning on May 15, 2026.</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date of original issuance</w:t>
      </w:r>
      <w:r>
        <w:rPr>
          <w:rFonts w:ascii="Times New Roman" w:cs="Times New Roman" w:eastAsia="Times New Roman" w:hAnsi="Times New Roman"/>
          <w:sz w:val="18"/>
          <w:szCs w:val="18"/>
          <w:color w:val="auto"/>
        </w:rPr>
        <w:t>” means (a) with respect to any Notes issued pursuant to the Offering Memorandum, and any Notes issued in exchange therefor or in substitution thereof, the later of (i) the date the Company first issues such Notes and (ii) the last date any Notes are originally issued pursuant to the exercise of the Initial Purchasers’ option to purchase additional Notes; and (b) with respect to any additional Notes issued pursuant to Section 2.10,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Class A Ordinary Shares (or other security for which a closing sale price must be determined) on any date means the closing sale price per Class A Ordinary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Class A Ordinary Shares (or such other security) are traded. If the Class A Ordinary Shares (or such other security) are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Class A Ordinary Shares (or such other security) in the over-the-counter market on the relevant date as reported by OTC Markets Group Inc. or a similar organization. If the Class A Ordinary Shares (or such other security) are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Class A Ordinary Shares (or such other security) on the relevant date from each of at least three nationally recognized independent investment banking firms selected by the Company for this purpose.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determined without regard to after-hours trading or any other trading outside of regular trading session hours.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Liquidity Conditions</w:t>
      </w:r>
      <w:r>
        <w:rPr>
          <w:rFonts w:ascii="Times New Roman" w:cs="Times New Roman" w:eastAsia="Times New Roman" w:hAnsi="Times New Roman"/>
          <w:sz w:val="18"/>
          <w:szCs w:val="18"/>
          <w:color w:val="auto"/>
        </w:rPr>
        <w:t xml:space="preserve">” with respect to any Optional Redemption Notice shall be “satisfied” if each of the following conditions have been satisfied as of the date the Company sends the related Optional Redemption Notice and is reasonably expected to continue to be satisfied through at least the 30th calendar day after the Redemption Date for the related Optional Redemption: (1) the Company has filed all reports and other materials required to be filed by Section 13 or 15(d) of the Exchange Act, as applicable, during the preceding 12 months (or for such shorter period that the Company was required to file such reports and other materials), after giving effect to all applicable grace periods thereunder and other than current reports on Form 8-K; and (2) the Class A Ordinary Shares, if any, issued or issuable upon conversion of the Notes are freely tradable;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Liquidity Conditions shall also be deemed to be satisfied with respect to such Optional Redemption Notice if, in accordance with Section 14.02(a), the Company has elected to settle all conversions of Called Notes with a Conversion Date that occurs during the Redemption Period by Cash Settlement.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means any transaction or event that constitutes a Fundamental Change (determined after giving effect to any exceptions to or exclusions from such definition, but without regard to the proviso in clause (b) of the definition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the primary U.S. national or regional securities exchange or market on which the Class A Ordinary Shares listed or admitted for trading to open for trading during its regular trading session or (b) the occurrence or existence prior to 1:00 p.m., New York City time, on any Scheduled Trading Day for the Class A Ordinary Shares for more than one half-hour period in the aggregate during regular trading hours of any suspension or limitation imposed on trading (by reason of movements in price exceeding limits permitted by the relevant stock exchange or otherwise) in the Class A Ordinary Shares or in any options contracts or futures contracts relating to the Class A Ordinary Shares.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November 15, 2031.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recitals of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Custodian</w:t>
      </w:r>
      <w:r>
        <w:rPr>
          <w:rFonts w:ascii="Times New Roman" w:cs="Times New Roman" w:eastAsia="Times New Roman" w:hAnsi="Times New Roman"/>
          <w:sz w:val="18"/>
          <w:szCs w:val="18"/>
          <w:color w:val="auto"/>
        </w:rPr>
        <w:t>” means the Trustee, as custodian for DTC, with respect to the Global Notes, or any successor entity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14.02(c).</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with respect to any Note surrendered for conversion means: (i) subject to clause (ii), if the relevant Conversion Date occurs prior to August 15, 2031, the forty (40) consecutive Trading Day period beginning on, and including, the second Trading Day immediately succeeding such Conversion Date; (ii) with respect to any Called Notes, if the relevant Conversion Date occurs during the related Redemption Period, the forty (40) consecutive Trading Days beginning on, and including, the 41st Scheduled Trading Day immediately preceding such Redemption Date; and (iii) subject to clause (ii), if the relevant Conversion Date occurs on or after August 15, 2031, the forty (40) consecutive Trading Days beginning on, and including, the 41st Scheduled Trading Day immediately preceding the Maturity Date.</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November 12, 2025, as supplemented by the related pricing term sheet dated November 12, 2025, relating to the offering and sale of the Notes.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business officer, a chief operating officer, any executive vice president, any senior vice president, any vice president, the treasurer or any assistant treasurer, the controller or any assistant controller or the secretary or any assistant secretary.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shall have the meaning specified in Section 16.01(a).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 Date</w:t>
      </w:r>
      <w:r>
        <w:rPr>
          <w:rFonts w:ascii="Times New Roman" w:cs="Times New Roman" w:eastAsia="Times New Roman" w:hAnsi="Times New Roman"/>
          <w:sz w:val="18"/>
          <w:szCs w:val="18"/>
          <w:color w:val="auto"/>
        </w:rPr>
        <w:t>” shall have the meaning specified in Section 16.01(b).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 Notice</w:t>
      </w:r>
      <w:r>
        <w:rPr>
          <w:rFonts w:ascii="Times New Roman" w:cs="Times New Roman" w:eastAsia="Times New Roman" w:hAnsi="Times New Roman"/>
          <w:sz w:val="18"/>
          <w:szCs w:val="18"/>
          <w:color w:val="auto"/>
        </w:rPr>
        <w:t>” shall have the meaning specified in Section 16.01(b).</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159" w:lineRule="exact"/>
        <w:rPr>
          <w:sz w:val="20"/>
          <w:szCs w:val="20"/>
          <w:color w:val="auto"/>
        </w:rPr>
      </w:pPr>
    </w:p>
    <w:p>
      <w:pPr>
        <w:ind w:left="1540" w:hanging="236"/>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71"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5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have been paid pursuant to the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second paragraph of Section 2.06 or Notes in lieu of which, or in substitution for which, other Notes shall have been authenticated and delivered pursuant to the terms of Section 2.06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unless proof satisfactory to the Trustee is presented that any such Notes are held by protected purchasers in due course;</w:t>
      </w:r>
    </w:p>
    <w:p>
      <w:pPr>
        <w:spacing w:after="0" w:line="170"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 and required to be cancelled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2.08;</w:t>
      </w:r>
    </w:p>
    <w:p>
      <w:pPr>
        <w:spacing w:after="0" w:line="229" w:lineRule="exact"/>
        <w:rPr>
          <w:rFonts w:ascii="Times New Roman" w:cs="Times New Roman" w:eastAsia="Times New Roman" w:hAnsi="Times New Roman"/>
          <w:sz w:val="18"/>
          <w:szCs w:val="18"/>
          <w:color w:val="auto"/>
        </w:rPr>
      </w:pPr>
    </w:p>
    <w:p>
      <w:pPr>
        <w:ind w:left="660" w:firstLine="644"/>
        <w:spacing w:after="0" w:line="282" w:lineRule="auto"/>
        <w:tabs>
          <w:tab w:leader="none" w:pos="15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repurchased by the Company pursuant to (i) Section 15.01 and Section 15.02 and (ii) Section 2.10 and delivered to the Trustee for cancellation in accordance with Section 2.10; and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redeemed pursuant to Article 16.</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 shall have the meaning specified in Section 16.01(a).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the Company or the Person appointed by the Company in accordance with Section 4.02. The Trustee has been initially appointed as the Paying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w:t>
      </w:r>
      <w:r>
        <w:rPr>
          <w:rFonts w:ascii="Times New Roman" w:cs="Times New Roman" w:eastAsia="Times New Roman" w:hAnsi="Times New Roman"/>
          <w:sz w:val="18"/>
          <w:szCs w:val="18"/>
          <w:color w:val="auto"/>
        </w:rPr>
        <w:t>” means (i) Jihan Wu and (ii) the “Founder Entities” as defined in the Company’s Amended and Restated Memorandum and Articles of Association as of the date of this Indenture.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minimum denominations of $1,000 principal amount and integral multiples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shall have the meaning specified in Section‎ 14.02(a).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Note</w:t>
      </w:r>
      <w:r>
        <w:rPr>
          <w:rFonts w:ascii="Times New Roman" w:cs="Times New Roman" w:eastAsia="Times New Roman" w:hAnsi="Times New Roman"/>
          <w:sz w:val="18"/>
          <w:szCs w:val="18"/>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the purchase agreement, dated November 12, 2025, by and between the Company and Barclays Capital Inc., as representative of the several initial purchasers named in Schedule I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relating to the offering and sale of the Notes.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Successor Entity</w:t>
      </w:r>
      <w:r>
        <w:rPr>
          <w:rFonts w:ascii="Times New Roman" w:cs="Times New Roman" w:eastAsia="Times New Roman" w:hAnsi="Times New Roman"/>
          <w:sz w:val="18"/>
          <w:szCs w:val="18"/>
          <w:color w:val="auto"/>
        </w:rPr>
        <w:t xml:space="preserve">” means, with respect to a Business Combination Event, a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 if such Business Combination Event is an Exempted Fundamental Change, then a limited liability company, limited partnership or other similar entity also will constitute a Qualified Successor Entity with respect to such Business Combination Event; and (ii) a limited liability company or limited partnership that is the resulting, surviving or transferee person of such Business Combination Event also will constitute a Qualified Successor Entity with respect to such Business Combination Event, provided that, in the case of this clause (ii), (1) if such limited liability company or limited partnership is not treated as a corporation or an entity disregarded as separate from a corporation, in each case for U.S. federal income tax purposes, (x) the Company has received an opinion of a nationally recognized tax counsel to the effect that such Business Combination Event will not be treated as an exchange under Section 1001 of the Code for Holders or beneficial owners of the Notes and (y) such limited liability company or limited partnership is a direct or indirect, Wholly Owned Subsidiary of a corporation duly organized and existing under the laws of the United States of America, any State thereof, the District of Columbia, the Cayman Islands, the British Virgin Islands, Bermuda, Singapore or Hong Kong and (2) such Business Combination Event constitutes a Share Exchange Event whose Reference Property consists solely of any combination of U.S. dollars and shares of common stock or other corporate Common Equity interests of a corporation described in clause (1)(y).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the Class A Ordinary Shares (or other applicable security) have the right to receive any cash, securities or other property or in which the Class A Ordinary Shares (or such other security) are exchanged for or converted into any combination of cash, securities or other property, the date fixed for determination of security holders entitled to receive such cash, securities or other property (whether such date is fixed by the Board of Directors, statute,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means an Optional Redemption, Cleanup Redemption or a Tax Redemption,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means an Optional Redemption Date, Cleanup Redemption Date or a Tax Redemption Date,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means an Optional Redemption Notice, Cleanup Redemption Notice or a Tax Redemption Notice, as applicable.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Period</w:t>
      </w:r>
      <w:r>
        <w:rPr>
          <w:rFonts w:ascii="Times New Roman" w:cs="Times New Roman" w:eastAsia="Times New Roman" w:hAnsi="Times New Roman"/>
          <w:sz w:val="18"/>
          <w:szCs w:val="18"/>
          <w:color w:val="auto"/>
        </w:rPr>
        <w:t>” means, with respect to an Optional Redemption, a Cleanup Redemption or a Tax Redemption, the period from, and including, the date on which the Company delivers the applicable Redemption Notice until the close of business on the second business day immediately preceding the applicable Redemption Date, unless the Company fails to pay the Redemption Price (in which case a Holder of a Note called for Redemption may convert such Note until the second Business Day immediately preceding the date on which the Redemption Price has been paid or duly provided for) during which a Holder may convert all or any portion of such Holder’s Called Notes.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for any Notes to be redeemed pursuant to Article 16,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on, or at the Company’s election, before such Interest Payment Date to Holders of record of such Notes as of the close of business on such Regular Record Date, and the Redemption Price will be equal to 100% of the principal amount of such Notes).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Reference Date</w:t>
      </w:r>
      <w:r>
        <w:rPr>
          <w:rFonts w:ascii="Times New Roman" w:cs="Times New Roman" w:eastAsia="Times New Roman" w:hAnsi="Times New Roman"/>
          <w:sz w:val="18"/>
          <w:szCs w:val="18"/>
          <w:color w:val="auto"/>
        </w:rPr>
        <w:t>” means the date on which a Redemption Notice is given pursuant to an Optional Redemption, Cleanup Redemption or Tax Redemption.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Reference Price</w:t>
      </w:r>
      <w:r>
        <w:rPr>
          <w:rFonts w:ascii="Times New Roman" w:cs="Times New Roman" w:eastAsia="Times New Roman" w:hAnsi="Times New Roman"/>
          <w:sz w:val="18"/>
          <w:szCs w:val="18"/>
          <w:color w:val="auto"/>
        </w:rPr>
        <w:t>” means the average of the Last Reported Sale Price of the Class A Ordinary Shares over the five (5) consecutive Trading Day period ending on, and including, the Trading Day immediately preceding the Redemption Reference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14.08(a).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with respect to any Interest Payment Date, means the May 1 and November 1 (whether or not such day is a Business Day) immediately preceding the applicable May 15 and November 15 Interest Payment Date, respectively.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Jurisdiction</w:t>
      </w:r>
      <w:r>
        <w:rPr>
          <w:rFonts w:ascii="Times New Roman" w:cs="Times New Roman" w:eastAsia="Times New Roman" w:hAnsi="Times New Roman"/>
          <w:sz w:val="18"/>
          <w:szCs w:val="18"/>
          <w:color w:val="auto"/>
        </w:rPr>
        <w:t>” shall have the meaning specified in Section 4.10(a).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Taxing Jurisdiction</w:t>
      </w:r>
      <w:r>
        <w:rPr>
          <w:rFonts w:ascii="Times New Roman" w:cs="Times New Roman" w:eastAsia="Times New Roman" w:hAnsi="Times New Roman"/>
          <w:sz w:val="18"/>
          <w:szCs w:val="18"/>
          <w:color w:val="auto"/>
        </w:rPr>
        <w:t>” shall have the meaning specified in Section 4.10(a).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have the meaning specified in Section‎ 6.03.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 shall have the meaning specified in Section‎ 6.03.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an officer within the corporate trust department of the Trustee responsible for the administration of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Class A Ordinary Shares are listed or admitted for trading. If the Class A Ordinary Shares are not so listed or admitted for trading, “</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by the Commission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has the meaning specified in Section‎ 14.02(a)(iv).</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with respect to any conversion of Notes, Physical Settlement, Cash Settlement or Combination Settlement, as elected (or deemed to have been elected) by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has the meaning specified in Section‎ 14.02(a)(iii).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shall have the meaning specified in Section‎ 14.08(a).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shall have the meaning specified in Section‎ 14.03(c).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xml:space="preserve">” means a Subsidiary of the Company that is a “significant subsidiary” as defined in Article 1, Rule 1-02(w)(1) of Regulation S-X under the Exchange Act (or any successor rule),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and to the extent paragraph (w)(1)(iii)(A)(2) does not apply to the determination of whether the income test in paragraph (w)(1)(iii) is met, in the case of a Subsidiary that meets the criteria of clause (iii) of the definition thereof but not clause (i) or (ii) thereof, in each case as such rule is in effect on the date of the Offering Memorandum, such Subsidiary shall not be deemed to be a Significant Subsidiary unless the Subsidiary’s income or loss from continuing operations before income taxes, exclusive of amounts attributable to any non-controlling interests, for the last completed fiscal year prior to the date of such determination exceeds $35,000,000. For the avoidance of doubt, to the extent any such Subsidiary would not be deemed to be a “</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under the relevant definition set forth in Article 1, Rule 1-02(w)(1) of Regulation S-X (or any successor rule) as in effect on the relevant date of determination, such Subsidiary shall not be deemed to be a “</w:t>
      </w:r>
      <w:r>
        <w:rPr>
          <w:rFonts w:ascii="Times New Roman" w:cs="Times New Roman" w:eastAsia="Times New Roman" w:hAnsi="Times New Roman"/>
          <w:sz w:val="18"/>
          <w:szCs w:val="18"/>
          <w:b w:val="1"/>
          <w:b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under this Indenture irrespective of whether such Subsidiary would otherwise be deemed to be a “</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after giving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proviso in the immediately preceding sentence.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the maximum cash amount per $1,000 principal amount of Notes to be received upon conversion as specified (or deemed specified) in the Settlement Notice related to any converted Notes.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Repurchase</w:t>
      </w:r>
      <w:r>
        <w:rPr>
          <w:rFonts w:ascii="Times New Roman" w:cs="Times New Roman" w:eastAsia="Times New Roman" w:hAnsi="Times New Roman"/>
          <w:sz w:val="18"/>
          <w:szCs w:val="18"/>
          <w:color w:val="auto"/>
        </w:rPr>
        <w:t>” shall have the meaning specified in Section 15.01(a).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Repurchase Date</w:t>
      </w:r>
      <w:r>
        <w:rPr>
          <w:rFonts w:ascii="Times New Roman" w:cs="Times New Roman" w:eastAsia="Times New Roman" w:hAnsi="Times New Roman"/>
          <w:sz w:val="18"/>
          <w:szCs w:val="18"/>
          <w:color w:val="auto"/>
        </w:rPr>
        <w:t>” shall have the meaning specified in Section 15.01(a).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Repurchase Date Company Notice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b w:val="1"/>
          <w:bCs w:val="1"/>
          <w:color w:val="auto"/>
        </w:rPr>
        <w:t>Section 15.01(c)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Repurchase Date Repurchase Notice</w:t>
      </w:r>
      <w:r>
        <w:rPr>
          <w:rFonts w:ascii="Times New Roman" w:cs="Times New Roman" w:eastAsia="Times New Roman" w:hAnsi="Times New Roman"/>
          <w:sz w:val="18"/>
          <w:szCs w:val="18"/>
          <w:color w:val="auto"/>
        </w:rPr>
        <w:t>” shall have the meaning specified in Section 15.01(b).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Repurchase Date Repurchase Price</w:t>
      </w:r>
      <w:r>
        <w:rPr>
          <w:rFonts w:ascii="Times New Roman" w:cs="Times New Roman" w:eastAsia="Times New Roman" w:hAnsi="Times New Roman"/>
          <w:sz w:val="18"/>
          <w:szCs w:val="18"/>
          <w:color w:val="auto"/>
        </w:rPr>
        <w:t>” shall have the meaning specified in Section 15.01(a).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Shares or other interests (including partnership interests) entitled (without regard to the occurrence of any contingency) to vote in the election of directors, managers, general partners or trustees thereof is at the time owned or controlled, directly or indirectly, by</w:t>
      </w:r>
    </w:p>
    <w:p>
      <w:pPr>
        <w:ind w:left="220" w:hanging="212"/>
        <w:spacing w:after="0"/>
        <w:tabs>
          <w:tab w:leader="none" w:pos="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(ii) such Person and one or more Subsidiaries of such Person; or (iii) one or more Subsidiaries of such Person.</w:t>
      </w:r>
    </w:p>
    <w:p>
      <w:pPr>
        <w:spacing w:after="0" w:line="202" w:lineRule="exact"/>
        <w:rPr>
          <w:rFonts w:ascii="Times New Roman" w:cs="Times New Roman" w:eastAsia="Times New Roman" w:hAnsi="Times New Roman"/>
          <w:sz w:val="18"/>
          <w:szCs w:val="18"/>
          <w:color w:val="auto"/>
        </w:rPr>
      </w:pPr>
    </w:p>
    <w:p>
      <w:pPr>
        <w:ind w:left="660" w:right="490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Successor Entity</w:t>
      </w:r>
      <w:r>
        <w:rPr>
          <w:rFonts w:ascii="Times New Roman" w:cs="Times New Roman" w:eastAsia="Times New Roman" w:hAnsi="Times New Roman"/>
          <w:sz w:val="17"/>
          <w:szCs w:val="17"/>
          <w:color w:val="auto"/>
        </w:rPr>
        <w:t>” shall have the meaning specified in Section‎ 11.01(a). “</w:t>
      </w:r>
      <w:r>
        <w:rPr>
          <w:rFonts w:ascii="Times New Roman" w:cs="Times New Roman" w:eastAsia="Times New Roman" w:hAnsi="Times New Roman"/>
          <w:sz w:val="17"/>
          <w:szCs w:val="17"/>
          <w:b w:val="1"/>
          <w:bCs w:val="1"/>
          <w:color w:val="auto"/>
        </w:rPr>
        <w:t>Tax Redemption</w:t>
      </w:r>
      <w:r>
        <w:rPr>
          <w:rFonts w:ascii="Times New Roman" w:cs="Times New Roman" w:eastAsia="Times New Roman" w:hAnsi="Times New Roman"/>
          <w:sz w:val="17"/>
          <w:szCs w:val="17"/>
          <w:color w:val="auto"/>
        </w:rPr>
        <w:t>” shall have the meaning specified in Section 16.03(a). “</w:t>
      </w:r>
      <w:r>
        <w:rPr>
          <w:rFonts w:ascii="Times New Roman" w:cs="Times New Roman" w:eastAsia="Times New Roman" w:hAnsi="Times New Roman"/>
          <w:sz w:val="17"/>
          <w:szCs w:val="17"/>
          <w:b w:val="1"/>
          <w:bCs w:val="1"/>
          <w:color w:val="auto"/>
        </w:rPr>
        <w:t>Tax Redemption Date</w:t>
      </w:r>
      <w:r>
        <w:rPr>
          <w:rFonts w:ascii="Times New Roman" w:cs="Times New Roman" w:eastAsia="Times New Roman" w:hAnsi="Times New Roman"/>
          <w:sz w:val="17"/>
          <w:szCs w:val="17"/>
          <w:color w:val="auto"/>
        </w:rPr>
        <w:t>” shall have the meaning specified in Section 16.03(e).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Redemption Notice</w:t>
      </w:r>
      <w:r>
        <w:rPr>
          <w:rFonts w:ascii="Times New Roman" w:cs="Times New Roman" w:eastAsia="Times New Roman" w:hAnsi="Times New Roman"/>
          <w:sz w:val="18"/>
          <w:szCs w:val="18"/>
          <w:color w:val="auto"/>
        </w:rPr>
        <w:t>” shall have the meaning specified in Section 16.03(e).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except for determining amounts due upon conversion, a day on which (i) trading in the Class A Ordinary Shares (or other security for which a closing sale price must be determined) generally occurs on the Nasdaq Capital Market or, if the Class A Ordinary Shares (or such other security) are not then listed on the Nasdaq Capital Market, on the principal other U.S. national or regional securities exchange on which the Class A Ordinary Shares (or such other security) are then listed or, if the Class A Ordinary Shares (or such other security) are not then listed on a U.S. national or regional securities exchange, on the principal other market on which the Class A Ordinary Shares (or such other security) are then traded, and (ii) a Last Reported Sale Price for the Class A Ordinary Shares (or closing sale price for such other security) is available on such securities exchange or market;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Class A Ordinary Shares (or such other security) are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 and</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for the purposes of determining amounts are due upon conversion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(i) there is no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Disruption Event and (ii) trading in the Class A Ordinary Shares generally occurs on the Nasdaq Capital Market or, if the Class A Ordinary Shares are not then listed on the Nasdaq Capital Market, on the principal other U.S. national or regional securities exchange on which the Class A Ordinary Shares are then listed or, if the Class A Ordinary Shares are not then listed on a U.S. national or regional securities exchange, on the principal other market on which the Class A Ordinary Shares are then listed or admitted for trading, except that if the Class A Ordinary Shares are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means, with respect to the Notes and any date of determination, the average of the secondary market bid quotations obtained by the Bid Solicitation Agent for $2,000,000 principal amount of Notes at approximately 3:30 p.m., New York City time, on such determination date from three independent nationally recognized securities dealers the Company selects for this purpose; provided that if three such bids cannot reasonably be obtained by the Bid Solicitation Agent but two such bids are obtained, then the average of the two bids shall be used, and if only one such bid can reasonably be obtained by the Bid Solicitation Agent, that one bid shall be used. If, on any determination date, the Bid Solicitation Agent cannot reasonably obtain at least one bid for $2,000,000 principal amount of Notes from a nationally recognized securities dealer, then the Trading Price per $1,000 principal amount of Notes on such determination date shall be deemed to be less than 98% of the product of the Last Reported Sale Price of the Class A Ordinary Shares and the Conversion Rate. Any such determination will be conclusive absent manifest error.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the date hereof, the term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shall mean,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amendment, the Trust Indenture Act of 1939, as so amended.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14.08(a).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14.05(c).</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Capital Shares or other interests in the relevant Subsidiary not held by such person to the extent required to satisfy local minority interest requirements outside of the United States.</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References to Interest.</w:t>
      </w:r>
      <w:r>
        <w:rPr>
          <w:rFonts w:ascii="Times New Roman" w:cs="Times New Roman" w:eastAsia="Times New Roman" w:hAnsi="Times New Roman"/>
          <w:sz w:val="18"/>
          <w:szCs w:val="18"/>
          <w:color w:val="auto"/>
        </w:rPr>
        <w:t xml:space="preserve"> Unless the context otherwise requires, any reference to interest on, or in respect of, any Note in this Indenture shall be deemed to include Additional Interest if, in such context, Additional Interest is, was or would be payable pursuant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any of Section 4.06(d)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2"/>
          <w:szCs w:val="12"/>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Designation and Amount.</w:t>
      </w:r>
      <w:r>
        <w:rPr>
          <w:rFonts w:ascii="Times New Roman" w:cs="Times New Roman" w:eastAsia="Times New Roman" w:hAnsi="Times New Roman"/>
          <w:sz w:val="18"/>
          <w:szCs w:val="18"/>
          <w:color w:val="auto"/>
        </w:rPr>
        <w:t xml:space="preserve"> The Notes shall be designated as the “4.00% Convertible Senior Notes due 2031.” The aggregate principal amount of Notes that may be authenticated and delivered under this Indenture is initially limited to $400,000,000 plus up to an additional $60,000,000 principal amount of any additional Notes purchased by the Initial Purchasers pursuant to the exercise of their option to purchase additional Notes as set forth in the Purchase Agreement, subject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2.10 and except for Notes authenticated and delivered upon registration or transfer of, or in exchange for, or in lieu of other Notes to the extent expressly permitted hereunder.</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Form of Notes.</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 respective forms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Note Custodian or the Depositary, or as may be required to comply with any applicable law or any regulation thereunder or with the rules and regulations of any securities exchange or automated quotation system upon which the Notes may be listed, traded or designated for issuance or to conform with any usage with respect thereto, or to indicate any special limitations or restrictions to which any particular Notes are subject.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Note Custodian, at the direction of the Trustee, in such manner and upon instructions given by the Holder of such Notes in accordance with this Indenture. Payment of principal (including the Redemption Price, the Fundamental Change Repurchase Price and the Specified Repurchase Date Repurchase Price, if applicable) of, and accrued and unpaid interest on, a Global Note shall be made to the Holder of such Note on the date of payment, unless a record date or other means of determining Holders eligible to receive payment is </w:t>
      </w:r>
      <w:r>
        <w:rPr>
          <w:rFonts w:ascii="Times New Roman" w:cs="Times New Roman" w:eastAsia="Times New Roman" w:hAnsi="Times New Roman"/>
          <w:sz w:val="18"/>
          <w:szCs w:val="18"/>
          <w:i w:val="1"/>
          <w:iCs w:val="1"/>
          <w:color w:val="auto"/>
        </w:rPr>
        <w:t>provided for herein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Date and Denomination of Notes; Payments of Interest and Defaulted Amounts.</w:t>
      </w:r>
    </w:p>
    <w:p>
      <w:pPr>
        <w:spacing w:after="0" w:line="227" w:lineRule="exact"/>
        <w:rPr>
          <w:sz w:val="20"/>
          <w:szCs w:val="20"/>
          <w:color w:val="auto"/>
        </w:rPr>
      </w:pPr>
    </w:p>
    <w:p>
      <w:pPr>
        <w:jc w:val="both"/>
        <w:ind w:left="660" w:firstLine="644"/>
        <w:spacing w:after="0" w:line="261" w:lineRule="auto"/>
        <w:tabs>
          <w:tab w:leader="none" w:pos="15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registered form without coupons in minimum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left="660" w:firstLine="644"/>
        <w:spacing w:after="0" w:line="252" w:lineRule="auto"/>
        <w:tabs>
          <w:tab w:leader="none" w:pos="158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Corporate Trust Office of the Trustee and (y) in the case of any Global Note, shall be payable by wire transfer of immediately available funds to the account of the Depositary or its nominee. The Company shall pay, or cause the Paying Agent to pay (to the extent funded by the Company), interest (i) on any Physical Notes (A) to Holders holding Physical Notes having an aggregate principal amount of $5,000,000 or less, by check mailed (at the Company’s expense) to the Holders of these Notes at their addresses as they appear in the Note Register and (B) to Holders holding Physical Notes having an aggregate principal amount of more than $5,000,000, either by check mailed (at the Company’s expense) to each such Holder or, upon application by such a Holder to the Trustee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Trustee to the contrary, or</w:t>
      </w:r>
    </w:p>
    <w:p>
      <w:pPr>
        <w:spacing w:after="0" w:line="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Global Note by wire transfer of immediately available funds to the account of the Depositary or its nominee.</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clause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below:</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2" w:lineRule="auto"/>
        <w:tabs>
          <w:tab w:leader="none" w:pos="218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Section 2.03(c).</w:t>
      </w:r>
    </w:p>
    <w:p>
      <w:pPr>
        <w:spacing w:after="0" w:line="194"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5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shall have no responsibility whatsoever for the calculation of the Defaulted Amounts.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doubt, the Company may make payment of any Defaulted Amounts and any interest thereon relating to any amounts due upon conversion of the Notes (other than interest) in a manner other than as provided in Section 2.03(c)(i); provided that such manner would be permitted under the terms of this Indenture if such amounts due upon conversion were not Defaulted Amounts.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Execution, Authentication and Delivery of Notes</w:t>
      </w:r>
      <w:r>
        <w:rPr>
          <w:rFonts w:ascii="Times New Roman" w:cs="Times New Roman" w:eastAsia="Times New Roman" w:hAnsi="Times New Roman"/>
          <w:sz w:val="18"/>
          <w:szCs w:val="18"/>
          <w:color w:val="auto"/>
        </w:rPr>
        <w:t>. The Notes shall be signed in the name and on behalf of the Company by the manual, facsimile or other electronic signature of its Chief Executive Officer, President, Chief Financial Officer, Chief Accounting Officer, Treasurer, General Counsel, Secretary, any of its Executive, Senior Vice Presidents or Directors.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provided that, subject to Section 17.05, the Trustee shall be entitled to receive an Officer’s Certificate and an Opinion of Counsel of the Company with respect to the issuance, authentication and delivery of such Notes.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Exchange and Registration of Transfer of Notes; Restrictions on Transfer; Depositary.</w:t>
      </w:r>
    </w:p>
    <w:p>
      <w:pPr>
        <w:spacing w:after="0" w:line="227" w:lineRule="exact"/>
        <w:rPr>
          <w:sz w:val="20"/>
          <w:szCs w:val="20"/>
          <w:color w:val="auto"/>
        </w:rPr>
      </w:pPr>
    </w:p>
    <w:p>
      <w:pPr>
        <w:jc w:val="both"/>
        <w:ind w:left="660" w:firstLine="644"/>
        <w:spacing w:after="0" w:line="256" w:lineRule="auto"/>
        <w:tabs>
          <w:tab w:leader="none" w:pos="15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for the purpose of registering Notes and transfers of Notes as herein provided. The Company may appoint one or more co-Note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Registrars in accordance with Section 4.02.</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service charge shall be imposed by the transfer agent or the Note Registrar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 of the Company, the Trustee or the Note Registrar shall be required to exchange or register a transfer of (1) any Notes selected for</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Redemption in accordance with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 except the unredeemed portion of any Note being redeemed in part, (2) any Notes surrendered for conversion or, if a portion of any Note is surrendered for conversion, such portion thereof surrendered for conversion or (3) any Notes, or a portion of any Note, surrendered for repurchase (and not withdrawn)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15 upon a Fundamental Change or the Specified Repurchase.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76" w:lineRule="exact"/>
        <w:rPr>
          <w:sz w:val="20"/>
          <w:szCs w:val="20"/>
          <w:color w:val="auto"/>
        </w:rPr>
      </w:pPr>
    </w:p>
    <w:p>
      <w:pPr>
        <w:ind w:left="920" w:hanging="276"/>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paragraph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xml:space="preserve">”) registered in the name of the Depositary or the nominee of the Depositary. Each Global Note shall bear the legend required on a Global Note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transfer and exchange of beneficial interests in a Global Note that does not involve the issuance of a Physical Note shall be effected through the Depositary (but not the Trustee or the Note Custodian) in accordance with this Indenture (including the restrictions on transfer set forth herein) and the Applicable Procedures of the Depositary therefor.</w:t>
      </w:r>
    </w:p>
    <w:p>
      <w:pPr>
        <w:spacing w:after="0" w:line="186" w:lineRule="exact"/>
        <w:rPr>
          <w:rFonts w:ascii="Times New Roman" w:cs="Times New Roman" w:eastAsia="Times New Roman" w:hAnsi="Times New Roman"/>
          <w:sz w:val="18"/>
          <w:szCs w:val="18"/>
          <w:color w:val="auto"/>
        </w:rPr>
      </w:pPr>
    </w:p>
    <w:p>
      <w:pPr>
        <w:jc w:val="both"/>
        <w:ind w:firstLine="644"/>
        <w:spacing w:after="0" w:line="256" w:lineRule="auto"/>
        <w:tabs>
          <w:tab w:leader="none" w:pos="9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that bears or is required under this Section 2.05(c) to bear the Restrictive Notes Legend (together with any Class A Ordinary Shares issued upon conversion of the Notes that is required to bear the legend set forth in Section 2.05(d), collectively,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shall be subject to the restrictions on transfer set forth in this Section 2.05(c) (including the Restrictive Notes Legend set forth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“transfer” encompasses any sale, pledge, transfer or other disposition whatsoever of any Restricted Security.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certificate evidencing such Note (and all securities issued in exchange therefor or substitution thereof, other than Class A Ordinary Shares, if any, issued upon conversion thereof, which shall bear the legend set forth in Section 2.05(d), if applicable) shall bear a legend in substantially the following form (the “</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3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1" w:name="page62"/>
    <w:bookmarkEnd w:id="6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76" w:lineRule="exact"/>
        <w:rPr>
          <w:sz w:val="20"/>
          <w:szCs w:val="20"/>
          <w:color w:val="auto"/>
        </w:rPr>
      </w:pPr>
    </w:p>
    <w:p>
      <w:pPr>
        <w:jc w:val="both"/>
        <w:ind w:left="640" w:firstLine="652"/>
        <w:spacing w:after="0" w:line="266" w:lineRule="auto"/>
        <w:tabs>
          <w:tab w:leader="none" w:pos="15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BITDEER TECHNOLOGIES GROUP (THE “COMPANY”) THAT IT WILL NOT OFFER, SELL, PLEDGE OR OTHERWISE TRANSFER THIS SECURITY OR ANY BENEFICIAL INTEREST HEREIN, EXCEPT:</w:t>
      </w:r>
    </w:p>
    <w:p>
      <w:pPr>
        <w:spacing w:after="0" w:line="161" w:lineRule="exact"/>
        <w:rPr>
          <w:rFonts w:ascii="Times New Roman" w:cs="Times New Roman" w:eastAsia="Times New Roman" w:hAnsi="Times New Roman"/>
          <w:sz w:val="18"/>
          <w:szCs w:val="18"/>
          <w:color w:val="auto"/>
        </w:rPr>
      </w:pPr>
    </w:p>
    <w:p>
      <w:pPr>
        <w:ind w:left="2240" w:hanging="300"/>
        <w:spacing w:after="0"/>
        <w:tabs>
          <w:tab w:leader="none" w:pos="2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300" w:right="20" w:firstLine="640"/>
        <w:spacing w:after="0" w:line="282" w:lineRule="auto"/>
        <w:tabs>
          <w:tab w:leader="none" w:pos="22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WHICH HAS BECOME EFFECTIVE UNDER THE SECURITIES ACT, OR</w:t>
      </w:r>
    </w:p>
    <w:p>
      <w:pPr>
        <w:spacing w:after="0" w:line="161" w:lineRule="exact"/>
        <w:rPr>
          <w:rFonts w:ascii="Times New Roman" w:cs="Times New Roman" w:eastAsia="Times New Roman" w:hAnsi="Times New Roman"/>
          <w:sz w:val="18"/>
          <w:szCs w:val="18"/>
          <w:color w:val="auto"/>
        </w:rPr>
      </w:pPr>
    </w:p>
    <w:p>
      <w:pPr>
        <w:ind w:left="1300" w:firstLine="640"/>
        <w:spacing w:after="0" w:line="282" w:lineRule="auto"/>
        <w:tabs>
          <w:tab w:leader="none" w:pos="23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 ACT, OR</w:t>
      </w:r>
    </w:p>
    <w:p>
      <w:pPr>
        <w:spacing w:after="0" w:line="161" w:lineRule="exact"/>
        <w:rPr>
          <w:rFonts w:ascii="Times New Roman" w:cs="Times New Roman" w:eastAsia="Times New Roman" w:hAnsi="Times New Roman"/>
          <w:sz w:val="18"/>
          <w:szCs w:val="18"/>
          <w:color w:val="auto"/>
        </w:rPr>
      </w:pPr>
    </w:p>
    <w:p>
      <w:pPr>
        <w:jc w:val="both"/>
        <w:ind w:left="1300" w:firstLine="640"/>
        <w:spacing w:after="0" w:line="266" w:lineRule="auto"/>
        <w:tabs>
          <w:tab w:leader="none" w:pos="2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transfer of any Note required to bear the legend above will be registered by the Note Registrar unless the applicable box on the Form of Assignment and Transfer has been checked.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Note (or security issued in exchange or substitution therefor) (i) that has been transferred pursuant to a registration statement that has become effective or been declared effective under the Securities Act and that continues to be effective at the time of such transfer or (ii)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Company shall be entitled to instruct the Custodian in writing to so surrender any Global Note as to which any of the conditions set forth in clause (i) through (ii) of the immediately preceding sentence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The Company shall promptly notify the Trustee in writing after a registration statement, if any, with respect to the Notes or any Class A Ordinary Shares issued upon conversion of the Notes has become or been declared effective under the Securities Act.</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The Company initially appoints DTC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Global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spacing w:after="0" w:line="38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3" w:name="page64"/>
    <w:bookmarkEnd w:id="6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such time as all interests in a Global Note have been converted, canceled, repurchased upon a Fundamental Change or the Specified Repurchase, redeemed or transferred, such Global Note shall be, upon receipt thereof, canceled by the Trustee in accordance with standing procedures and existing instructions between the Depositary and the Note Custodian. At any time prior to such cancellation, if any interest in a Global Note is exchanged for Physical Notes, converted, canceled, repurchased upon a Fundamental Change or the Specified Repurchase,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Note Custodian, be appropriately reduced or increased, as the case may be, and an endorsement shall be made on such Global Note, by the Trustee or the Note Custodian, at the direction of the Trustee, to reflect such reduction or increase.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 of the Company, the Trustee (including in its capacity as Paying Agent) or any agent of the Company or the Trustee shall have any responsibility or liability for any act or omission of the Depositary or for the payment of amounts to owners of beneficial interests in a Global Note, for any aspect of the records relating to or payments made on account of beneficial ownership interests of a Global Note or maintaining, supervising or reviewing any records relating to such beneficial ownership interests.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Company nor the Trustee, Paying Agent or Conversion Agent shall have any responsibility or liability for any actions taken or not taken by the Depositary.</w:t>
      </w:r>
    </w:p>
    <w:p>
      <w:pPr>
        <w:spacing w:after="0" w:line="162" w:lineRule="exact"/>
        <w:rPr>
          <w:sz w:val="20"/>
          <w:szCs w:val="20"/>
          <w:color w:val="auto"/>
        </w:rPr>
      </w:pPr>
    </w:p>
    <w:p>
      <w:pPr>
        <w:jc w:val="both"/>
        <w:ind w:firstLine="644"/>
        <w:spacing w:after="0" w:line="254" w:lineRule="auto"/>
        <w:tabs>
          <w:tab w:leader="none" w:pos="9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certificate representing Class A Ordinary Shares issued upon conversion of a Note shall bear a legend in substantially the following form (unless such share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Class A Ordinary Shares have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Class A Ordinary Shares):</w:t>
      </w:r>
    </w:p>
    <w:p>
      <w:pPr>
        <w:spacing w:after="0" w:line="3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76" w:lineRule="exact"/>
        <w:rPr>
          <w:sz w:val="20"/>
          <w:szCs w:val="20"/>
          <w:color w:val="auto"/>
        </w:rPr>
      </w:pPr>
    </w:p>
    <w:p>
      <w:pPr>
        <w:jc w:val="both"/>
        <w:ind w:left="640" w:firstLine="4"/>
        <w:spacing w:after="0" w:line="266" w:lineRule="auto"/>
        <w:tabs>
          <w:tab w:leader="none" w:pos="9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5" w:lineRule="exact"/>
        <w:rPr>
          <w:rFonts w:ascii="Times New Roman" w:cs="Times New Roman" w:eastAsia="Times New Roman" w:hAnsi="Times New Roman"/>
          <w:sz w:val="18"/>
          <w:szCs w:val="18"/>
          <w:color w:val="auto"/>
        </w:rPr>
      </w:pPr>
    </w:p>
    <w:p>
      <w:pPr>
        <w:ind w:left="640" w:firstLine="4"/>
        <w:spacing w:after="0" w:line="282" w:lineRule="auto"/>
        <w:tabs>
          <w:tab w:leader="none" w:pos="9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BITDEER TECHNOLOGIES GROUP (THE “COMPANY”) THAT IT WILL NOT OFFER, SELL, PLEDGE OR OTHERWISE TRANSFER THIS SECURITY OR ANY BENEFICIAL INTEREST HEREIN, EXCEPT:</w:t>
      </w:r>
    </w:p>
    <w:p>
      <w:pPr>
        <w:spacing w:after="0" w:line="161" w:lineRule="exact"/>
        <w:rPr>
          <w:rFonts w:ascii="Times New Roman" w:cs="Times New Roman" w:eastAsia="Times New Roman" w:hAnsi="Times New Roman"/>
          <w:sz w:val="18"/>
          <w:szCs w:val="18"/>
          <w:color w:val="auto"/>
        </w:rPr>
      </w:pPr>
    </w:p>
    <w:p>
      <w:pPr>
        <w:ind w:left="1580" w:hanging="288"/>
        <w:spacing w:after="0"/>
        <w:tabs>
          <w:tab w:leader="none" w:pos="15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WHICH HAS BECOME EFFECTIVE UNDER THE SECURITIES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OR</w:t>
      </w:r>
    </w:p>
    <w:p>
      <w:pPr>
        <w:spacing w:after="0" w:line="206" w:lineRule="exact"/>
        <w:rPr>
          <w:rFonts w:ascii="Times New Roman" w:cs="Times New Roman" w:eastAsia="Times New Roman" w:hAnsi="Times New Roman"/>
          <w:sz w:val="18"/>
          <w:szCs w:val="18"/>
          <w:color w:val="auto"/>
        </w:rPr>
      </w:pPr>
    </w:p>
    <w:p>
      <w:pPr>
        <w:ind w:left="1580" w:hanging="288"/>
        <w:spacing w:after="0"/>
        <w:tabs>
          <w:tab w:leader="none" w:pos="15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 ACT,</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640" w:firstLine="652"/>
        <w:spacing w:after="0" w:line="282" w:lineRule="auto"/>
        <w:tabs>
          <w:tab w:leader="none" w:pos="16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COMPANY’S TRANSFER AGENT RESERVE THE RIGHT TO REQUIRE THE DELIVERY OF SUCH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such Class A Ordinary Shares (i) that has been transferred pursuant to a registration statement that has become or been declared effective under the Securities Act and that continues to be effective at the time of such transfer or (ii) that has been sold pursuant to the exemption from registration provided by Rule 144 or any similar provision then in force under the Securities Act, may, upon surrender of the certificates representing such shares of Class A Ordinary Shares for exchange in accordance with the procedures of the transfer agent for the Class A Ordinary Shares, be exchanged for a new certificate or certificates for a like aggregate number of Class A Ordinary Shares, which shall not bear the restrictive legend required by this Section 2.05(d).</w:t>
      </w:r>
    </w:p>
    <w:p>
      <w:pPr>
        <w:spacing w:after="0" w:line="3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5" w:name="page66"/>
    <w:bookmarkEnd w:id="65"/>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Any Note or restricted Class A Ordinary Shares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Class A Ordinary Shares, as the case may be, no longer being a “restricted security” (as defined under Rule 144).</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Mutilated, Destroyed, Lost or Stolen Notes.</w:t>
      </w:r>
      <w:r>
        <w:rPr>
          <w:rFonts w:ascii="Times New Roman" w:cs="Times New Roman" w:eastAsia="Times New Roman" w:hAnsi="Times New Roman"/>
          <w:sz w:val="18"/>
          <w:szCs w:val="18"/>
          <w:color w:val="auto"/>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the Specified Repurchase or is about to be converted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Every substitute Note issued pursuant to the provisions of this Section‎ 2.06‎by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Temporary Notes</w:t>
      </w:r>
      <w:r>
        <w:rPr>
          <w:rFonts w:ascii="Times New Roman" w:cs="Times New Roman" w:eastAsia="Times New Roman" w:hAnsi="Times New Roman"/>
          <w:sz w:val="18"/>
          <w:szCs w:val="18"/>
          <w:color w:val="auto"/>
        </w:rPr>
        <w:t>.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Cancellation of Notes Paid, Converted, Etc</w:t>
      </w:r>
      <w:r>
        <w:rPr>
          <w:rFonts w:ascii="Times New Roman" w:cs="Times New Roman" w:eastAsia="Times New Roman" w:hAnsi="Times New Roman"/>
          <w:sz w:val="18"/>
          <w:szCs w:val="18"/>
          <w:color w:val="auto"/>
        </w:rPr>
        <w:t>. The Company shall cause all Notes surrendered for the purpose of payment at maturity, repurchase upon a Fundamental Change or the Specified Repurchase, Redemption, registration of transfer or exchange or conversion (other than any Notes exchanged pursuant to Section 14.13), if surrendered to the Company or any of the Company’s agents or Subsidiaries, to be surrendered to the Trustee for cancellation, and they will no longer be considered “outstanding” under this Indenture upon their payment at maturity, repurchase upon a Fundamental Change or the Specified Repurchase, Redemption, registration of transfer or exchange or conversion, as the case may be. All Notes delivered to the Trustee shall, upon receipt of a written request in a Company Order, be canceled promptly by it in accordance with its customary procedures. Except for any Notes surrendered for registration of transfer or exchange, or as otherwise expressly permitted by any of the provisions of this Indenture, no Notes shall be authenticated in exchange for any Notes surrendered to the Trustee for cancellation. The Trustee shall cancel Notes in accordance with its customary procedures and, after such cancellation, shall deliver evidence of such cancellation to the Company, at the Company’s written request in a Company Order.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CUSIP Numbers</w:t>
      </w:r>
      <w:r>
        <w:rPr>
          <w:rFonts w:ascii="Times New Roman" w:cs="Times New Roman" w:eastAsia="Times New Roman" w:hAnsi="Times New Roman"/>
          <w:sz w:val="18"/>
          <w:szCs w:val="18"/>
          <w:color w:val="auto"/>
        </w:rPr>
        <w:t xml:space="preserve">.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Additional Notes; Repurchases .</w:t>
      </w:r>
      <w:r>
        <w:rPr>
          <w:rFonts w:ascii="Times New Roman" w:cs="Times New Roman" w:eastAsia="Times New Roman" w:hAnsi="Times New Roman"/>
          <w:sz w:val="18"/>
          <w:szCs w:val="18"/>
          <w:color w:val="auto"/>
        </w:rPr>
        <w:t xml:space="preserve"> The Company may, without the consent of, or notice to, the Holders and notwithstanding Section 2.01, reopen this Indenture and issue additional Notes under this Indenture with the same terms as the Notes initially issued hereunder (except for any differences in the issue price, the issue date and interest accrued, if any, and, if applicable, restrictions on transfer in respect of such additional Notes) in an unlimited aggregate principal amount;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reissued or resold Notes are not fungible with the Notes initially issued hereunder for U.S. federal income tax or securities law purposes, such reissued or resold Notes shall have one or more separate CUSIP numbers. Any Notes that the Company may repurchase shall be considered outstanding for all purposes under this Indenture (other than, at any time when such Notes are held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ischarge</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(a) This Indenture and the Notes shall cease to be of further effect when (i) all Notes theretofore authenticated and delivered (other than (x) Notes which have been destroyed, lost or stolen and which have been replaced, paid or converted as provided in Section 2.06 hereof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any Redemption Date, the Specified Repurchase Date, any Fundamental Change Repurchase Date, upon conversion or otherwise, cash or, solely to satisfy the Company’s Conversion Obligation, cash, Class A Ordinary Shares or a combination thereof, as applicable, sufficient to pay all of the outstanding Notes and all other sums due and payable under this Indenture and the Notes by the Company and (b) the Trustee, upon request of the Company contained in an Officer’s Certificate and at the expense of the Company, shall execute such instruments reasonably requested by the Company acknowledging such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and the Notes, the obligations of the Company to the Trustee (in each of its capacities) under Section 7.06 shall survive.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Principal and Interest.</w:t>
      </w:r>
      <w:r>
        <w:rPr>
          <w:rFonts w:ascii="Times New Roman" w:cs="Times New Roman" w:eastAsia="Times New Roman" w:hAnsi="Times New Roman"/>
          <w:sz w:val="18"/>
          <w:szCs w:val="18"/>
          <w:color w:val="auto"/>
        </w:rPr>
        <w:t xml:space="preserve"> The Company covenants and agrees that it will pay or cause to be paid the principal (including the Redemption Price, the Fundamental Change Repurchase Price and the Specified Repurchase Date Repurchase Price, if applicable) of, and accrued and unpaid interest on, each of the Notes at the places, at the respective times and in the manner </w:t>
      </w:r>
      <w:r>
        <w:rPr>
          <w:rFonts w:ascii="Times New Roman" w:cs="Times New Roman" w:eastAsia="Times New Roman" w:hAnsi="Times New Roman"/>
          <w:sz w:val="18"/>
          <w:szCs w:val="18"/>
          <w:i w:val="1"/>
          <w:iCs w:val="1"/>
          <w:color w:val="auto"/>
        </w:rPr>
        <w:t>provided herein</w:t>
      </w:r>
      <w:r>
        <w:rPr>
          <w:rFonts w:ascii="Times New Roman" w:cs="Times New Roman" w:eastAsia="Times New Roman" w:hAnsi="Times New Roman"/>
          <w:sz w:val="18"/>
          <w:szCs w:val="18"/>
          <w:color w:val="auto"/>
        </w:rPr>
        <w:t xml:space="preserve"> and in the Notes.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The Company will maintain within the contiguous United States of America, an office or agency where the Notes may be surrendered for registration of transfer or exchange or for presentation for payment or repurchase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or for conversion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within the contiguous United States of America.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also from time to time designate as co-Note Registrars one or more other offices or agencies where the Notes may be presented or surrendered for any or all such purposes and may from time to time rescind such designations; provided that no such designation or rescission shall in any manner relieve the Company of its obligation to maintain an office or agency within the contiguous United States of America, for such purposes. The Company will give prompt written notice to the Trustee of any such designation or rescission and of any change in the location of any such other office or agency. The terms “Paying Agent” and “Conversion Agent” include any such additional or other offices or agencies, as applicable.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the Paying Agent, Note Registrar, Custodian and Conversion Agent and the Corporate Trust Office as the office or agency within the contiguous United States of America, where Notes may be surrendered for registration of transfer or exchange or for presentation for payment or repurchase or for conversion and where notices and demands to or upon the Company in respect of the Notes and this Indenture may be served; provided that the Corporate Trust Office shall not be a place for service of legal process for the Company.</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Appointments to Fill Vacancies in Trustee’s Office.</w:t>
      </w:r>
      <w:r>
        <w:rPr>
          <w:rFonts w:ascii="Times New Roman" w:cs="Times New Roman" w:eastAsia="Times New Roman" w:hAnsi="Times New Roman"/>
          <w:sz w:val="18"/>
          <w:szCs w:val="18"/>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Provisions as to Paying Agent</w:t>
      </w:r>
      <w:r>
        <w:rPr>
          <w:rFonts w:ascii="Times New Roman" w:cs="Times New Roman" w:eastAsia="Times New Roman" w:hAnsi="Times New Roman"/>
          <w:sz w:val="18"/>
          <w:szCs w:val="18"/>
          <w:color w:val="auto"/>
        </w:rPr>
        <w:t>.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75" w:lineRule="exact"/>
        <w:rPr>
          <w:sz w:val="20"/>
          <w:szCs w:val="20"/>
          <w:color w:val="auto"/>
        </w:rPr>
      </w:pPr>
    </w:p>
    <w:p>
      <w:pPr>
        <w:jc w:val="both"/>
        <w:ind w:left="1300" w:firstLine="652"/>
        <w:spacing w:after="0" w:line="266" w:lineRule="auto"/>
        <w:tabs>
          <w:tab w:leader="none" w:pos="21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(including the Redemption Price, the Fundamental Change Repurchase Price and the Specified Repurchase Date Repurchase Price, if applicable) of, and accrued and unpaid interest on, the Notes in trust for the benefit of the Holders;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prompt written notice of any failure by the Company to make any payment of the principal (including the Redemption Price, the Fundamental Change Repurchase Price and the Specified Repurchase Date Repurchase Price, if applicable) of, and accrued and unpaid interest on, the Notes when the same shall be due and payable; and</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2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shall, on or before each due date of the principal (including the Redemption Price, the Fundamental Change Repurchase Price and the Specified Repurchase Date Repurchase Price, if applicable) of, or accrued and unpaid interest on, the Notes, deposit with the Paying Agent a sum sufficient to pay such principal (including the Redemption Price, the Fundamental Change Repurchase Price and the Specified Repurchase Date Repurchase Price, if applicable) or accrued and unpaid interest, and (unless such Paying Agent is the Trustee) the Company will promptly notify the Trustee in writing of any failure to take such action; provided that if such deposit is made on the due date, such deposit must be received by the Paying Agent by 11:00 a.m., New York City time, on such date.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left="-460" w:firstLine="644"/>
        <w:spacing w:after="0" w:line="255" w:lineRule="auto"/>
        <w:tabs>
          <w:tab w:leader="none" w:pos="4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it will, on or before each due date of the principal (including the Redemption Price, the Fundamental Change Repurchase Price and the Specified Repurchase Date Repurchase Price, if applicable) of, and accrued and unpaid interest on, the Notes, set aside, segregate and hold in trust for the benefit of the Holders of the Notes a sum sufficient to pay such principal (including the Redemption Price, the Fundamental Change Repurchase Price and the Specified Repurchase Date Repurchase Price, if applicable) and accrued and unpaid interest so becoming due and will promptly notify the Trustee in writing of any failure to take such action and of any failure by the Company to make any payment of the principal (including the Redemption Price, the Fundamental Change Repurchase Price and the Specified Repurchase Date Repurchase Price, if applicable) of, or accrued and unpaid interest on, the Notes when the same shall become due and payable.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escheatment laws, any money and Class A Ordinary Shares deposited with the Trustee or any Paying Agent, or then held by the Company, in trust for the payment of the principal (including the Redemption Price, the Fundamental Change Repurchase Price and the Specified Repurchase Date Repurchase Price, if applicable) of, accrued and unpaid interest on and the consideration due upon conversion of any Note and remaining unclaimed for two years after such principal (including the Redemption Price, the Fundamental Change Repurchase Price and the Specified Repurchase Date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Class A Ordinary Shares, and all liability of the Company as trustee thereof, shall thereupon cease.</w:t>
      </w:r>
    </w:p>
    <w:p>
      <w:pPr>
        <w:spacing w:after="0" w:line="188"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Event of Default pursuant to Section 6.01(h) or Section 6.01(i), the Trustee shall automatically become the Paying Agent if the Trustee is not the Paying Agent at such time.</w:t>
      </w:r>
    </w:p>
    <w:p>
      <w:pPr>
        <w:spacing w:after="0" w:line="3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0" w:name="page71"/>
    <w:bookmarkEnd w:id="70"/>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Subject to Article 11, the Company shall do or cause to be done all things necessary to preserve and keep in full force and effect its corporate existence.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Rule 144A Information Requirement and Annual Reports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644"/>
        <w:spacing w:after="0" w:line="256" w:lineRule="auto"/>
        <w:tabs>
          <w:tab w:leader="none" w:pos="15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Company is not subject to Section 13 or 15(d) of the Exchange Act, the Company shall, so long as any of the Notes or any Class A Ordinary Shares issuable upon conversion thereof shall, at such time, constitute “restricted securities” within the meaning of Rule 144(a)(3) under the Securities Act, promptly provide to the Trustee and, upon written request, provide to any Holder, beneficial owner or prospective purchaser of such Notes or any Class A Ordinary Shares issuable upon conversion of such Notes the information required to be delivered pursuant to Rule 144A(d)(4) under the Securities Act to facilitate the resale of such Notes or Class A Ordinary Shares pursuant to Rule 144A.</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Trustee a copy of any documents or reports that the Company is required to file with the Commission pursuant to Section 13 or 15(d) of the Exchange Act (excluding any such information, documents or reports, or portions thereof, subject to confidential treatment and any correspondence with the Commission) within fifteen (15) days after the same are required to be filed with the Commission (giving effect to any grace period provided by Rule 12b-25 under the Exchange Act or any successor rule), which grace period, for the avoidance of doubt, shall be deemed applicable whether or not the Company checks the box in the relevant Rule 12b-25 filing indicating that it expects to file such report within the applicable Rule 12b-25 grace period. Any such document or report that the Company files with the Commission via the Commission’s EDGAR system (or any successor system) shall be deemed to be filed with the Trustee for purposes of this Section 4.06 at the time such document or report is filed via the EDGAR system (or such successor system).</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and documents described in subsection (b) above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 The Trustee shall have no liability or responsibility for the filing, timeliness or content of any such reports. If the Notes become convertible into Reference Property consisting in whole or in part of Capital Shares of any parent company of the Company pursuant to the terms of this Indenture and such parent company provides a full and unconditional guarantee of the Notes, the Commission reports of such parent company shall be deemed to satisfy the foregoing reporting requirements of this Section 4.06.</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1" w:name="page72"/>
    <w:bookmarkEnd w:id="71"/>
    <w:p>
      <w:pPr>
        <w:jc w:val="both"/>
        <w:ind w:left="-460" w:firstLine="644"/>
        <w:spacing w:after="0" w:line="253" w:lineRule="auto"/>
        <w:tabs>
          <w:tab w:leader="none" w:pos="4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date that is six months after the last date of original issuance of the Notes, the Company has failed to file any report or other materials that it is required to file with the Commission pursuant to Section 13 or 15(d) of the Exchange Act, as applicable, during the preceding 12 months (other than current reports on Form 8-K and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it expects to file such report within the applicable Rule 12b-25 grace period), or the Notes are not otherwise freely tradable, the Company shall pay Additional Interest on the Notes. Such Additional Interest shall accrue on the Notes at the rate of 0.25% per annum for the first 90 days and thereafter at a rate of 0.50% per annum of the principal amount of the Notes outstanding for each day during such period for which the Company’s failure to file has occurred and is continuing or the Notes are not otherwise freely tradable. As used in this Section 4.06(d) reports or other materials that the Company is required to “file” with the Commission pursuant to Section 13 or 15(d) of the Exchange Act does not include documents or reports that the Company furnishes to the Commission pursuant to Section 13 or 15(d) of the Exchange Act.</w:t>
      </w:r>
    </w:p>
    <w:p>
      <w:pPr>
        <w:spacing w:after="0" w:line="191"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4.06(j), Additional Interest will be payable in arrears on each Interest Payment Date following accrual in the same manner as regular interest on the Notes.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immediately succeeding sentence, the Additional Interest that is payable in accordance with Section 4.06(d) shall be in addition to any Additional Interest that may accrue at the Company’s election pursuant to Section 6.03. However, in no event shall Additional Interest payable for the Company’s failure to comply with its obligations to file any report or other materials that the Company is required to file with the Commission pursuant to Section 13 or 15(d) of the Exchange Act, as applicable (after giving effect to all applicable grace periods thereunder and other than current reports on Form 8-K), as set forth in Section 4.06(d), together with any Additional Interest in respect of an Event of Default that may accrue at the Company’s election pursuant to Section 6.03, accrue at a rate in excess of 1.00% per annum pursuant to this Indenture, regardless of the number of events or circumstances giving rise to the requirement to pay such Additional Interest.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Additional Interest is payable by the Company pursuant to Section 4.06(d),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Officer’s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2" w:name="page73"/>
    <w:bookmarkEnd w:id="72"/>
    <w:p>
      <w:pPr>
        <w:jc w:val="both"/>
        <w:ind w:left="660" w:firstLine="644"/>
        <w:spacing w:after="0" w:line="255" w:lineRule="auto"/>
        <w:tabs>
          <w:tab w:leader="none" w:pos="15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2.05(c) or Section 2.05(d), if a Holder of any Note or Class A Ordinary Share issued upon conversion of any Note, or an owner of a beneficial interest in any Global Note, or in a global certificate representing any Class A Ordinary Share issued upon conversion of any Note, transfers such Note or Class A Ordinary Share in compliance with Rule 144 and delivers to the Company a written request, certifying that it is not, and has not been at any time during the preceding three months, an Affiliate of the Company, to reissue such Note or Class A Ordinary Share without a restrictive legend, then the Company shall cause the same to occur (and, if applicable, cause such Note or Class A Ordinary Share to thereafter be represented by an “unrestricted” CUSIP number in the facilities of the related Depositary), and the Company shall use its commercially reasonable efforts to cause such occurrence within two Trading Days of such request.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Additional Interest begins to accrue on any Global Note on or after the close of business on a Regular Record Date and prior to the open of business on the corresponding Interest Payment Date, the Additional Interest that accrues during such period will be due on the Interest Payment Date next succeeding such corresponding Interest Payment Date, and no interest shall accrue in respect of such delay.</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Stay, Extension and Usury Laws</w:t>
      </w:r>
      <w:r>
        <w:rPr>
          <w:rFonts w:ascii="Times New Roman" w:cs="Times New Roman" w:eastAsia="Times New Roman" w:hAnsi="Times New Roman"/>
          <w:sz w:val="18"/>
          <w:szCs w:val="18"/>
          <w:color w:val="auto"/>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Compliance Certificate; Statements as to Defaults.</w:t>
      </w:r>
      <w:r>
        <w:rPr>
          <w:rFonts w:ascii="Times New Roman" w:cs="Times New Roman" w:eastAsia="Times New Roman" w:hAnsi="Times New Roman"/>
          <w:sz w:val="18"/>
          <w:szCs w:val="18"/>
          <w:color w:val="auto"/>
        </w:rPr>
        <w:t xml:space="preserve"> The Company shall deliver to the Trustee within 120 days after the end of each fiscal year of the Company (beginning with the fiscal year ended on December 31, 2025) an Officer’s Certificate stating whether the signers thereof have knowledge of any Event of Default that occurred during the previous year that is then continuing and, if so, specifying each such failure and the nature thereof. In addition, the Company shall deliver to the Trustee within 30 days after obtaining knowledge of the occurrence of any Default or Event of Default if such Default or Event of Default is then continuing, an Officer’s Certificate setting forth the details of such Default or Event of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is not required to deliver such notice if such Default or Event of Default has been cured.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Further Instruments and Acts</w:t>
      </w:r>
      <w:r>
        <w:rPr>
          <w:rFonts w:ascii="Times New Roman" w:cs="Times New Roman" w:eastAsia="Times New Roman" w:hAnsi="Times New Roman"/>
          <w:sz w:val="18"/>
          <w:szCs w:val="18"/>
          <w:color w:val="auto"/>
        </w:rPr>
        <w:t>. Upon request of the Trustee, the Company shall execute and deliver such further instruments and do such further acts as may be reasonably necessary or proper to carry out more effectively the purposes of this Indenture.</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(a) All payments and deliveries made by, or on behalf of, the Company or any successor to the Company under or with respect to the Notes, including payments of principal (including, if applicable, the Redemption Price, the Fundamental Change Repurchase Price and the Specified Repurchase Date Repurchase Price), payments of interest and payments of cash and/or deliveries of Class A Ordinary Shares (together with payments of cash for any fractional Class A Ordinary Shares) upon conversion of the Notes, will be made without withholding or deduction for, or on account of, any present or future taxes, duties, assessments or governmental charges of whatever nature imposed or levied by or within any jurisdiction in which the Company or any successor to the Company is, for tax purposes, organized or resident or doing business (each, as applicable, a “</w:t>
      </w:r>
      <w:r>
        <w:rPr>
          <w:rFonts w:ascii="Times New Roman" w:cs="Times New Roman" w:eastAsia="Times New Roman" w:hAnsi="Times New Roman"/>
          <w:sz w:val="18"/>
          <w:szCs w:val="18"/>
          <w:b w:val="1"/>
          <w:bCs w:val="1"/>
          <w:color w:val="auto"/>
        </w:rPr>
        <w:t>Relevant Taxing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Jurisdiction</w:t>
      </w:r>
      <w:r>
        <w:rPr>
          <w:rFonts w:ascii="Times New Roman" w:cs="Times New Roman" w:eastAsia="Times New Roman" w:hAnsi="Times New Roman"/>
          <w:sz w:val="18"/>
          <w:szCs w:val="18"/>
          <w:color w:val="auto"/>
        </w:rPr>
        <w:t>”) or from or through which payment is made or deemed made (together with each Relevant Taxing Jurisdiction, a “</w:t>
      </w:r>
      <w:r>
        <w:rPr>
          <w:rFonts w:ascii="Times New Roman" w:cs="Times New Roman" w:eastAsia="Times New Roman" w:hAnsi="Times New Roman"/>
          <w:sz w:val="18"/>
          <w:szCs w:val="18"/>
          <w:b w:val="1"/>
          <w:bCs w:val="1"/>
          <w:color w:val="auto"/>
        </w:rPr>
        <w:t>Relevant Jurisdiction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each case, any political subdivision or taxing authority thereof or therein), unless such withholding or deduction is required by law or by regulation or governmental policy having the force of law. In the event that any such withholding or deduction is so required, the Company shall pay to each Holder such additional amounts (“</w:t>
      </w:r>
      <w:r>
        <w:rPr>
          <w:rFonts w:ascii="Times New Roman" w:cs="Times New Roman" w:eastAsia="Times New Roman" w:hAnsi="Times New Roman"/>
          <w:sz w:val="18"/>
          <w:szCs w:val="18"/>
          <w:b w:val="1"/>
          <w:bCs w:val="1"/>
          <w:color w:val="auto"/>
        </w:rPr>
        <w:t>Additional Amounts</w:t>
      </w:r>
      <w:r>
        <w:rPr>
          <w:rFonts w:ascii="Times New Roman" w:cs="Times New Roman" w:eastAsia="Times New Roman" w:hAnsi="Times New Roman"/>
          <w:sz w:val="18"/>
          <w:szCs w:val="18"/>
          <w:color w:val="auto"/>
        </w:rPr>
        <w:t xml:space="preserve">”) as may be necessary to ensure that the net amount received by the Holders after such withholding or deduction (and after deducting any taxes on the Additional Amounts) will equal the amounts that would have been received by such Holders had no such withholding or deduction been required;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Additional Amounts will be payable:</w:t>
      </w:r>
    </w:p>
    <w:p>
      <w:pPr>
        <w:spacing w:after="0" w:line="192" w:lineRule="exact"/>
        <w:rPr>
          <w:sz w:val="20"/>
          <w:szCs w:val="20"/>
          <w:color w:val="auto"/>
        </w:rPr>
      </w:pPr>
    </w:p>
    <w:p>
      <w:pPr>
        <w:ind w:left="2160" w:hanging="208"/>
        <w:spacing w:after="0"/>
        <w:tabs>
          <w:tab w:leader="none" w:pos="2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 on account of:</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duty, assessment or other governmental charge that would not have been imposed but for:</w:t>
      </w:r>
    </w:p>
    <w:p>
      <w:pPr>
        <w:spacing w:after="0" w:line="225" w:lineRule="exact"/>
        <w:rPr>
          <w:rFonts w:ascii="Times New Roman" w:cs="Times New Roman" w:eastAsia="Times New Roman" w:hAnsi="Times New Roman"/>
          <w:sz w:val="18"/>
          <w:szCs w:val="18"/>
          <w:color w:val="auto"/>
        </w:rPr>
      </w:pPr>
    </w:p>
    <w:p>
      <w:pPr>
        <w:jc w:val="both"/>
        <w:ind w:left="3900" w:hanging="652"/>
        <w:spacing w:after="0" w:line="256" w:lineRule="auto"/>
        <w:tabs>
          <w:tab w:leader="none" w:pos="390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present or former connection between the Holder or beneficial owner of such Note and the Relevant Jurisdiction, other than merely holding such Note or the receipt of payments thereunder, including such Holder or beneficial owner being or having been a national, domiciliary or resident of such Relevant Jurisdiction or treated as a resident thereof or being or having been physically present or engaged in a trade or business therein or having or having had a permanent establishment therein;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4" w:name="page75"/>
    <w:bookmarkEnd w:id="74"/>
    <w:p>
      <w:pPr>
        <w:jc w:val="both"/>
        <w:ind w:left="2780" w:hanging="652"/>
        <w:spacing w:after="0" w:line="255" w:lineRule="auto"/>
        <w:tabs>
          <w:tab w:leader="none" w:pos="27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such Note (in cases in which presentation is required) more than 30 days after the later of the date on which the payment of the principal of (including the Redemption Price, the Specified Repurchase Date Repurchase Price and the Fundamental Change Repurchase Price, if applicable) and interest on such Note or the payment of cash and/or the delivery of Class A Ordinary Shares (together with payment of cash for any fractional Class A Ordinary Shares) upon conversion of such Note became due and payable or deliverable pursuant to the terms thereof or was made or duly provided for;</w:t>
      </w:r>
    </w:p>
    <w:p>
      <w:pPr>
        <w:spacing w:after="0" w:line="188" w:lineRule="exact"/>
        <w:rPr>
          <w:rFonts w:ascii="Times New Roman" w:cs="Times New Roman" w:eastAsia="Times New Roman" w:hAnsi="Times New Roman"/>
          <w:sz w:val="18"/>
          <w:szCs w:val="18"/>
          <w:color w:val="auto"/>
        </w:rPr>
      </w:pPr>
    </w:p>
    <w:p>
      <w:pPr>
        <w:jc w:val="both"/>
        <w:ind w:left="2780" w:hanging="652"/>
        <w:spacing w:after="0" w:line="254" w:lineRule="auto"/>
        <w:tabs>
          <w:tab w:leader="none" w:pos="27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Holder or beneficial owner to comply with a timely request from the Company or any successor of the Company, addressed to the Holder, to provide certification, information, documents or other evidence concerning such Holder’s or beneficial owner’s nationality, residence, identity or connection with the Relevant Jurisdiction, or to make any declaration or satisfy any other reporting requirement relating to such matters, if and to the extent that due and timely compliance with such request is required by statute, regulation or administrative practice of the Relevant Jurisdiction in order to reduce or eliminate any withholding or deduction as to which Additional Amounts would have otherwise been payable; or</w:t>
      </w:r>
    </w:p>
    <w:p>
      <w:pPr>
        <w:spacing w:after="0" w:line="191" w:lineRule="exact"/>
        <w:rPr>
          <w:rFonts w:ascii="Times New Roman" w:cs="Times New Roman" w:eastAsia="Times New Roman" w:hAnsi="Times New Roman"/>
          <w:sz w:val="18"/>
          <w:szCs w:val="18"/>
          <w:color w:val="auto"/>
        </w:rPr>
      </w:pPr>
    </w:p>
    <w:p>
      <w:pPr>
        <w:ind w:left="2780" w:hanging="652"/>
        <w:spacing w:after="0" w:line="282" w:lineRule="auto"/>
        <w:tabs>
          <w:tab w:leader="none" w:pos="27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such Note (in cases in which presentation is required) for payment in the Relevant Jurisdiction, unless such Note could not have been presented for payment elsewhere;</w:t>
      </w:r>
    </w:p>
    <w:p>
      <w:pPr>
        <w:spacing w:after="0" w:line="161" w:lineRule="exact"/>
        <w:rPr>
          <w:rFonts w:ascii="Times New Roman" w:cs="Times New Roman" w:eastAsia="Times New Roman" w:hAnsi="Times New Roman"/>
          <w:sz w:val="18"/>
          <w:szCs w:val="18"/>
          <w:color w:val="auto"/>
        </w:rPr>
      </w:pPr>
    </w:p>
    <w:p>
      <w:pPr>
        <w:ind w:left="2120" w:hanging="640"/>
        <w:spacing w:after="0"/>
        <w:tabs>
          <w:tab w:leader="none" w:pos="2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120" w:hanging="640"/>
        <w:spacing w:after="0" w:line="282" w:lineRule="auto"/>
        <w:tabs>
          <w:tab w:leader="none" w:pos="2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 transfer, excise, personal property or similar tax, assessment or other governmental charge;</w:t>
      </w:r>
    </w:p>
    <w:p>
      <w:pPr>
        <w:spacing w:after="0" w:line="161" w:lineRule="exact"/>
        <w:rPr>
          <w:rFonts w:ascii="Times New Roman" w:cs="Times New Roman" w:eastAsia="Times New Roman" w:hAnsi="Times New Roman"/>
          <w:sz w:val="18"/>
          <w:szCs w:val="18"/>
          <w:color w:val="auto"/>
        </w:rPr>
      </w:pPr>
    </w:p>
    <w:p>
      <w:pPr>
        <w:ind w:left="2120" w:right="20" w:hanging="640"/>
        <w:spacing w:after="0" w:line="282" w:lineRule="auto"/>
        <w:tabs>
          <w:tab w:leader="none" w:pos="2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duty, assessment or other governmental charge that is payable otherwise than by withholding or deduction from payments or deliveries under or with respect to the Notes;</w:t>
      </w:r>
    </w:p>
    <w:p>
      <w:pPr>
        <w:spacing w:after="0" w:line="3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5" w:name="page76"/>
    <w:bookmarkEnd w:id="75"/>
    <w:p>
      <w:pPr>
        <w:jc w:val="both"/>
        <w:ind w:left="3240" w:hanging="640"/>
        <w:spacing w:after="0" w:line="256" w:lineRule="auto"/>
        <w:tabs>
          <w:tab w:leader="none" w:pos="3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withholding or deduction required by sections 1471 through 1474 of the Code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any current or future Treasury regulations or rulings promulgated thereunder, any law, regulation or other official guidance enacted in any jurisdiction implementing FATCA, any intergovernmental agreement between the United States and any other jurisdiction to implement FATCA or any law enacted by such other jurisdiction to give effect to such agreement, or any agreement with the U.S. Internal Revenue Service under FATCA; or</w:t>
      </w:r>
    </w:p>
    <w:p>
      <w:pPr>
        <w:spacing w:after="0" w:line="187" w:lineRule="exact"/>
        <w:rPr>
          <w:rFonts w:ascii="Times New Roman" w:cs="Times New Roman" w:eastAsia="Times New Roman" w:hAnsi="Times New Roman"/>
          <w:sz w:val="18"/>
          <w:szCs w:val="18"/>
          <w:color w:val="auto"/>
        </w:rPr>
      </w:pPr>
    </w:p>
    <w:p>
      <w:pPr>
        <w:ind w:left="3240" w:hanging="640"/>
        <w:spacing w:after="0" w:line="282" w:lineRule="auto"/>
        <w:tabs>
          <w:tab w:leader="none" w:pos="3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taxes, duties, assessments or other governmental charges referred to in the preceding clauses (1), (2), (3), (4) or (5); or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1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payment of the principal of (including the Redemption Price, the Specified Repurchase Date Repurchase Price and the Fundamental Change Repurchase Price, if applicable) and interest on such Note or the payment of cash and/or the delivery of Class A Ordinary Shares (together with payment of cash for any fractional Class A Ordinary Shares) upon conversion of such Note to a Holder, if the Holder is a fiduciary, partnership or person other than the sole beneficial owner of that payment to the extent that such payment would be required to be included in the income under the laws of the Relevant Jurisdiction, for tax purposes, of a beneficiary or settlor with respect to the fiduciary, a partner or member of that partnership or a beneficial owner, in each case, that would not have been entitled to such Additional Amounts had that beneficiary, settlor, partner, member or beneficial owner been the Holder thereof.</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provisions, there are circumstances in which taxes could be withheld or deducted, but Additional Amounts would not be payable with respect to Notes held for some or all beneficial owners of Notes.</w:t>
      </w:r>
    </w:p>
    <w:p>
      <w:pPr>
        <w:spacing w:after="0" w:line="162" w:lineRule="exact"/>
        <w:rPr>
          <w:sz w:val="20"/>
          <w:szCs w:val="20"/>
          <w:color w:val="auto"/>
        </w:rPr>
      </w:pPr>
    </w:p>
    <w:p>
      <w:pPr>
        <w:jc w:val="both"/>
        <w:ind w:left="660" w:firstLine="644"/>
        <w:spacing w:after="0" w:line="266" w:lineRule="auto"/>
        <w:tabs>
          <w:tab w:leader="none" w:pos="15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Paying Agent shall also be entitled to make any withholding or deduction pursuant to an agreement described in Section 1471(b) of the Code or otherwise imposed pursuant to FATCA and any regulations or agreements thereunder or official interpretations thereof.</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5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Indenture or the Notes in any context to the payment of cash and/or the delivery of Class A Ordinary Shares (together with payments of cash for any fractional Class A Ordinary Shares), upon conversion of any Note or the payment of principal of (including the Redemption Price, the Specified Repurchase Date Repurchase Price and the Fundamental Change Repurchase Price, if applicable) and interest on any Note or any other amount payable with respect to such Note, such reference shall be deemed to include payment of Additional Amounts to the extent that, in such context, Additional Amounts are, were or would be payable in respect to that amount pursuant to this Section 4.10.</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its successor is required to make any deduction or withholding from any payments or deliveries with respect to the Notes, it will deliver to the Trustee official tax receipts evidencing the remittance to the relevant tax authorities of the amounts so withheld or deducted or, if such receipts are not obtainable, other evidence of payments reasonably satisfactory to the Trustee. Upon request, copies of those receipts or other evidence of payments, as the case may be, will be made available by the Paying Agent to the Holders or beneficial owners of the Notes.</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to determine whether any Additional Amounts are payable under this Indenture or the amount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Lists of Holders</w:t>
      </w:r>
      <w:r>
        <w:rPr>
          <w:rFonts w:ascii="Times New Roman" w:cs="Times New Roman" w:eastAsia="Times New Roman" w:hAnsi="Times New Roman"/>
          <w:sz w:val="18"/>
          <w:szCs w:val="18"/>
          <w:color w:val="auto"/>
        </w:rPr>
        <w:t>. The Company covenants and agrees that it will furnish or cause to be furnished to the Trustee, semi-annually, not more than 15 days after each Regular Record Date in each year beginning with May 1,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Preservation and Disclosure of Lists</w:t>
      </w:r>
      <w:r>
        <w:rPr>
          <w:rFonts w:ascii="Times New Roman" w:cs="Times New Roman" w:eastAsia="Times New Roman" w:hAnsi="Times New Roman"/>
          <w:sz w:val="18"/>
          <w:szCs w:val="18"/>
          <w:color w:val="auto"/>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emedies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 .</w:t>
      </w:r>
      <w:r>
        <w:rPr>
          <w:rFonts w:ascii="Times New Roman" w:cs="Times New Roman" w:eastAsia="Times New Roman" w:hAnsi="Times New Roman"/>
          <w:sz w:val="18"/>
          <w:szCs w:val="18"/>
          <w:color w:val="auto"/>
        </w:rPr>
        <w:t xml:space="preserv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229" w:lineRule="exact"/>
        <w:rPr>
          <w:sz w:val="20"/>
          <w:szCs w:val="20"/>
          <w:color w:val="auto"/>
        </w:rPr>
      </w:pPr>
    </w:p>
    <w:p>
      <w:pPr>
        <w:ind w:left="660" w:firstLine="644"/>
        <w:spacing w:after="0" w:line="282" w:lineRule="auto"/>
        <w:tabs>
          <w:tab w:leader="none" w:pos="15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or Additional Amounts, if any, on any Note when due and payable, and the default continues for a period of thirty (30) days;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on the Maturity Date, upon Redemption, upon any required repurchase, upon declaration of acceleration or otherwise;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and such failure continues for a period of five (5) Business Days;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left="-460" w:firstLine="644"/>
        <w:spacing w:after="0" w:line="266" w:lineRule="auto"/>
        <w:tabs>
          <w:tab w:leader="none" w:pos="4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issue a Fundamental Change Company Notice in accordance with Section 15.02, notice of a Make-Whole Fundamental Change in accordance with Section 14.03(a) or a notice of a specified corporate transaction in accordance with Section 14.01(b)(ii) or Section 14.01(b)(iii), in each case, when due, and such failure continues for five (5) Business Days;</w:t>
      </w:r>
    </w:p>
    <w:p>
      <w:pPr>
        <w:spacing w:after="0" w:line="171"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w:t>
      </w:r>
    </w:p>
    <w:p>
      <w:pPr>
        <w:spacing w:after="0" w:line="22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written notice from the Trustee or by the Trustee at the request of the Holders of at least 25% in principal amount of the Notes then outstanding has been received by the Company to comply with any of its other agreements contained in the Notes or this Indenture;</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Significant Subsidiary with respect to any mortgage, agreement or other instrument under which there may be outstanding, or by which there may be secured or evidenced, any indebtedness for money borrowed (which, for the avoidance of doubt, shall not include any obligations due under any foreign exchange, currency option, currency swap or other similar transaction) with a principal amount in excess of $60,000,000 (or the foreign currency equivalent thereof) in the aggregate by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each case, such failure to pay or default shall not have been cured or waived, such indebtedness is not paid or discharged, or such acceleration is not otherwise cured, annulled or rescinded, within thirty (30) days after written notice to the Company by the Trustee or to the Company and the Trustee by Holders of at least 25% in aggregate principal amount of Notes then outstanding in accordance with this Indenture;</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1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90 consecutive days.</w:t>
      </w:r>
    </w:p>
    <w:p>
      <w:pPr>
        <w:spacing w:after="0" w:line="3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8" w:name="page79"/>
    <w:bookmarkEnd w:id="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not be deemed to have knowledge of an Event of Default unless and until a Responsible Officer receives written notification of such Event of Default describing the circumstances of such, and identifying the circumstances constituting such Event of Default and stating that such notification is a notice of default.</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r>
        <w:rPr>
          <w:rFonts w:ascii="Times New Roman" w:cs="Times New Roman" w:eastAsia="Times New Roman" w:hAnsi="Times New Roman"/>
          <w:sz w:val="18"/>
          <w:szCs w:val="18"/>
          <w:color w:val="auto"/>
        </w:rPr>
        <w:t xml:space="preserve"> .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(and the Trustee, at the written request of such Holders accompanied by security and/or indemnity satisfactory to the Trustee an otherwise subject to the limitations set forth in this Indenture, shall) declare 100% of the principal of, and accrued and unpaid interest on, all the outstanding Notes to be due and payable immediately, and upon any such declaration the same shall become and shall automatically be immediately due and payable without any action on part of the Trustee. If an Event of Default specified in Section 6.01(h) or Section 6.01(i) with respect to the Company occurs and is continuing, 100% of the principal of, and accrued and unpaid interest, if any, on, all Notes shall become and shall automatically be immediately due and payable. If an Event of Default occurs and is continuing, the Trustee may pursue, in its own name or as trustee of an express trust, any available remedy by proceeding at law or in equity to collect the payment of principal of and interest on the Notes or to enforce the performance of any provision of the notes or this Indenture. The Trustee may maintain a proceeding even if it does not possess any of the Notes or does not produce any of them in the proceeding. If any portion of the amount payable on the Notes upon acceleration is considered by a court to be unearned interest (through the allocation of the value of the instrument to the embedded warrant or otherwise), the court could disallow recovery of any such portion without any action on part of the Trustee.</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For the avoidance of doubt, and without limiting the manner in which any Default or Event of Default can be cured: (i) a failure by the Company to send a notice in accordance with this Indenture and any related Default (or Event of Default) shall be deemed cured and shall cease to continue upon delivery of such notice to the applicable recipient; (ii) if the Company fails to make any payment of principal of or interest on the Notes (or delivery of any other consideration in respect thereof) when due, such Default (or Event of Default) shall be deemed cured and shall cease to continue upon the making of such payment or delivery, as applicable, together with any accrued interest thereon, if applicable; and (iii)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Additional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 For the avoidance of doubt, nothing in the immediately preceding two sentences shall constitute a waiver of or in any way limit the Trustee’s or any Holder’s right to institute suit for any damages incurred as a result of an Event of Default under this Indenture even if such Event of Default is subsequently cured.</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Additional Interest .</w:t>
      </w:r>
      <w:r>
        <w:rPr>
          <w:rFonts w:ascii="Times New Roman" w:cs="Times New Roman" w:eastAsia="Times New Roman" w:hAnsi="Times New Roman"/>
          <w:sz w:val="18"/>
          <w:szCs w:val="18"/>
          <w:color w:val="auto"/>
        </w:rPr>
        <w:t xml:space="preserve"> Notwithstanding anything in this Indenture or in the Notes to the contrary, to the extent the Company elects, the sole remedy for an Event of Default under this Indenture relating to the failure by the Company to comply with its reporting obligations under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4.06(b) (such default, a “</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and the obligations described in Section 4.06(b), the “</w:t>
      </w: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 shall after the occurrence of such an Event of Default (which will be the 60th day after written notice is provided to the Company in accordance with an Event of Default pursuant to Section 6.01(f)) consist exclusively of the right to receive Additional Interest on the Notes at a rate equal to (x) 0.25% per annum of the principal amount of the Notes outstanding for each day during the period beginning on, and including, the date on which such an Event of Default first occurs and ending on the earlier of (i) the date on which such Event of Default is cured or validly waived or (ii) the 180th day immediately following, and including, the date on which such Event of Default first occurred and (y) if such Event of Default has not been cured or validly waived prior to the 181st day immediately following, and including, the date on which such Event of Default first occurred, 0.50% per annum of the principal amount of the Notes outstanding for each day during the period beginning on, and including, the 181st day immediately following, and including the date on which such Event of Default first occurred and ending on the earlier of (i) the date on which such Event of Default is cured or validly waived or (ii) the 365th day immediately following, and including, the date on which such Event of Default first occurred.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Company so elects, such Additional Interest shall be payable in the same manner and on the same dates as the stated interest payable on the Notes. On the 366th day after such Event of Default (if the Event of Default relating to the Company’s failure to comply with the Reporting Obligations is not cured or waived prior to such 366th day), the Notes shall be subject to acceleration under ‎Section 6.02. The provisions of this ‎Section 6.03 shall not affect the rights of Holders of Notes in the event of the occurrence of any other Event of Default. In the event the Company does not elect to pay the</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Interest following an Event of Default relating to the Reporting Obligations in accordance with this Section‎ 6.03 or the Company elected to make such payment but does not pay the Additional Interest when due, the Notes shall be immediately subject to acceleration under ‎Section 6.02 as a result of the Event of Default pursuant to Section 6.01(f) is then continuing.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elect to pay the Additional Interest as the sole remedy during the first 365 days after the occurrence of an Event of Default relating to</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failure by the Company to comply with the Reporting Obligations in accordance with this Section‎ 6.03, the Company must notify in writing all Holders of the Notes, the Trustee and the Paying Agent (if other than the Trustee) of such election prior to the beginning of such 365-day period. Upon the Company’s failure to timely give such notice, the Notes shall be immediately subject to acceleration under ‎Section 6.02. The Trustee shall not at any time be under any duty or responsibility to any Holder of Notes to determine the Additional Interest, or with respect to the nature, extent, or calculation of the amount of Additional Interest owed, or with respect to the method employed in such calculation of the Additional Interest.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 event shall Additional Interest payable at the Company’s election for failure to comply with its Reporting Obligations pursuant to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and other than current reports on Form 8-K), as set forth in Section 4.06(d), accrue at a rate in excess of 1.00% per annum pursuant to this Indenture, regardless of the number of events or circumstances giving rise to the requirement to pay such Additional Interest.</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Payments of Notes on Default; Suit Therefor</w:t>
      </w:r>
      <w:r>
        <w:rPr>
          <w:rFonts w:ascii="Times New Roman" w:cs="Times New Roman" w:eastAsia="Times New Roman" w:hAnsi="Times New Roman"/>
          <w:sz w:val="18"/>
          <w:szCs w:val="18"/>
          <w:color w:val="auto"/>
        </w:rPr>
        <w:t xml:space="preserve">. If an Event of Default described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6.01(a) or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6.01(b) shall have occurred and be continuing, the Company shall, upon demand of the Trustee or the requisite Holders, pay to the Trustee, for the benefit of the Holders of the Notes, the whole amount then due and payable on the Notes for principal (including the Redemption Price, the Fundamental Change Repurchase Price and the Specified Repurchase Date Repurchase Price, if applicable),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7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Application of Monies Collected by Trustee</w:t>
      </w:r>
      <w:r>
        <w:rPr>
          <w:rFonts w:ascii="Times New Roman" w:cs="Times New Roman" w:eastAsia="Times New Roman" w:hAnsi="Times New Roman"/>
          <w:sz w:val="18"/>
          <w:szCs w:val="18"/>
          <w:color w:val="auto"/>
        </w:rPr>
        <w:t xml:space="preserve">. Any monies or property collected by the Trustee pursuant to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(in any capacity hereunder);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interest on, and any cash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conversion of, the Notes in default in the order of the date due of the payments of such interest and cash due upon conversion, as the case may be, with interest (to the extent that such interest is payable on such Notes and has been collected by the Trustee) upon such overdue payments at the rate borne by the Notes at such time, such payments to be made ratably to the Persons entitled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Redemption Price, the Fundamental Change Repurchase Price and the Specified Repurchase Date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the Fundamental Change Repurchase Price and the Specified Repurchase Date Repurchase Price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the Fundamental Change Repurchase Price and the Specified Repurchase Date Repurchase Price and any cash due upon conversion) and accrued and unpaid interest;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Proceedings by Holders .</w:t>
      </w:r>
      <w:r>
        <w:rPr>
          <w:rFonts w:ascii="Times New Roman" w:cs="Times New Roman" w:eastAsia="Times New Roman" w:hAnsi="Times New Roman"/>
          <w:sz w:val="18"/>
          <w:szCs w:val="18"/>
          <w:color w:val="auto"/>
        </w:rPr>
        <w:t xml:space="preserve"> Except to enforce the right to receive payment of principal (including, if applicable, the Redemption Price, the Fundamental Change Repurchase Price and the Specified Repurchase Date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85" w:lineRule="exact"/>
        <w:rPr>
          <w:sz w:val="20"/>
          <w:szCs w:val="20"/>
          <w:color w:val="auto"/>
        </w:rPr>
      </w:pPr>
    </w:p>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previously shall have given to the Trustee written notice of an Event of Default and of the continuance thereof, as herein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and if requested, provided, to the Trustee such security and/or indemnity satisfactory to it against any loss, liability or expense to be incurred therein or thereby;</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such security and/or indemnity, shall have neglected or refused to institute any such action, suit or proceeding;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that, in the opinion of the Trustee, is inconsistent with such written request shall have been given to the Trustee by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of the aggregate principal amount of the Notes then outstanding within such 60-day period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(it being understood that the Trustee shall not have an affirmative duty to ascertain whether or not any such direction is unduly prejudicial to any other Holder), or to obtain or seek to obtain priority over or preference to any other such Holder, or to enforce any right under this Indenture, except in the manner herein provided and for the equal, ratable and common benefit of all Holders (except as otherwise </w:t>
      </w:r>
      <w:r>
        <w:rPr>
          <w:rFonts w:ascii="Times New Roman" w:cs="Times New Roman" w:eastAsia="Times New Roman" w:hAnsi="Times New Roman"/>
          <w:sz w:val="18"/>
          <w:szCs w:val="18"/>
          <w:i w:val="1"/>
          <w:iCs w:val="1"/>
          <w:color w:val="auto"/>
        </w:rPr>
        <w:t>provided herein</w:t>
      </w:r>
      <w:r>
        <w:rPr>
          <w:rFonts w:ascii="Times New Roman" w:cs="Times New Roman" w:eastAsia="Times New Roman" w:hAnsi="Times New Roman"/>
          <w:sz w:val="18"/>
          <w:szCs w:val="18"/>
          <w:color w:val="auto"/>
        </w:rPr>
        <w:t>). For the protection and enforcement of this ‎Section 6.06, each and every Holder and the Trustee shall be entitled to such relief as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given either at law or in equity.</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this Indenture and any provision of any Note, each Holder shall have the right to receive payment or delivery, as the case may be, of (x) the principal (including the Redemption Price, the Specified Repurchase Date Repurchase Price on the Specified Repurchase Date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 and such right to receive such payment or delivery, as the case may be, on or after such respective dates shall not be impaired of affected without the consent of such Holder.</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Proceedings by Trustee.</w:t>
      </w:r>
      <w:r>
        <w:rPr>
          <w:rFonts w:ascii="Times New Roman" w:cs="Times New Roman" w:eastAsia="Times New Roman" w:hAnsi="Times New Roman"/>
          <w:sz w:val="18"/>
          <w:szCs w:val="18"/>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Remedies Cumulative and Continuing</w:t>
      </w:r>
      <w:r>
        <w:rPr>
          <w:rFonts w:ascii="Times New Roman" w:cs="Times New Roman" w:eastAsia="Times New Roman" w:hAnsi="Times New Roman"/>
          <w:sz w:val="18"/>
          <w:szCs w:val="18"/>
          <w:color w:val="auto"/>
        </w:rPr>
        <w:t xml:space="preserve">. Except as provided in the last paragraph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2.06, all powers and remedies given by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6.07, every power and remedy given by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6 or by law to the Trustee or to the Holders may be exercised from time to time, and as often as shall be deemed expedient, by the Trustee or by the Holders.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Direction of Proceedings and Waiver of Defaults by Majority of Holders</w:t>
      </w:r>
      <w:r>
        <w:rPr>
          <w:rFonts w:ascii="Times New Roman" w:cs="Times New Roman" w:eastAsia="Times New Roman" w:hAnsi="Times New Roman"/>
          <w:sz w:val="18"/>
          <w:szCs w:val="18"/>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Trustee may refuse to follow any direction that conflicts with law or this Indenture, that the Trustee determines is unduly prejudicial to the rights of any other Holder (it being understood that the Trustee shall not have an affirmative duty to ascertain whether or not any such direction is unduly prejudicial to any other Holder) or that may involve the Trustee in personal liability, or if it is not provided with security and/or indemnity to its satisfaction may take any other action it deems proper that is not inconsistent with any such direction received from Holders. In addition, the Trustee will not be required to expend its own funds under any circumstances. The Holders of a majority in aggregate principal amount of the Notes at the time outstanding determined in accordance with Section 8.04 may on behalf of the Holders of all of the Notes waive any past Default or Event of Default hereunder and its consequences (including, for the avoidance of doubt, any acceleration as a result of such Default or Event of Default) except any continuing Default or Event of Default relating to (1) a default in the payment of accrued and unpaid interest, if any, on, or the principal (including any Redemption Price, any Fundamental Change Repurchase Price and any Specified Repurchase Date Repurchase Price) of, the Notes when due that has not been cured pursuant to the provisions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6.02, (2) a failure by the Company to pay or deliver, as the case may be, the consideration due upon conversion of the Notes or (3) a default in respect of a covenant or provision hereof which under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Notice of Defaults.</w:t>
      </w:r>
      <w:r>
        <w:rPr>
          <w:rFonts w:ascii="Times New Roman" w:cs="Times New Roman" w:eastAsia="Times New Roman" w:hAnsi="Times New Roman"/>
          <w:sz w:val="18"/>
          <w:szCs w:val="18"/>
          <w:color w:val="auto"/>
        </w:rPr>
        <w:t xml:space="preserve"> The Trustee shall, within 90 days after the occurrence and continuance of a Default of which a Responsible Officer receives written notice or obtains actual knowledge, deliver to all Holders notice of all Defaults known to a Responsible Officer, unless such Defaults shall have been cured or waived before the giving of such notice;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except in the case of a Default in the payment of the principal of (including the Redemption Price, the Fundamental Change Repurchase Price and the Specified Repurchase Date Repurchase Price, if applicable), or accrued and unpaid interest on, any of the Notes or a Default in the payment or delivery of the consideration due upon conversion, the Trustee shall be protected in withholding such notice if the Trustee in good faith determines that the withholding of such notice is in the interests of the Holders (it being understood that the Trustee shall not have an affirmative duty to make such determination). The Trustee shall not be deemed to have knowledge of an Event of Default unless and until a Responsible Officer receives written notification of such Event of Default describing the circumstances of such, and identifying the circumstances constituting such Event of Default and stating that such notification is a “notice of default.”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Undertaking to Pay Costs.</w:t>
      </w:r>
      <w:r>
        <w:rPr>
          <w:rFonts w:ascii="Times New Roman" w:cs="Times New Roman" w:eastAsia="Times New Roman" w:hAnsi="Times New Roman"/>
          <w:sz w:val="18"/>
          <w:szCs w:val="18"/>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the Fundamental Change Repurchase Price and the Specified Repurchase Date Repurchase Price, if applicable) on or after the due date expressed or provided for in such Note or this Indenture or to any suit for the enforcement of the right to convert any Note, or receive the consideration due upon conversion, in accordance with the provisions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14.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r>
        <w:rPr>
          <w:rFonts w:ascii="Times New Roman" w:cs="Times New Roman" w:eastAsia="Times New Roman" w:hAnsi="Times New Roman"/>
          <w:sz w:val="18"/>
          <w:szCs w:val="18"/>
          <w:i w:val="1"/>
          <w:iCs w:val="1"/>
          <w:color w:val="auto"/>
        </w:rPr>
        <w:t>.</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and Responsibilities of Trustee</w:t>
      </w:r>
      <w:r>
        <w:rPr>
          <w:rFonts w:ascii="Times New Roman" w:cs="Times New Roman" w:eastAsia="Times New Roman" w:hAnsi="Times New Roman"/>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 Event of Default occurs and is continuing, the Trustee will be under no obligation to exercise any of the rights or powers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62" w:lineRule="exact"/>
        <w:rPr>
          <w:sz w:val="20"/>
          <w:szCs w:val="20"/>
          <w:color w:val="auto"/>
        </w:rPr>
      </w:pPr>
    </w:p>
    <w:p>
      <w:pPr>
        <w:ind w:left="1540" w:hanging="236"/>
        <w:spacing w:after="0"/>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21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jc w:val="both"/>
        <w:ind w:left="-460" w:firstLine="644"/>
        <w:spacing w:after="0" w:line="261" w:lineRule="auto"/>
        <w:tabs>
          <w:tab w:leader="none" w:pos="4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7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execution of the trusts and powers under this Indenture;</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investment direction from the Company, all cash received by the Trustee shall be placed in a non-interest bearing trust account, and in no event shall the Trustee be liable for the selection of investments or for investment losses, fees, taxes or other charges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Prior to taking any action under this Indenture, the Trustee shall be entitled to indemnification or security satisfactory to it against any loss, liability, or expense caused by taking or not taking such action.</w:t>
      </w: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Reliance on Documents, Opinions, Etc.</w:t>
      </w:r>
      <w:r>
        <w:rPr>
          <w:rFonts w:ascii="Times New Roman" w:cs="Times New Roman" w:eastAsia="Times New Roman" w:hAnsi="Times New Roman"/>
          <w:sz w:val="18"/>
          <w:szCs w:val="18"/>
          <w:color w:val="auto"/>
        </w:rPr>
        <w:t xml:space="preserve"> Except as otherwise provided in Section 7.01:</w:t>
      </w:r>
    </w:p>
    <w:p>
      <w:pPr>
        <w:spacing w:after="0" w:line="227" w:lineRule="exact"/>
        <w:rPr>
          <w:sz w:val="20"/>
          <w:szCs w:val="20"/>
          <w:color w:val="auto"/>
        </w:rPr>
      </w:pPr>
    </w:p>
    <w:p>
      <w:pPr>
        <w:jc w:val="both"/>
        <w:ind w:firstLine="644"/>
        <w:spacing w:after="0" w:line="266" w:lineRule="auto"/>
        <w:tabs>
          <w:tab w:leader="none" w:pos="9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0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0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75" w:lineRule="exact"/>
        <w:rPr>
          <w:rFonts w:ascii="Times New Roman" w:cs="Times New Roman" w:eastAsia="Times New Roman" w:hAnsi="Times New Roman"/>
          <w:sz w:val="18"/>
          <w:szCs w:val="18"/>
          <w:color w:val="auto"/>
        </w:rPr>
      </w:pPr>
    </w:p>
    <w:p>
      <w:pPr>
        <w:jc w:val="both"/>
        <w:ind w:firstLine="644"/>
        <w:spacing w:after="0" w:line="258" w:lineRule="auto"/>
        <w:tabs>
          <w:tab w:leader="none" w:pos="9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jc w:val="both"/>
        <w:ind w:firstLine="644"/>
        <w:spacing w:after="0" w:line="266" w:lineRule="auto"/>
        <w:tabs>
          <w:tab w:leader="none" w:pos="8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jc w:val="both"/>
        <w:ind w:firstLine="644"/>
        <w:spacing w:after="0" w:line="261" w:lineRule="auto"/>
        <w:tabs>
          <w:tab w:leader="none" w:pos="91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spacing w:after="0" w:line="38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88" w:name="page89"/>
    <w:bookmarkEnd w:id="88"/>
    <w:p>
      <w:pPr>
        <w:jc w:val="both"/>
        <w:ind w:left="660" w:firstLine="644"/>
        <w:spacing w:after="0" w:line="256" w:lineRule="auto"/>
        <w:tabs>
          <w:tab w:leader="none" w:pos="15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 The Trustee shall have no obligation to determine whether the Liquidity Conditions have been satisfied.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 of the Notes.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No Responsibility for Recitals, Etc.</w:t>
      </w:r>
      <w:r>
        <w:rPr>
          <w:rFonts w:ascii="Times New Roman" w:cs="Times New Roman" w:eastAsia="Times New Roman" w:hAnsi="Times New Roman"/>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the Offering Memorandum or of the Notes. The Trustee shall not be accountable for the use or application by the Company of any Notes or the proceeds of any Notes authenticated and delivered by the Trustee in conformity with the provisions of this Indenture.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 Paying Agents, Conversion Agents, Bid Solicitation Agent or Note Registrar May Own Notes.</w:t>
      </w:r>
      <w:r>
        <w:rPr>
          <w:rFonts w:ascii="Times New Roman" w:cs="Times New Roman" w:eastAsia="Times New Roman" w:hAnsi="Times New Roman"/>
          <w:sz w:val="18"/>
          <w:szCs w:val="18"/>
          <w:color w:val="auto"/>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Monies and Ordinary Shares to Be Held in Trust.</w:t>
      </w:r>
      <w:r>
        <w:rPr>
          <w:rFonts w:ascii="Times New Roman" w:cs="Times New Roman" w:eastAsia="Times New Roman" w:hAnsi="Times New Roman"/>
          <w:sz w:val="18"/>
          <w:szCs w:val="18"/>
          <w:color w:val="auto"/>
        </w:rPr>
        <w:t xml:space="preserve"> All monies and Class A Ordinary Shares received by the Trustee shall, until used or applied as herein provided, be held in trust for the purposes for which they were received. Money and Class A Ordinary Shares held by the Trustee in trust hereunder need not be segregated from other funds except to the extent required by law. The Trustee shall be under no liability for interest on any money or Class A Ordinary Shares received by it hereunder except as may be agreed from time to time by the Company and the Trustee.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Compensation and Expenses of Trustee</w:t>
      </w:r>
      <w:r>
        <w:rPr>
          <w:rFonts w:ascii="Times New Roman" w:cs="Times New Roman" w:eastAsia="Times New Roman" w:hAnsi="Times New Roman"/>
          <w:sz w:val="18"/>
          <w:szCs w:val="18"/>
          <w:color w:val="auto"/>
        </w:rPr>
        <w:t>.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Officer’s Certificate as Evidence</w:t>
      </w:r>
      <w:r>
        <w:rPr>
          <w:rFonts w:ascii="Times New Roman" w:cs="Times New Roman" w:eastAsia="Times New Roman" w:hAnsi="Times New Roman"/>
          <w:sz w:val="18"/>
          <w:szCs w:val="18"/>
          <w:color w:val="auto"/>
        </w:rPr>
        <w:t>.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0" w:name="page91"/>
    <w:bookmarkEnd w:id="9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Eligibility of Trustee.</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promptly in the manner and with the effect hereinafter specified in this Article 7.</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Resignation or Removal of Trustee.</w:t>
      </w:r>
    </w:p>
    <w:p>
      <w:pPr>
        <w:spacing w:after="0" w:line="227" w:lineRule="exact"/>
        <w:rPr>
          <w:sz w:val="20"/>
          <w:szCs w:val="20"/>
          <w:color w:val="auto"/>
        </w:rPr>
      </w:pPr>
    </w:p>
    <w:p>
      <w:pPr>
        <w:jc w:val="both"/>
        <w:ind w:left="660" w:firstLine="644"/>
        <w:spacing w:after="0" w:line="254" w:lineRule="auto"/>
        <w:tabs>
          <w:tab w:leader="none" w:pos="15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7.08 and shall fail to resign after written request therefor by the Company or by any such Holder, or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1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1" w:name="page92"/>
    <w:bookmarkEnd w:id="91"/>
    <w:p>
      <w:pPr>
        <w:jc w:val="both"/>
        <w:ind w:left="660" w:firstLine="644"/>
        <w:spacing w:after="0" w:line="258" w:lineRule="auto"/>
        <w:tabs>
          <w:tab w:leader="none" w:pos="157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83"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Acceptance by Successor Trustee.</w:t>
      </w:r>
      <w:r>
        <w:rPr>
          <w:rFonts w:ascii="Times New Roman" w:cs="Times New Roman" w:eastAsia="Times New Roman" w:hAnsi="Times New Roman"/>
          <w:sz w:val="18"/>
          <w:szCs w:val="18"/>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Succession by Merger, Etc.</w:t>
      </w:r>
      <w:r>
        <w:rPr>
          <w:rFonts w:ascii="Times New Roman" w:cs="Times New Roman" w:eastAsia="Times New Roman" w:hAnsi="Times New Roman"/>
          <w:sz w:val="18"/>
          <w:szCs w:val="18"/>
          <w:color w:val="auto"/>
        </w:rPr>
        <w:t xml:space="preserve"> 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organization or other entity succeeding to all or substantially all of the corporate trust business of the Trustee such organization or other entity shall be eligible under the provisions of Section 7.08.</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Trustee’s Application for Instructions from the Company</w:t>
      </w:r>
      <w:r>
        <w:rPr>
          <w:rFonts w:ascii="Times New Roman" w:cs="Times New Roman" w:eastAsia="Times New Roman" w:hAnsi="Times New Roman"/>
          <w:sz w:val="18"/>
          <w:szCs w:val="18"/>
          <w:color w:val="auto"/>
        </w:rPr>
        <w:t>.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Action by Holders</w:t>
      </w:r>
      <w:r>
        <w:rPr>
          <w:rFonts w:ascii="Times New Roman" w:cs="Times New Roman" w:eastAsia="Times New Roman" w:hAnsi="Times New Roman"/>
          <w:sz w:val="18"/>
          <w:szCs w:val="18"/>
          <w:color w:val="auto"/>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Proof of Execution by Holders</w:t>
      </w:r>
      <w:r>
        <w:rPr>
          <w:rFonts w:ascii="Times New Roman" w:cs="Times New Roman" w:eastAsia="Times New Roman" w:hAnsi="Times New Roman"/>
          <w:sz w:val="18"/>
          <w:szCs w:val="18"/>
          <w:color w:val="auto"/>
        </w:rPr>
        <w:t>.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3" w:name="page94"/>
    <w:bookmarkEnd w:id="9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Who Are Deemed Absolute Owners</w:t>
      </w:r>
      <w:r>
        <w:rPr>
          <w:rFonts w:ascii="Times New Roman" w:cs="Times New Roman" w:eastAsia="Times New Roman" w:hAnsi="Times New Roman"/>
          <w:sz w:val="18"/>
          <w:szCs w:val="18"/>
          <w:color w:val="auto"/>
        </w:rPr>
        <w:t>.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any Fundamental Change Repurchase Price and the Specified Repurchase Date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Class A Ordinary Shares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8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 xml:space="preserve">Section 8.04 </w:t>
      </w:r>
      <w:r>
        <w:rPr>
          <w:rFonts w:ascii="Times New Roman" w:cs="Times New Roman" w:eastAsia="Times New Roman" w:hAnsi="Times New Roman"/>
          <w:sz w:val="17"/>
          <w:szCs w:val="17"/>
          <w:i w:val="1"/>
          <w:iCs w:val="1"/>
          <w:color w:val="auto"/>
        </w:rPr>
        <w:t>Company-Owned Notes Disregarded</w:t>
      </w:r>
      <w:r>
        <w:rPr>
          <w:rFonts w:ascii="Times New Roman" w:cs="Times New Roman" w:eastAsia="Times New Roman" w:hAnsi="Times New Roman"/>
          <w:sz w:val="17"/>
          <w:szCs w:val="17"/>
          <w:color w:val="auto"/>
        </w:rPr>
        <w:t>.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provided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Revocation of Consents; Future Holders Bound</w:t>
      </w:r>
      <w:r>
        <w:rPr>
          <w:rFonts w:ascii="Times New Roman" w:cs="Times New Roman" w:eastAsia="Times New Roman" w:hAnsi="Times New Roman"/>
          <w:sz w:val="18"/>
          <w:szCs w:val="18"/>
          <w:color w:val="auto"/>
        </w:rPr>
        <w:t>.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eetings</w:t>
      </w:r>
    </w:p>
    <w:p>
      <w:pPr>
        <w:spacing w:after="0" w:line="194"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Purpose of Meetings</w:t>
      </w:r>
      <w:r>
        <w:rPr>
          <w:rFonts w:ascii="Times New Roman" w:cs="Times New Roman" w:eastAsia="Times New Roman" w:hAnsi="Times New Roman"/>
          <w:sz w:val="18"/>
          <w:szCs w:val="18"/>
          <w:color w:val="auto"/>
        </w:rPr>
        <w:t xml:space="preserve">. A meeting of Holders may be called at any time and from time to time pursuant to the provisions of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9 for any of the following purposes:</w:t>
      </w:r>
    </w:p>
    <w:p>
      <w:pPr>
        <w:spacing w:after="0" w:line="150" w:lineRule="exact"/>
        <w:rPr>
          <w:sz w:val="20"/>
          <w:szCs w:val="20"/>
          <w:color w:val="auto"/>
        </w:rPr>
      </w:pPr>
    </w:p>
    <w:p>
      <w:pPr>
        <w:jc w:val="both"/>
        <w:ind w:left="660" w:firstLine="644"/>
        <w:spacing w:after="0" w:line="261" w:lineRule="auto"/>
        <w:tabs>
          <w:tab w:leader="none" w:pos="15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authorized to be taken by Holders pursuant to any of the provisions of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22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10.02; or</w:t>
      </w:r>
    </w:p>
    <w:p>
      <w:pPr>
        <w:spacing w:after="0" w:line="229"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Call of Meetings by Trustee</w:t>
      </w:r>
      <w:r>
        <w:rPr>
          <w:rFonts w:ascii="Times New Roman" w:cs="Times New Roman" w:eastAsia="Times New Roman" w:hAnsi="Times New Roman"/>
          <w:sz w:val="18"/>
          <w:szCs w:val="18"/>
          <w:color w:val="auto"/>
        </w:rPr>
        <w:t xml:space="preserve">. The Trustee may at any time call a meeting of Holders to take any action specified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Call of Meetings by Company or Holders.</w:t>
      </w:r>
      <w:r>
        <w:rPr>
          <w:rFonts w:ascii="Times New Roman" w:cs="Times New Roman" w:eastAsia="Times New Roman" w:hAnsi="Times New Roman"/>
          <w:sz w:val="18"/>
          <w:szCs w:val="18"/>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9.01, by delivering notice thereof as provided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9.02.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Qualifications for Voting</w:t>
      </w:r>
      <w:r>
        <w:rPr>
          <w:rFonts w:ascii="Times New Roman" w:cs="Times New Roman" w:eastAsia="Times New Roman" w:hAnsi="Times New Roman"/>
          <w:sz w:val="18"/>
          <w:szCs w:val="18"/>
          <w:color w:val="auto"/>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Regulations</w:t>
      </w:r>
      <w:r>
        <w:rPr>
          <w:rFonts w:ascii="Times New Roman" w:cs="Times New Roman" w:eastAsia="Times New Roman" w:hAnsi="Times New Roman"/>
          <w:sz w:val="18"/>
          <w:szCs w:val="18"/>
          <w:color w:val="auto"/>
        </w:rPr>
        <w:t>.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No Delay of Rights by Meeting</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Amendments or Supplemental Indentures Without Consent of Holders</w:t>
      </w:r>
      <w:r>
        <w:rPr>
          <w:rFonts w:ascii="Times New Roman" w:cs="Times New Roman" w:eastAsia="Times New Roman" w:hAnsi="Times New Roman"/>
          <w:sz w:val="18"/>
          <w:szCs w:val="18"/>
          <w:color w:val="auto"/>
        </w:rPr>
        <w:t>. The Company and the Trustee, at the Company’s expense, may amend or supplement this Indenture or the Notes without notice to or the consent of any Holder to:</w:t>
      </w:r>
    </w:p>
    <w:p>
      <w:pPr>
        <w:spacing w:after="0" w:line="160" w:lineRule="exact"/>
        <w:rPr>
          <w:sz w:val="20"/>
          <w:szCs w:val="20"/>
          <w:color w:val="auto"/>
        </w:rPr>
      </w:pPr>
    </w:p>
    <w:p>
      <w:pPr>
        <w:ind w:left="1540" w:hanging="236"/>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22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Entity of the obligations of the Company under this Indenture pursuant to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w:t>
      </w:r>
    </w:p>
    <w:p>
      <w:pPr>
        <w:spacing w:after="0" w:line="22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Notes;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or Events of Default of the Company for the benefit of the Holders or surrender any right or power conferred upon the Company;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Share Exchange Event, (i) provide that the Notes are convertible into Reference Property, subject to the</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and (ii) effect the related changes to the terms of the Notes described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 in each case, in accordance with the applicable provisions of this Indenture;</w:t>
      </w:r>
    </w:p>
    <w:p>
      <w:pPr>
        <w:spacing w:after="0" w:line="18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Conversion Rate as provided herein;</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appointment of and acceptance of appoint by a successor Trustee, Note Registrar, Paying Agent, Bid Solicitation Agent or Conversion Agent to facilitate the administration of the trusts under this Indenture by more than one trustee;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elect a Settlement Method and/or a Specified Dollar Amount (or minimum Specified Dollar Amount), or eliminate the Company’s right to elect a Settlement Method (including, at the Company’s option upon an irrevocable election of a Settlement Method as provided under Section 14.02(a)),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 such election or elimination will affect any Settlement Method theretofore elected (or deemed to be elected) with respect to any Note pursuant to Article 14;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1520" w:hanging="216"/>
        <w:spacing w:after="0"/>
        <w:tabs>
          <w:tab w:leader="none" w:pos="1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of any applicable securities depositary, including DTC;</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this Indenture to the “Description of Notes” section of the Offering Memorandum;</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successor Trustee with respect to the Notes;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of the Commission in connection with the qualification of this Indenture under the Trust Indenture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do not need to approve the particular form of any proposed amendment. It will be sufficient if such Holders approve the substance of the proposed amendment. After an amendment under this Indenture becomes effective, the Company shall send to the Holders (with a copy to the Trustee) a notice briefly describing such amendment. However, the failure to give such notice to all the Holders, or any defect in the notice, will not impair or affect the validity of the amendment.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written request of the Company, the Trustee is hereby authorized to join with the Company in the execution of any such supplemental indenture,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Amendments or Supplemental Indentures with Consent of Holders</w:t>
      </w:r>
      <w:r>
        <w:rPr>
          <w:rFonts w:ascii="Times New Roman" w:cs="Times New Roman" w:eastAsia="Times New Roman" w:hAnsi="Times New Roman"/>
          <w:sz w:val="18"/>
          <w:szCs w:val="18"/>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without the consent of each Holder of an outstanding Note affected, no such supplemental indenture shall:</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reduce the principal amount of Notes whose Holders must consent to an amendment;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1560" w:hanging="256"/>
        <w:spacing w:after="0"/>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interest on any Note;</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Maturity Date of any Note;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conversion rights of any Notes, except as required by this Indenture;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the Specified Repurchase Date Repurchase Price on the Specified Repurchase Date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U.S. dollars;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and interest on such Holder’s Notes on or after the due dates therefor or to institute suit for the enforcement of any payment on or with respect to such Holder’s Notes;</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Company’s obligation to pay Additional Amounts on any Note; or</w:t>
      </w:r>
    </w:p>
    <w:p>
      <w:pPr>
        <w:spacing w:after="0" w:line="221" w:lineRule="exact"/>
        <w:rPr>
          <w:rFonts w:ascii="Times New Roman" w:cs="Times New Roman" w:eastAsia="Times New Roman" w:hAnsi="Times New Roman"/>
          <w:sz w:val="18"/>
          <w:szCs w:val="18"/>
          <w:color w:val="auto"/>
        </w:rPr>
      </w:pPr>
    </w:p>
    <w:p>
      <w:pPr>
        <w:ind w:left="660" w:firstLine="644"/>
        <w:spacing w:after="0" w:line="286" w:lineRule="auto"/>
        <w:tabs>
          <w:tab w:leader="none" w:pos="15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 or in the waiver provisions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6.02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6.09, in each case, that requires each Holder’s consent.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supplemental indenture. It shall be sufficient if such Holders approve the substance of the proposed supplemental indenture. After any such supplemental indenture becomes effective, the Company shall deliver to the Holders (with a copy to the Trustee) a notice briefly describing such supplemental indenture. However, the failure to give such notice to all the Holders, or any defect in the notice, will not impair or affect the validity of the supplemental indenture.</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Effect of Supplemental Indentures</w:t>
      </w:r>
      <w:r>
        <w:rPr>
          <w:rFonts w:ascii="Times New Roman" w:cs="Times New Roman" w:eastAsia="Times New Roman" w:hAnsi="Times New Roman"/>
          <w:sz w:val="18"/>
          <w:szCs w:val="18"/>
          <w:color w:val="auto"/>
        </w:rPr>
        <w:t>.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Notation on Notes</w:t>
      </w:r>
      <w:r>
        <w:rPr>
          <w:rFonts w:ascii="Times New Roman" w:cs="Times New Roman" w:eastAsia="Times New Roman" w:hAnsi="Times New Roman"/>
          <w:sz w:val="18"/>
          <w:szCs w:val="18"/>
          <w:color w:val="auto"/>
        </w:rPr>
        <w:t xml:space="preserve">. Notes authenticated and delivered after the execution of any supplemental indenture pursuant to the provisions of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upon receipt of a Company Order and delivered in exchange for the Notes then outstanding, upon surrender of such Notes then outstanding.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Evidence of Compliance of Supplemental Indenture to Be Furnished to Trustee</w:t>
      </w:r>
      <w:r>
        <w:rPr>
          <w:rFonts w:ascii="Times New Roman" w:cs="Times New Roman" w:eastAsia="Times New Roman" w:hAnsi="Times New Roman"/>
          <w:sz w:val="18"/>
          <w:szCs w:val="18"/>
          <w:color w:val="auto"/>
        </w:rPr>
        <w:t xml:space="preserve">. In addition to the documents required by Section 17.05, the Trustee shall receive an Officer’s Certificate and an Opinion of Counsel as conclusive evidence that any supplemental indenture executed pursuant hereto complies with the requirements of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Article 10, is permitted or authorized by this Indenture and is the legal, valid and binding obligation of the Company enforceable against it in accordance with its terms, subject to customary exceptions and qualifications.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ale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ssets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When Company May Merge, Etc</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11.02, the Company shall not consolidate with or merge with or into, or sell, convey, transfer or lease all or substantially all of the consolidated properties and assets of the Company and its Subsidiaries, taken as a whole, to, another Person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(other than any such sale, conveyance, transfer or lease to one or more of the Company’s direct or indirect Wholly Owned Subsidiaries), unless:</w:t>
      </w:r>
    </w:p>
    <w:p>
      <w:pPr>
        <w:spacing w:after="0" w:line="182" w:lineRule="exact"/>
        <w:rPr>
          <w:sz w:val="20"/>
          <w:szCs w:val="20"/>
          <w:color w:val="auto"/>
        </w:rPr>
      </w:pPr>
    </w:p>
    <w:p>
      <w:pPr>
        <w:jc w:val="both"/>
        <w:ind w:left="660" w:firstLine="644"/>
        <w:spacing w:after="0" w:line="258" w:lineRule="auto"/>
        <w:tabs>
          <w:tab w:leader="none" w:pos="15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if not the Company is a Qualified Successor Entity (such Qualified Successor Entity,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duly organized and existing under the laws of the United States of America, any State thereof, the District of Columbia, the Cayman Islands, the British Virgin Islands, Bermuda, Singapore or Hong Kong and such Qualified Successor Entity (if not the Company) expressly assumes by supplemental indenture all of the obligations of the Company under the Notes and this Indenture (including, for the avoidance of doubt, the obligation to pay any Additional Amounts); and</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shall have occurred and be continuing under this Indenture.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0" w:name="page101"/>
    <w:bookmarkEnd w:id="10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Successor Entity to Be Substituted</w:t>
      </w:r>
      <w:r>
        <w:rPr>
          <w:rFonts w:ascii="Times New Roman" w:cs="Times New Roman" w:eastAsia="Times New Roman" w:hAnsi="Times New Roman"/>
          <w:sz w:val="18"/>
          <w:szCs w:val="18"/>
          <w:color w:val="auto"/>
        </w:rPr>
        <w:t>. In case of any such Business Combination Event and upon the assumption by the Successor Entity,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Entity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an Officer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Business Combination Event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case of any such Business Combination Event, such changes in phraseology and form (but not in substance) may be made in the Notes thereafter to be issued as may be appropriate.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hareholders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Indenture and Notes Solely Corporate Obligations</w:t>
      </w:r>
      <w:r>
        <w:rPr>
          <w:rFonts w:ascii="Times New Roman" w:cs="Times New Roman" w:eastAsia="Times New Roman" w:hAnsi="Times New Roman"/>
          <w:sz w:val="18"/>
          <w:szCs w:val="18"/>
          <w:color w:val="auto"/>
        </w:rPr>
        <w:t>.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shareholder, employee, agent, Officer or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center"/>
        <w:ind w:right="640"/>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mitted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i w:val="1"/>
          <w:iCs w:val="1"/>
          <w:color w:val="auto"/>
        </w:rPr>
        <w:t>Conversion Privilege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4"/>
        <w:spacing w:after="0" w:line="269" w:lineRule="auto"/>
        <w:tabs>
          <w:tab w:leader="none" w:pos="90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and upon compliance with the provisions of this Article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August 15, 2031, under the circumstances and during the periods set forth in Section 14.01(b), and (ii) regardless of the conditions described in Section 14.01(b), on or after August 15, 2031 until the close of business on the second Scheduled Trading Day immediately preceding the Maturity Date, in each case, at an initial conversion rate of 56.2635 Class A Ordinary Shares (subject to adjustment as provided in this Article</w:t>
      </w:r>
      <w:r>
        <w:rPr>
          <w:rFonts w:ascii="Times New Roman" w:cs="Times New Roman" w:eastAsia="Times New Roman" w:hAnsi="Times New Roman"/>
          <w:sz w:val="17"/>
          <w:szCs w:val="17"/>
          <w:b w:val="1"/>
          <w:bCs w:val="1"/>
          <w:color w:val="auto"/>
        </w:rPr>
        <w:t>‎</w:t>
      </w:r>
    </w:p>
    <w:p>
      <w:pPr>
        <w:spacing w:after="0" w:line="3" w:lineRule="exact"/>
        <w:rPr>
          <w:rFonts w:ascii="Times New Roman" w:cs="Times New Roman" w:eastAsia="Times New Roman" w:hAnsi="Times New Roman"/>
          <w:sz w:val="17"/>
          <w:szCs w:val="17"/>
          <w:color w:val="auto"/>
        </w:rPr>
      </w:pP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ind w:left="640" w:firstLine="652"/>
        <w:spacing w:after="0" w:line="251" w:lineRule="auto"/>
        <w:tabs>
          <w:tab w:leader="none" w:pos="150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August 15, 2031, a Holder may surrender all or any portion of its Notes for conversion at any time during the five Business Day period immediately after any ten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in which the Trading Price per $1,000 principal amount of Notes, as determined following a written request by a Holder of Notes in accordance with this subsection (b)(i), for each Trading Day of the Measurement Period was less than 98% of the product of the Last Reported Sale Price of the Class A Ordinary Shares on each such Trading Day and the Conversion Rate on each such Trading Day. The Trading Prices shall be determined by the Bid Solicitation Agent pursuant to this subsection (b)(i) and the definition of Trading Price set forth in this Indenture.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The Bid Solicitation Agent (if other than the Company) shall have no obligation to determine the Trading Price per $1,000 principal amount of Notes unless the Company has requested such determination in writing, and the Company shall have no obligation to make such request (or, if the Company is acting as Bid Solicitation Agent, the Company shall have no obligation to determine the Trading Price per $1,000 principal amount of Notes) unless a Holder of at least $2,000,000 aggregate principal amount of Notes provides the Company with reasonable evidence that the Trading Price per $1,000 principal amount of Notes on any Trading Day would be less than 98% of the product of the Last Reported Sale Price of the Class A Ordinary Shares on such Trading Day and the Conversion Rate on such Trading Day, at which time the Company shall instruct the securities dealers to deliver bids and the Bid Solicitation Agent (if other than the Company) in writing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Class A Ordinary Shares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instructs the Bid Solicitation Agent in writing to obtain bids and the Bid Solicitation Agent fails to make such determination, or</w:t>
      </w:r>
    </w:p>
    <w:p>
      <w:pPr>
        <w:spacing w:after="0" w:line="7" w:lineRule="exact"/>
        <w:rPr>
          <w:rFonts w:ascii="Times New Roman" w:cs="Times New Roman" w:eastAsia="Times New Roman" w:hAnsi="Times New Roman"/>
          <w:sz w:val="18"/>
          <w:szCs w:val="18"/>
          <w:color w:val="auto"/>
        </w:rPr>
      </w:pPr>
    </w:p>
    <w:p>
      <w:pPr>
        <w:jc w:val="both"/>
        <w:ind w:left="640" w:firstLine="4"/>
        <w:spacing w:after="0" w:line="251" w:lineRule="auto"/>
        <w:tabs>
          <w:tab w:leader="none" w:pos="8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acting as Bid Solicitation Agent and the Company fails to make such determination when obligated as provided in the preceding sentence, then, in either case, the Trading Price per $1,000 principal amount of Notes on any date shall be deemed to be less than 98% of the product of the Last Reported Sale Price of the Class A Ordinary Shares and the Conversion Rate on each Trading Day of such failure. If the Trading Price condition set forth above has been met, the Company shall so notify the Holders, the Trustee and the Conversion Agent (if other than the Trustee) in writing. If, at any time after the Trading Price condition set forth above has been met, the Trading Price per $1,000 principal amount of Notes is greater than or equal to 98% of the product of the Last Reported Sale Price of the Class A Ordinary Shares and the Conversion Rate for such date, the Company shall so notify in writing the Holders, the Trustee and the Conversion Agent (if other than the Trustee), and thereafter neither the Company nor the Bid Solicitation Agent (of other than the Company) shall be required to solicit bids again until a new Holder request is made as provided in this Section 14.01(b)(i).</w:t>
      </w:r>
    </w:p>
    <w:p>
      <w:pPr>
        <w:spacing w:after="0" w:line="40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2" w:name="page103"/>
    <w:bookmarkEnd w:id="102"/>
    <w:p>
      <w:pPr>
        <w:ind w:left="1560" w:hanging="268"/>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August 15, 2031, the Company elects to:</w:t>
      </w:r>
    </w:p>
    <w:p>
      <w:pPr>
        <w:spacing w:after="0" w:line="225" w:lineRule="exact"/>
        <w:rPr>
          <w:rFonts w:ascii="Times New Roman" w:cs="Times New Roman" w:eastAsia="Times New Roman" w:hAnsi="Times New Roman"/>
          <w:sz w:val="18"/>
          <w:szCs w:val="18"/>
          <w:color w:val="auto"/>
        </w:rPr>
      </w:pPr>
    </w:p>
    <w:p>
      <w:pPr>
        <w:jc w:val="both"/>
        <w:ind w:left="2420" w:hanging="480"/>
        <w:spacing w:after="0" w:line="255" w:lineRule="auto"/>
        <w:tabs>
          <w:tab w:leader="none" w:pos="24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Class A Ordinary Shares any rights, options or warrants (other than in connection with a shareholder rights plan prior to separation of such rights from the Class A Ordinary Shares) entitling them, for a period of not more than forty-five (45) calendar days after the announcement date of such distribution, to subscribe for or purchase Class A Ordinary Shares at a price per share that is less than the average of the Last Reported Sale Prices of the Class A Ordinary Shares for the ten (10) consecutive Trading Day period ending on, and including, the Trading Day immediately preceding the date of announcement of such distribution; or</w:t>
      </w:r>
    </w:p>
    <w:p>
      <w:pPr>
        <w:spacing w:after="0" w:line="188" w:lineRule="exact"/>
        <w:rPr>
          <w:rFonts w:ascii="Times New Roman" w:cs="Times New Roman" w:eastAsia="Times New Roman" w:hAnsi="Times New Roman"/>
          <w:sz w:val="18"/>
          <w:szCs w:val="18"/>
          <w:color w:val="auto"/>
        </w:rPr>
      </w:pPr>
    </w:p>
    <w:p>
      <w:pPr>
        <w:jc w:val="both"/>
        <w:ind w:left="2420" w:hanging="480"/>
        <w:spacing w:after="0" w:line="258" w:lineRule="auto"/>
        <w:tabs>
          <w:tab w:leader="none" w:pos="24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Class A Ordinary Shares, the Company’s assets, securities or rights to purchase securities of the Company (other than in connection with a shareholder rights plan prior to separation of such rights from the Class A Ordinary Shares), which distribution has a per share value, as reasonably determined by the Company in good faith, exceeding 10% of the Last Reported Sale Price of the Class A Ordinary Shares on the Trading Day preceding the date of announcement for such distribution,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then, in either case, the Company shall notify all Holders of the Notes, the Trustee and the Conversion Agent (if other than the Trustee) in writing at least forty-eight (48) Scheduled Trading Days prior to the Ex-Dividend Date for such distribution (or, if later in the case of any such separation of rights issued pursuant to a shareholder rights plan, as soon as reasonably practicable after the Company becomes aware that such separation or triggering event has occurred or will occur);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if the Company elects Physical Settlement for conversions that occur at any time from, and including, the date of notice until the earlier of (1) the close of business on the second Business Day immediately preceding the Ex-Dividend Date for such distribution and (2) the Company’s announcement that such issuance or distribution will not take place , the Company may provide not less than ten (10) Business Days’ nor more than thirty (30) Business Days’ notice before such Ex-Dividend Date. Once the Company has given such notice, Holders may surrender all or any portion of their Notes for conversion at any time from, and including, the date the Company provides such notice until the earlier of (1) the close of business on the second Business Day immediately preceding the Ex-Dividend Date for such distribution and (2) the Company’s announcement that such issuance or distribution will not take place, even if the Notes are not otherwise convertible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may not convert their Notes pursuant to this subsection (b)(ii) if they participate, at the same time and upon the same terms as holders of the Class A Ordinary Shares and solely as a result of holding the Notes, in any of the transactions described in clause (A) or (B) of this subsection (b)(ii) without having to convert their Notes as if they held a number of Class A Ordinary Shares equal to the applicable Conversion Rate multiplied by the principal amount (expressed in thousands) of Notes held by such Holder.</w:t>
      </w:r>
    </w:p>
    <w:p>
      <w:pPr>
        <w:spacing w:after="0" w:line="197" w:lineRule="exact"/>
        <w:rPr>
          <w:sz w:val="20"/>
          <w:szCs w:val="20"/>
          <w:color w:val="auto"/>
        </w:rPr>
      </w:pPr>
    </w:p>
    <w:p>
      <w:pPr>
        <w:jc w:val="both"/>
        <w:ind w:left="640" w:firstLine="652"/>
        <w:spacing w:after="0" w:line="253" w:lineRule="auto"/>
        <w:tabs>
          <w:tab w:leader="none" w:pos="16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or event that constitutes a Fundamental Change or a Make-Whole Fundamental Change occurs prior to the close of business on the Business Day immediately preceding August 15, 2031, regardless of whether a Holder has the right to require the Company to repurchase the Notes pursuant to Section 15.01, or if the Company is a party to a Share Exchange Event (other than a Share Exchange Event that is solely for the purpose of changing the Company’s jurisdiction of organization that (x) does not constitute a Fundamental Change or a Make-Whole Fundamental Change and (y) results in a reclassification, conversion or exchange of outstanding shares of the surviving entity and such shares become Reference Property for the Notes) that occurs prior to the close of business on the Business Day immediately preceding August 15, 2031, all or any portion of a Holder’s Notes may be surrendered for conversion at any time from or after the actual effective date of such transaction or event until the earlier of (x) 35 Business Days after the actual effective date of such transaction or event or, if such transaction or event also constitutes a Fundamental Change (other than an Exempted Fundamental Change), until the close of business on the Business Day immediately preceding the related Fundamental Change Repurchase Date and (y) the close of business on the second Scheduled Trading Day immediately preceding the Maturity Date. The Company shall notify Holders, the Trustee and the Conversion Agent (if other than the Trustee) in writing as promptly as practicable following the effective date of such transaction or event, but in no event later than the effective date of such transaction or event.</w:t>
      </w:r>
    </w:p>
    <w:p>
      <w:pPr>
        <w:spacing w:after="0" w:line="3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3" w:name="page104"/>
    <w:bookmarkEnd w:id="103"/>
    <w:p>
      <w:pPr>
        <w:jc w:val="both"/>
        <w:ind w:left="180" w:firstLine="652"/>
        <w:spacing w:after="0" w:line="258" w:lineRule="auto"/>
        <w:tabs>
          <w:tab w:leader="none" w:pos="113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August 15, 2031, a Holder may surrender all or any portion of its Notes for conversion at any time during any calendar quarter commencing after the calendar quarter ending on March 31, 2026 (and only during such calendar quarter), if the Last Reported Sale Price of the Class A Ordinary Shares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09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Note for Redemption pursuant to Article 16 prior to the close of business on the Business Day immediately preceding August 15, 2031, then a Holder may surrender all or any portion of its Called Notes for conversion at any time prior to the close of business on the second Business Day prior to the related Redemption Date, even if the Called Notes are not otherwise convertible at such time. After that time, the right to convert shall expire under this clause (v), unless the Company defaults in the payment of the Redemption Price, in which case the Holder of the Called Notes may convert such Note until the Redemption Price has been paid or duly provided for. If the Company elects to redeem fewer than all of the outstanding Notes for Optional Redemption pursuant to Article 16, and the Holder of any Note, or any owner of a beneficial interest in any Global Note, is reasonably not able to determine, prior to the close of business on the 44th Scheduled Trading Day immediately preceding the relevant Redemption Date (or, if the Company elects Physical Settlement for conversions that occur during the related Redemption Period, on the fourth Business Day immediately preceding the relevant Optional Redemption Date), whether such Note or beneficial interest, as applicable, is to be redeemed pursuant to such Redemption, then such Holder or owner, as applicable, will be entitled to convert such Note or beneficial interest, as applicable, at any time during the related Redemption Period, and each such conversion will be deemed to be of a Note called for Optional Redemption, and such Note or beneficial interest will be deemed called for Optional Redemption solely for the purposes of such conversion (“</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If a Holder elects to convert Called Notes during the related Redemption Period, the Company</w:t>
      </w:r>
    </w:p>
    <w:p>
      <w:pPr>
        <w:spacing w:after="0" w:line="11"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under certain circumstances, increase the Conversion Rate for such Called Notes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14.03. Accordingly, if the</w:t>
      </w:r>
    </w:p>
    <w:p>
      <w:pPr>
        <w:spacing w:after="0" w:line="9"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elects to redeem fewer than all of the outstanding Notes pursuant to Article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16, Holders of the Notes that are not Called Notes</w:t>
      </w:r>
    </w:p>
    <w:p>
      <w:pPr>
        <w:spacing w:after="0" w:line="9" w:lineRule="exact"/>
        <w:rPr>
          <w:rFonts w:ascii="Times New Roman" w:cs="Times New Roman" w:eastAsia="Times New Roman" w:hAnsi="Times New Roman"/>
          <w:sz w:val="18"/>
          <w:szCs w:val="18"/>
          <w:color w:val="auto"/>
        </w:rPr>
      </w:pPr>
    </w:p>
    <w:p>
      <w:pPr>
        <w:jc w:val="both"/>
        <w:ind w:lef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entitled to convert such Notes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14.01(b)(v) and shall not be entitled to an increase in the Conversion Rate on account of the Optional Redemption Notice for conversions of such Notes during the related Redemption Period, even if such</w:t>
      </w: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are otherwise convertible pursuant to any other provision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14.01(b).</w:t>
      </w: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i w:val="1"/>
          <w:iCs w:val="1"/>
          <w:color w:val="auto"/>
        </w:rPr>
        <w:t>Conversion Procedure; Settlement Upon Conversion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4"/>
        <w:spacing w:after="0" w:line="259" w:lineRule="auto"/>
        <w:tabs>
          <w:tab w:leader="none" w:pos="9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14.03(b)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14.08(a), upon conversion of any Note, the Company shall satisfy its Conversion Obligation by paying or delivering, as the case may be, to the converting Holder, in respect of each $1,000 principal amount of Notes being converted, cash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Class A Ordinary Shares, together with cash, if applicable, in lieu of delivering any fractional Class A</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in accordance with subsection (j)</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or a combination of cash and Class A Ordinary Shares, together with cash, if applicable, in lieu of delivering any fractional Class A Ordinary Shares in accordance with subsection (j)</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14.02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at its election, as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w:t>
      </w:r>
    </w:p>
    <w:p>
      <w:pPr>
        <w:spacing w:after="0" w:line="206"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0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conversions of Called Notes for which the relevant Conversion Date occurs during the related Redemption Period, and all conversions for which the relevant Conversion Date occurs on or after August 15, 2031, shall be settled using the same Settlement Method.</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156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conversions of Called Notes for which the relevant Conversion Date occurs during the related Redemption Period, and any conversions for which the relevant Conversion Date occurs on or after August 15, 2031, and except to the extent the Company has irrevocably elected Physical Settlement pursuant to Section 14.01(b)(ii) in a notice as described in such Section or has previously made an irrevocable election with respect to all subsequent conversions of Notes pursuant to Section 14.02(a)(iii), the Company shall use the same Settlement Method for all conversions with the same Conversion Date, but the Company shall not have any obligation to use the same Settlement Method with respect to conversions with different Conversion Dates.</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60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respect of any Conversion Date (or any conversions of Called Notes for which the relevant Conversion Date occurs during the related Redemption Period, or any conversions for which the relevant Conversion Date occurs on or after August 15, 2031 or for which the Company has irrevocably elected Physical Settlement pursuant to Section 14.01(b)(ii) in a notice as described in such Section), the Company elects to deliver a notice (the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of the relevant Settlement Method in respect of such Conversion Date (or either such period, as the case may be), the Company, shall deliver such Settlement Notice to converting Holders,</w:t>
      </w:r>
    </w:p>
    <w:p>
      <w:pPr>
        <w:spacing w:after="0" w:line="3"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Conversion Agent (if other than the Trustee) in 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17.15, no later than the close of business on the Trading Day immediately following the relevant Conversion Date (or, in the case of (x) any conversion of Called Notes for which the relevant Conversion Date occurs during the related Redemption Period, in the relevant Redemption Notice, (y) any conversions of Notes for which the relevant Conversion Date occurs on or after August 15, 2031, no later than August 15, 2031, or (z) any conversions for which the Company has irrevocably elected Physical Settlement pursuant to Section 14.01(b)(ii), in a notice as described in such Section). If the Company does not timely elect a Settlement Method prior to the deadline set forth in the immediately preceding sentence, the Company shall no longer have the right to elect a Settlement Method with respect to any such Conversion Date or during such period and the Company shall be deemed to have elected the Default Settlement Method in respect of its Conversion Obligation.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Combination Settlement in respect of its Conversion Obligation, or the Company is deemed to have elected Combination Settlement,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as applicable a Specified Dollar Amount will not constitute a Default or Event of Default under this Indenture.</w:t>
      </w:r>
    </w:p>
    <w:p>
      <w:pPr>
        <w:spacing w:after="0" w:line="39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05" w:name="page106"/>
    <w:bookmarkEnd w:id="105"/>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By notice to Holders, the Trustee and the Conversion Agent (if other than the Trustee), the Company may, from time to time, change the Default Settlement Method prior to August 15, 2031. In addition, by notice to Holders, the Trustee and the Conversion Agent (if other than the Trustee), the Company may, prior to August 15, 2031, at its option, irrevocably elect to fix the Settlement Method to any Settlement Method that the Company is then permitted to elect, including Combination Settlement with a Specified Dollar Amount per $1,000 principal amount of Notes of $1,000 or with an ability to continue to set the Specified Dollar Amount per $1,000 principal amount of Notes at or above a specific amount set forth in such notice. If the Company changes the Default Settlement Method or irrevocably elects to fix the Settlement Method, in either case, to Combination Settlement with an ability to continue to set the Specified Dollar Amount per $1,000 principal amount of Notes at or above a specific amount, the Company will, after the date of such change or election, as the case may be, inform Holders converting their Notes, the Trustee and the Conversion Agent (if other than the Trustee) of such Specified Dollar Amount no later than the relevant deadline for election of a Settlement Method as described in the immediately preceding paragraph, or, if the Company does not timely notify Holders, such Specified Dollar Amount will be the specific amount set forth in the Settlement Notice or, if no specific amount was set forth in the Settlement Notice, such Specified Dollar Amount will be $1,000 per $1,000 principal amount of Notes. A change in the Default Settlement Method or an irrevocable election will apply to all conversions of Notes on Conversion Dates occurring subsequent to delivery of such Settlement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change or election will affect any Settlement Method theretofore elected (or deemed to be elected) with respect to any Note. For the avoidance of doubt, such an irrevocable election, if made, will be effective without the need to amend this Indenture or the Notes, including pursuant to the provisions described in Section 10.01(i). However, the Company may nonetheless choose to execute such an amendment at its option.</w:t>
      </w:r>
    </w:p>
    <w:p>
      <w:pPr>
        <w:spacing w:after="0" w:line="192"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If the Company changes the Default Settlement Method or irrevocably fixes the Settlement Method pursuant to the provisions described in the preceding paragraph, then, concurrently with providing a Settlement Notice to Holders of Notes, the Trustee and the Conversion Agent (if other than the Trustee) of such change or election, the Company will post notice of the Default Settlement Method on its website or otherwise disclose such information in a Current Report on Form 6-K or 8-K (or any successor form) that is filed with the Commission.</w:t>
      </w:r>
    </w:p>
    <w:p>
      <w:pPr>
        <w:spacing w:after="0" w:line="183" w:lineRule="exact"/>
        <w:rPr>
          <w:sz w:val="20"/>
          <w:szCs w:val="20"/>
          <w:color w:val="auto"/>
        </w:rPr>
      </w:pPr>
    </w:p>
    <w:p>
      <w:pPr>
        <w:ind w:left="180" w:right="20" w:firstLine="652"/>
        <w:spacing w:after="0" w:line="282" w:lineRule="auto"/>
        <w:tabs>
          <w:tab w:leader="none" w:pos="11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Class A Ordinary Shares or combination of cash and Class A Ordinary Shares payable or deliverable by the Company in respect of any conversion of Notes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shall be computed as follows:</w:t>
      </w:r>
    </w:p>
    <w:p>
      <w:pPr>
        <w:spacing w:after="0" w:line="161" w:lineRule="exact"/>
        <w:rPr>
          <w:rFonts w:ascii="Times New Roman" w:cs="Times New Roman" w:eastAsia="Times New Roman" w:hAnsi="Times New Roman"/>
          <w:sz w:val="18"/>
          <w:szCs w:val="18"/>
          <w:color w:val="auto"/>
        </w:rPr>
      </w:pPr>
    </w:p>
    <w:p>
      <w:pPr>
        <w:jc w:val="both"/>
        <w:ind w:left="2120" w:hanging="640"/>
        <w:spacing w:after="0" w:line="261" w:lineRule="auto"/>
        <w:tabs>
          <w:tab w:leader="none" w:pos="21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Class A Ordinary Shares equal to the Conversion Rate in effect immediately after the close of business on the Conversion Date;</w:t>
      </w:r>
    </w:p>
    <w:p>
      <w:pPr>
        <w:spacing w:after="0" w:line="179" w:lineRule="exact"/>
        <w:rPr>
          <w:rFonts w:ascii="Times New Roman" w:cs="Times New Roman" w:eastAsia="Times New Roman" w:hAnsi="Times New Roman"/>
          <w:sz w:val="18"/>
          <w:szCs w:val="18"/>
          <w:color w:val="auto"/>
        </w:rPr>
      </w:pPr>
    </w:p>
    <w:p>
      <w:pPr>
        <w:jc w:val="both"/>
        <w:ind w:left="2120" w:hanging="640"/>
        <w:spacing w:after="0" w:line="261" w:lineRule="auto"/>
        <w:tabs>
          <w:tab w:leader="none" w:pos="21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forty (40) consecutive Trading Days during the related Observation Period; and</w:t>
      </w: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6" w:name="page107"/>
    <w:bookmarkEnd w:id="106"/>
    <w:p>
      <w:pPr>
        <w:jc w:val="both"/>
        <w:ind w:left="2580" w:hanging="640"/>
        <w:spacing w:after="0" w:line="258" w:lineRule="auto"/>
        <w:tabs>
          <w:tab w:leader="none" w:pos="25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forty (40) consecutive Trading Days during the related Observation Period.</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9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Class A Ordinary Shares, the Company shall notify the Trustee and the Conversion Agent (if other than the Trustee) of the Daily Settlement Amounts or the Daily Conversion Values, as the case may be, and the amount of cash payable in lieu of delivering fractional Class A Ordinary Shares. The Trustee and the Conversion Agent (if other than the Trustee) shall have no responsibility or liability for any such determination.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9" w:lineRule="auto"/>
        <w:tabs>
          <w:tab w:leader="none" w:pos="89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14.02(e), before any Holder of a Note shall be entitled to convert a Note as set forth above, a Holder shall (i) in the case of a Global Note, comply with the Applicable Procedures of the Depositary in effect at that time and, if required, pay funds equal to interest payable on the next Interest Payment Date to which such Holder is not entitled, and if required, pay all transfer or similar taxes, if any, as set forth</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14.02(h) and (ii) in the case of a Physical Note, the Holder thereof shall (1) complete, manually sign and deliver an irrevocable notice (or a facsimile, PDF or other electronic transmission thereof) to the Conversion Agent as set forth in the Form of Notice of Conversion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names (with addresses) in which such Holder wishes the certificate or certificates for any Class A Ordinary Shares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14.02(h). The Trustee (and if different, the Conversion Agent) shall notify the Company of any conversion pursuant to this Article 14 on the Conversion Date for such conversion. No Holder may surrender Notes for conversion if such Holder has also delivered a Fundamental Change Repurchase Notice or a Specified Repurchase Date Repurchase Notice to the Company in respect of such Notes and has not validly withdrawn such Fundamental Change Repurchase Notice or Specified Repurchase Date Repurchase Notice in accordance with Section 15.03.</w:t>
      </w:r>
    </w:p>
    <w:p>
      <w:pPr>
        <w:spacing w:after="0" w:line="3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7" w:name="page108"/>
    <w:bookmarkEnd w:id="10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computed on the basis of the aggregate principal amount of the Notes so surrendered.</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that the Holder has complied with the requirements set forth in subsection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(b) above. Except as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14.03(b)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14.08(a), the Company shall pay or deliver, as the case may be, the consideration due in respect of the Conversion Obligation, on the second Business Day immediately following the relevant Conversion Date, if the Company elects Physical Settlement, or on the second Business Day immediately following the last Trading Day of the relevant Observation Period, in the case of any other Settlement Method;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with respect to any Conversion Date occurring during a Redemption Period, the Company will settle any such conversion for which Physical Settlement is applicable on the relevant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notwithstanding the foregoing, with respect to any Conversion Date occurring after the regular Record Date immediately preceding the Maturity Date, the Company will settle any such conversion for which Physical Settlement is applicable on the Maturity Date. If any Class A Ordinary Shares are due to a converting Holder, the Company shall issue or cause to be issued, and deliver (if applicable) to the Conversion Agent or to such Holder, or such Holder’s nominee or nominees, the full number of Class A Ordinary Shares to which such Holder shall be entitled, in book-entry format through the Depositary, in satisfaction of the Company’s Conversion Obligation.</w:t>
      </w:r>
    </w:p>
    <w:p>
      <w:pPr>
        <w:spacing w:after="0" w:line="194" w:lineRule="exact"/>
        <w:rPr>
          <w:sz w:val="20"/>
          <w:szCs w:val="20"/>
          <w:color w:val="auto"/>
        </w:rPr>
      </w:pPr>
    </w:p>
    <w:p>
      <w:pPr>
        <w:jc w:val="both"/>
        <w:ind w:firstLine="644"/>
        <w:spacing w:after="0" w:line="255" w:lineRule="auto"/>
        <w:tabs>
          <w:tab w:leader="none" w:pos="91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deliver a Company Order, and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issue, transfer or similar tax due on the delivery of Class A Ordinary Shares required by law or that may be imposed in connection therewith as a result of the name of the Holder of the new Notes issued upon such conversion being different from the name of the Holder of the old Notes surrendered for such conversion.</w:t>
      </w:r>
    </w:p>
    <w:p>
      <w:pPr>
        <w:spacing w:after="0" w:line="188" w:lineRule="exact"/>
        <w:rPr>
          <w:rFonts w:ascii="Times New Roman" w:cs="Times New Roman" w:eastAsia="Times New Roman" w:hAnsi="Times New Roman"/>
          <w:sz w:val="18"/>
          <w:szCs w:val="18"/>
          <w:color w:val="auto"/>
        </w:rPr>
      </w:pPr>
    </w:p>
    <w:p>
      <w:pPr>
        <w:jc w:val="both"/>
        <w:ind w:firstLine="644"/>
        <w:spacing w:after="0" w:line="258" w:lineRule="auto"/>
        <w:tabs>
          <w:tab w:leader="none" w:pos="89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submits a Note for conversion, the Company shall pay any documentary, stamp issue, transfer or similar tax due on the delivery of Class A Ordinary Shares upon conversion, unless the tax is due because the Holder requests such Class A Ordinary Shares to be issued in a name other than such Holder’s name, in which case such Holder shall pay that tax. The Conversion Agent may refuse to deliver the certificates representing Class A Ordinary Shares being issued in a name other than such Holder’s name until the Trustee receives a sum sufficient to pay any tax that is due by such Holder in accordance with the immediately preceding sentence.</w:t>
      </w:r>
    </w:p>
    <w:p>
      <w:pPr>
        <w:spacing w:after="0" w:line="3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8" w:name="page109"/>
    <w:bookmarkEnd w:id="108"/>
    <w:p>
      <w:pPr>
        <w:ind w:left="-460" w:firstLine="644"/>
        <w:spacing w:after="0" w:line="282" w:lineRule="auto"/>
        <w:tabs>
          <w:tab w:leader="none" w:pos="4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14.05, no adjustment shall be made for dividends on any Class A Ordinary Shares issued upon the conversion of any Note as provided in this Article 14.</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or the Note Custodian (if other than the Trustee)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4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conversion, a Holder shall not receive any separate cash payment for accrued and unpaid interest, if any, except as set forth below. The Company’s payment and delivery, as the case may be, of the Settlement Amount with respect to any converted Note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Class A Ordinary Shares, accrued and unpaid interest shall be deemed to be paid first out of the cash paid upon such conversion. Notwithstanding the foregoing, if Notes are converted after the close of business on a Regular Record Date, but prior to the open of business on the immediately following Interest Payment Date, Holders of such Notes as of the close of business on such Regular Record Date shall receive the full amount of interest payable on such Notes on the corresponding Interest Payment Date notwithstanding the conversion. However, Notes surrendered for conversion during the period from the close of business on any Regular Record Date to the open of business on the immediately following Interest Payment Date shall be accompanied by funds in U.S. dollars equal to the amount of interest payable on the Notes so converted (regardless of whether the converting Holder was the Holder of record on the corresponding Regular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following the close of business on the Regular Record Date immediately preceding the Maturity Date; (2) if the Company has specified a Redemption Date that is after a Regular Record Date and on or prior to the second Business Day immediately succeeding the corresponding Interest Payment Date (or, if such Interest Payment Date is not a Business Day, the third Business Day immediately succeeding such Interest Payment Date); (3) if the Company has specified a Fundamental Change Repurchase Date or the Specified Repurchase Date that is after a Regular Record Date and on or prior to the second Business Day immediately succeeding the corresponding Interest Payment Date (or, if such Interest Payment Date is not a Business Day, the third Business Day immediately succeeding such Interest Payment Date); or (4) to the extent of any overdue interest, if any overdue interest exists at the time of conversion with respect to such Note. Therefore, for the avoidance of doubt, all Holders of record on the Regular Record Date immediately preceding the Maturity Date, the Specified Repurchase Date, any Fundamental Change Repurchase Date, or Redemption Date, in each case, as described above, shall receive the full interest payment due on the Maturity Date or other applicable Interest Payment Date in cash, regardless of whether their Notes have been converted following such Regular Record Date.</w:t>
      </w: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9" w:name="page110"/>
    <w:bookmarkEnd w:id="109"/>
    <w:p>
      <w:pPr>
        <w:jc w:val="both"/>
        <w:ind w:left="4" w:firstLine="644"/>
        <w:spacing w:after="0" w:line="253" w:lineRule="auto"/>
        <w:tabs>
          <w:tab w:leader="none" w:pos="86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in whose name any Class A Ordinary Shares shall be issuable upon conversion shall become the holder of record of such shares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Upon a conversion of Notes, such Person shall no longer be a Holder of such Notes surrendered for conversion;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the converting Holder shall have the right to receive the Settlement Amount due upon conversion and (b) in the case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between a Regular Record Date and the corresponding Interest Payment Date, the Holder of record as of the close of business on such Regular Record Date shall have the right to receive the full amount of interest payable on such Interest Payment Date, in accordance with clause</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6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Class A Ordinary Shares upon conversion of the Notes and shall instead pay cash in lieu of delivering any fractional Class A Ordinary Shares issuable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i w:val="1"/>
          <w:iCs w:val="1"/>
          <w:color w:val="auto"/>
        </w:rPr>
        <w:t>Adjustment to Conversion Rate Upon Conversion Upon a Make-Whole Fundamental Change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4" w:firstLine="644"/>
        <w:spacing w:after="0" w:line="253" w:lineRule="auto"/>
        <w:tabs>
          <w:tab w:leader="none" w:pos="8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Date of a Make-Whole Fundamental Change occurs prior to the Maturity Date and a Holder elects to convert its Notes (or any portion thereof) in connection with such Make-Whole Fundamental Change, the Company shall, under the circumstances described below, increase the Conversion Rate for the Notes so surrendered for conversion by a number of additional Class A Ordinary Shares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as described below. A conversion of Notes shall be deemed for these purposes to be “in connection with”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Make-Whole Fundamental Change if the relevant Conversion Date occurs during the period from, and including, the Effective Date of the Make-Whole Fundamental Change up to, and including, the second Business Day immediately prior to the related Fundamental Change Repurchase Date (or, in the case of a Make-Whole Fundamental Change that would have been a Fundamental Change but for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definition thereof or that constitutes an Exempted Fundamental Change, the 35th Business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The Company will provide written notification to Holders, the Trustee and the Conversion Agent (if other than the Trustee) of the Effective Date of any Make-Whole Fundamental Change and publish a notice on its website or through such other public medium as the Company may use at that time announcing such Effective Date no later than five (5) Business Days after such Effective Date.</w:t>
      </w:r>
    </w:p>
    <w:p>
      <w:pPr>
        <w:spacing w:after="0" w:line="3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0" w:name="page111"/>
    <w:bookmarkEnd w:id="110"/>
    <w:p>
      <w:pPr>
        <w:ind w:left="920" w:hanging="276"/>
        <w:spacing w:after="0"/>
        <w:tabs>
          <w:tab w:leader="none" w:pos="9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Notes for conversion in connection with a Make-Whole Fundamental Change, the Company shall, at its option,</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related Conversion Obligation by Physical Settlement, Cash Settlement or Combination Settlement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consideration received by holders of Class A Ordinary Shares in exchange for such Class A Ordinary Shares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Make-Whole Fundamental Change described in 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definition of Fundamental Change is composed entirely of cash, for any conversion of Notes following the Effective Date of such Make-Whole Fundamental Change, the Conversion Obligation shall be calculated based solely on the Share Price for the transaction and shall be deemed to be an amount of cash per $1,000 principal amount of converted Notes equal to the Conversion Rate (including any increase to reflect the Additional Class A Ordinary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Share Price. In such event, the Conversion Obligation shall be determined and paid to Holders in cash on the fifth Business Day following the Conversion Date.</w:t>
      </w:r>
    </w:p>
    <w:p>
      <w:pPr>
        <w:spacing w:after="0" w:line="188"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Additional Class A Ordinary Shares, if any, by which the Conversion Rate shall be increased shall be determined by</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 table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14.03(e), based on the date on which the Make-Whole Fundamental Change occurs or becomes effective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price paid (or deemed to be paid) per Class A Ordinary Share in the Make-Whole Fundamental Change (the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If the holders of Class A Ordinary Shares receive in exchange for their Class A Ordinary Shares only cash in a Make-Whole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described in clause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definition of Fundamental Change, the Share Price shall be the cash amount paid per share. Otherwise, the Share Price shall be the average of the Last Reported Sale Prices of the Class A Ordinary Shares over the five (5) consecutive Trading Day period ending on, and including, the Trading Day immediately preceding the relevant Effective Date. The Company shall make appropriate adjustments to the Share Price, in its good faith determination, to account for any adjustment to the Conversion Rate that becomes effective, or any event requiring an adjustment to the Conversion Rate where the Ex-Dividend Date, Effective Date or expiration date of the event occurs during such five consecutive Trading Day period. In the event that a conversion in connection with a Redemption Notice would also be deemed to be in connection with a Make-Whole Fundamental Change, a Holder of the Notes to be converted shall be entitled solely to a single increase to the Conversion Rate with respect to the first to occur of the applicable Redemption Reference Date or the Effective Date of the applicable Make-Whole Fundamental Change.</w:t>
      </w:r>
    </w:p>
    <w:p>
      <w:pPr>
        <w:spacing w:after="0" w:line="188" w:lineRule="exact"/>
        <w:rPr>
          <w:rFonts w:ascii="Times New Roman" w:cs="Times New Roman" w:eastAsia="Times New Roman" w:hAnsi="Times New Roman"/>
          <w:sz w:val="18"/>
          <w:szCs w:val="18"/>
          <w:color w:val="auto"/>
        </w:rPr>
      </w:pPr>
    </w:p>
    <w:p>
      <w:pPr>
        <w:jc w:val="both"/>
        <w:ind w:firstLine="644"/>
        <w:spacing w:after="0" w:line="259" w:lineRule="auto"/>
        <w:tabs>
          <w:tab w:leader="none" w:pos="9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Prices set forth in the column headings of the table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14.03(e) shall be adjusted as of any date on which the Conversion Rate is otherwise adjusted. The adjusted Share Prices shall equal the Share Prices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the adjustment giving rise to the Share Price adjustment and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denominator of which is the Conversion Rate as so adjusted. The number of Additional Class A Ordinary Shares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14.03(e) shall be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 the same manner and at the same time as the Conversion Rate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w:t>
      </w: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1" w:name="page112"/>
    <w:bookmarkEnd w:id="111"/>
    <w:p>
      <w:pPr>
        <w:ind w:left="1540" w:hanging="236"/>
        <w:spacing w:after="0"/>
        <w:tabs>
          <w:tab w:leader="none" w:pos="1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number of Additional Class A Ordinary Shares by which the Conversion Rate shall be increased per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principal amount of the Notes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14.03 for each Share Price and Effective Date set forth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 Price</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8"/>
        </w:trPr>
        <w:tc>
          <w:tcPr>
            <w:tcW w:w="1500" w:type="dxa"/>
            <w:vAlign w:val="bottom"/>
          </w:tcPr>
          <w:p>
            <w:pPr>
              <w:spacing w:after="0"/>
              <w:rPr>
                <w:sz w:val="17"/>
                <w:szCs w:val="17"/>
                <w:color w:val="auto"/>
              </w:rPr>
            </w:pPr>
          </w:p>
        </w:tc>
        <w:tc>
          <w:tcPr>
            <w:tcW w:w="7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6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66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6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6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6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6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6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6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7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7"/>
                <w:szCs w:val="17"/>
                <w:color w:val="auto"/>
              </w:rPr>
            </w:pPr>
          </w:p>
        </w:tc>
      </w:tr>
      <w:tr>
        <w:trPr>
          <w:trHeight w:val="241"/>
        </w:trPr>
        <w:tc>
          <w:tcPr>
            <w:tcW w:w="1500" w:type="dxa"/>
            <w:vAlign w:val="bottom"/>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22.00</w:t>
            </w:r>
          </w:p>
        </w:tc>
        <w:tc>
          <w:tcPr>
            <w:tcW w:w="120" w:type="dxa"/>
            <w:vAlign w:val="bottom"/>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24.88</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30.00</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35.00</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40.00</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45.00</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55.00</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70.00</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140.00</w:t>
            </w:r>
          </w:p>
        </w:tc>
        <w:tc>
          <w:tcPr>
            <w:tcW w:w="60" w:type="dxa"/>
            <w:vAlign w:val="bottom"/>
          </w:tcPr>
          <w:p>
            <w:pPr>
              <w:spacing w:after="0"/>
              <w:rPr>
                <w:sz w:val="20"/>
                <w:szCs w:val="20"/>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November 17, 2025</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15.4725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15.4725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14.2718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11.4695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9.5686</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7.5177</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5.1113</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3.6403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2.6563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1.9689</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1.1055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0.4533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0.0203</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2026</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15.4725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15.4725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13.9572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11.0760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9.1464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7.0924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4.7297</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3.3169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2.3888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0.9611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0.3783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0.0109</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November 15, 2027</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15.4725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15.4725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13.2335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10.3100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8.3891</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6.3855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4.1443</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2.8457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2.0130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1.4511</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0.7718</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0.2856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0.0045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2028</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15.4725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15.2944</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12.0304</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9.1275</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7.2759</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5.3995</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3.3807</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2.2577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1.5605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1.1016</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0.5611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0.1879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November 15, 2029</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15.4725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13.1538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10.1187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7.4435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5.7673</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4.1150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2.4267</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1.5503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1.0355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0.7104</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0.3416</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0.0969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2030</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15.4725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11.0431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7.7935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5.1445</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3.6414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2.3244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0.7177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0.4663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0.3156</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0.1451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0.0294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0.0000</w:t>
            </w: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November 15, 2031</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15.4725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6.2365</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exact Share Price and Effective Date may not be set forth in the table above, in which case:</w:t>
      </w:r>
    </w:p>
    <w:p>
      <w:pPr>
        <w:spacing w:after="0" w:line="225" w:lineRule="exact"/>
        <w:rPr>
          <w:sz w:val="20"/>
          <w:szCs w:val="20"/>
          <w:color w:val="auto"/>
        </w:rPr>
      </w:pPr>
    </w:p>
    <w:p>
      <w:pPr>
        <w:jc w:val="both"/>
        <w:ind w:left="1300" w:right="40" w:firstLine="652"/>
        <w:spacing w:after="0" w:line="261" w:lineRule="auto"/>
        <w:tabs>
          <w:tab w:leader="none" w:pos="216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between two Share Prices in the table above or the Effective Date is between two Effective Dates in the table above, the number of Additional Class A Ordinary Shares by which the Conversion Rate shall be increased shall be determined by a straight-line interpolation between the number of Additional Class A Ordinary Shares set forth for the higher and lower Share Prices and the earlier and later Effective Dates, as applicable, based on a 365-day year;</w:t>
      </w:r>
    </w:p>
    <w:p>
      <w:pPr>
        <w:spacing w:after="0" w:line="179" w:lineRule="exact"/>
        <w:rPr>
          <w:rFonts w:ascii="Times New Roman" w:cs="Times New Roman" w:eastAsia="Times New Roman" w:hAnsi="Times New Roman"/>
          <w:sz w:val="18"/>
          <w:szCs w:val="18"/>
          <w:color w:val="auto"/>
        </w:rPr>
      </w:pPr>
    </w:p>
    <w:p>
      <w:pPr>
        <w:jc w:val="both"/>
        <w:ind w:left="1300" w:right="40" w:firstLine="652"/>
        <w:spacing w:after="0" w:line="266" w:lineRule="auto"/>
        <w:tabs>
          <w:tab w:leader="none" w:pos="221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greater than $140.00 per share (subject to adjustment in the same manner as the Share Prices set forth in the column headings of the table above pursuant to subsection (d)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no Additional Class A Ordinary Shares shall be added to the Conversion Rate; and</w:t>
      </w:r>
    </w:p>
    <w:p>
      <w:pPr>
        <w:spacing w:after="0" w:line="175" w:lineRule="exact"/>
        <w:rPr>
          <w:rFonts w:ascii="Times New Roman" w:cs="Times New Roman" w:eastAsia="Times New Roman" w:hAnsi="Times New Roman"/>
          <w:sz w:val="18"/>
          <w:szCs w:val="18"/>
          <w:color w:val="auto"/>
        </w:rPr>
      </w:pPr>
    </w:p>
    <w:p>
      <w:pPr>
        <w:jc w:val="both"/>
        <w:ind w:left="1300" w:right="40" w:firstLine="652"/>
        <w:spacing w:after="0" w:line="266" w:lineRule="auto"/>
        <w:tabs>
          <w:tab w:leader="none" w:pos="226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Price is less than $13.94 per share (subject to adjustment in the same manner as the Share Prices set forth in the column headings of the table above pursuant to subsection (d)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no Additional Class A Ordinary Shares shall be added to the Conversion Rate.</w:t>
      </w:r>
    </w:p>
    <w:p>
      <w:pPr>
        <w:spacing w:after="0" w:line="176" w:lineRule="exact"/>
        <w:rPr>
          <w:sz w:val="20"/>
          <w:szCs w:val="20"/>
          <w:color w:val="auto"/>
        </w:rPr>
      </w:pPr>
    </w:p>
    <w:p>
      <w:pPr>
        <w:ind w:left="1300" w:right="4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71.7360 Class A Ordinary Shares, subject to adjustment in the same manner as the Conversion Rate pursuant to ‎Section 14.05.</w:t>
      </w:r>
    </w:p>
    <w:p>
      <w:pPr>
        <w:spacing w:after="0" w:line="162" w:lineRule="exact"/>
        <w:rPr>
          <w:sz w:val="20"/>
          <w:szCs w:val="20"/>
          <w:color w:val="auto"/>
        </w:rPr>
      </w:pPr>
    </w:p>
    <w:p>
      <w:pPr>
        <w:ind w:left="1300" w:right="60" w:firstLine="648"/>
        <w:spacing w:after="0" w:line="282" w:lineRule="auto"/>
        <w:rPr>
          <w:sz w:val="20"/>
          <w:szCs w:val="20"/>
          <w:color w:val="auto"/>
        </w:rPr>
      </w:pPr>
      <w:r>
        <w:rPr>
          <w:rFonts w:ascii="Times New Roman" w:cs="Times New Roman" w:eastAsia="Times New Roman" w:hAnsi="Times New Roman"/>
          <w:sz w:val="18"/>
          <w:szCs w:val="18"/>
          <w:color w:val="auto"/>
        </w:rPr>
        <w:t>Neither the Trustee nor any of the agents shall have any duty to monitor the accuracy of any of the calculations made by the Company which will be conclusive and binding on the Holders, absent manifest error.</w:t>
      </w:r>
    </w:p>
    <w:p>
      <w:pPr>
        <w:spacing w:after="0" w:line="158" w:lineRule="exact"/>
        <w:rPr>
          <w:sz w:val="20"/>
          <w:szCs w:val="20"/>
          <w:color w:val="auto"/>
        </w:rPr>
      </w:pPr>
    </w:p>
    <w:p>
      <w:pPr>
        <w:ind w:left="660" w:right="40" w:firstLine="644"/>
        <w:spacing w:after="0" w:line="286" w:lineRule="auto"/>
        <w:tabs>
          <w:tab w:leader="none" w:pos="15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 in respect of a Make-Whole Fundamental Change.</w:t>
      </w: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904" w:right="299" w:bottom="1440" w:gutter="0" w:footer="0" w:header="0"/>
        </w:sectPr>
      </w:pPr>
    </w:p>
    <w:bookmarkStart w:id="112" w:name="page113"/>
    <w:bookmarkEnd w:id="1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i w:val="1"/>
          <w:iCs w:val="1"/>
          <w:color w:val="auto"/>
        </w:rPr>
        <w:t>Adjustment to Conversion Rate upon Conversion in Connection with a Redemption</w:t>
      </w:r>
      <w:r>
        <w:rPr>
          <w:rFonts w:ascii="Times New Roman" w:cs="Times New Roman" w:eastAsia="Times New Roman" w:hAnsi="Times New Roman"/>
          <w:sz w:val="18"/>
          <w:szCs w:val="18"/>
          <w:color w:val="auto"/>
        </w:rPr>
        <w:t>. If a Holder elects to convert its Called Notes in connection with a Redemption, the Company will, under certain circumstances, increase the Conversion Rate for the Notes so surrendered for conversion by a number of Additional Class A Ordinary Shares as described below. The Company will settle conversions of Notes and, for the avoidance of doubt, pay Additional Amounts, if any, with respect to any such conversion.</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conversion of Called Notes shall be deemed to be in connection with a Redemption if such conversion occurs during the related Redemption Period. In the event that a conversion of Called Notes in connection with a Redemption would also be deemed to be in connection with a Make-Whole Fundamental Change or any other Redemption, a Holder of the Notes to be converted will be entitled to a single increase to the Conversion Rate with respect to the first to occur of the applicable Redemption Notice and the Effective Date of the applicable Make-Whole Fundamental Change, and the later event will be deemed not to have occurred for purposes of Section 14.03 or this Section 14.04, as applicable.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if the Company issues a Redemption Notice in connection with an Optional Redemption, the Company will increase the Conversion Rate during the related Redemption Period only with respect to conversions of Called Notes. Accordingly, if the Company elects to redeem fewer than all of the outstanding Notes in connection with an Optional Redemption, Holders will not be entitled to convert the Notes that are neither called for Redemption nor deemed to be called for Redemption on account of the Redemption Notice and will not be entitled to an increased Conversion Rate for conversions of such Notes on account of the Redemption Notice during the related Redemption Period, even if such Notes are otherwise convertible.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number of Additional Class A Ordinary Shares by which the Conversion Rate will be increased in the event of conversion of Notes called for Redemption in connection with a Redemption will be determined by reference to the table in Section 14.03(e), based on the Redemption Reference Date and the Redemption Reference Price, but determined for purposes of this Section 14.04 as if (x) the Holder had elected to convert its Notes called for Redemption in connection with a Make-Whole Fundamental Change, (y) the applicable Redemption Reference Date were the “Effective Date” and (z) the applicable Redemption Reference Price were the Share Price (and subject, for the avoidance of doubt, to the two paragraphs immediately following such table).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Trustee nor any of the agents shall have any duty to monitor the accuracy of any of the calculations made by the Company which will be conclusive and binding on the Holders, absent manifest error.</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i w:val="1"/>
          <w:iCs w:val="1"/>
          <w:color w:val="auto"/>
        </w:rPr>
        <w:t>Adjustment of Conversion Rate</w:t>
      </w:r>
      <w:r>
        <w:rPr>
          <w:rFonts w:ascii="Times New Roman" w:cs="Times New Roman" w:eastAsia="Times New Roman" w:hAnsi="Times New Roman"/>
          <w:sz w:val="18"/>
          <w:szCs w:val="18"/>
          <w:color w:val="auto"/>
        </w:rPr>
        <w:t xml:space="preserve">. The Conversion Rate shall be adjusted from time to time by the Company if any of the following events occurs, except that the Company shall not make any adjustments to the Conversion Rate if Holders participate (other than in the case of (x) a share split or share combination or (y) a tender or exchange offer), at the same time and upon the same terms as holders of the Class A Ordinary Shares and solely as a result of holding the Notes, in any of the transactions described in this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14.05, without having to convert their Notes as if they held a number of Class A Ordinary Shares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 Neither the Trustee nor the Conversion Agent shall have any responsibility to monitor the accuracy of any calculation of any adjustment to the Conversion Rate and the same shall be conclusive and binding on the Holders, absent manifest error. Notice of such adjustment to the Conversion Rate will be given by the Company promptly in writing to the Holders, the Trustee and the Conversion Agent (if other than the Trustee) and shall be conclusive and binding on the Holders, absent manifest error.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3" w:name="page114"/>
    <w:bookmarkEnd w:id="113"/>
    <w:p>
      <w:pPr>
        <w:ind w:left="660" w:firstLine="644"/>
        <w:spacing w:after="0" w:line="282" w:lineRule="auto"/>
        <w:tabs>
          <w:tab w:leader="none" w:pos="157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Class A Ordinary Shares as a dividend or distribution on Class A Ordinary Shares,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114300</wp:posOffset>
            </wp:positionV>
            <wp:extent cx="1036955" cy="3689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103695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20" w:type="dxa"/>
            <w:vAlign w:val="bottom"/>
          </w:tcPr>
          <w:p>
            <w:pPr>
              <w:spacing w:after="0"/>
              <w:rPr>
                <w:sz w:val="20"/>
                <w:szCs w:val="20"/>
                <w:color w:val="auto"/>
              </w:rPr>
            </w:pPr>
          </w:p>
        </w:tc>
        <w:tc>
          <w:tcPr>
            <w:tcW w:w="103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of such dividend or distribution, or</w:t>
            </w:r>
          </w:p>
        </w:tc>
      </w:tr>
      <w:tr>
        <w:trPr>
          <w:trHeight w:val="234"/>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immediately prior to the open of business on the Effective Date of such share split or share combination, as applicable;</w:t>
            </w:r>
          </w:p>
        </w:tc>
      </w:tr>
      <w:tr>
        <w:trPr>
          <w:trHeight w:val="45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or Effective Date, as applicable;</w:t>
            </w:r>
          </w:p>
        </w:tc>
      </w:tr>
      <w:tr>
        <w:trPr>
          <w:trHeight w:val="40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Class A Ordinary Shares issued and outstanding immediately prior to the open of business on such Ex-Dividend Date or</w:t>
            </w:r>
          </w:p>
        </w:tc>
      </w:tr>
      <w:tr>
        <w:trPr>
          <w:trHeight w:val="234"/>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Date, as applicable (before giving effect to any such dividend, distribution, split or combination); and</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Class A Ordinary Shares issued and outstanding immediately after giving effect to such dividend, distribution, share split or</w:t>
            </w:r>
          </w:p>
        </w:tc>
      </w:tr>
      <w:tr>
        <w:trPr>
          <w:trHeight w:val="234"/>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combination.</w:t>
            </w:r>
          </w:p>
        </w:tc>
      </w:tr>
    </w:tbl>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adjustment made under this ‎Section 14.05(a)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14.05(a)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left="660" w:firstLine="644"/>
        <w:spacing w:after="0" w:line="258" w:lineRule="auto"/>
        <w:tabs>
          <w:tab w:leader="none" w:pos="156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to all or substantially all holders of Class A Ordinary Shares any rights, options or warrants (other than in connection with a shareholder rights plan) entitling them, for a period of not more than forty-five (45) calendar days after the announcement date of such distribution, to subscribe for or purchase Class A Ordinary Shares at a price per share that is less than the average of the Last Reported Sale Prices of the Class A Ordinary Shares, for the ten (10) consecutive Trading Day period ending on, and including, the Trading Day immediately preceding the date of announcement of such distribution,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128270</wp:posOffset>
            </wp:positionV>
            <wp:extent cx="1276985" cy="3683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127698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20" w:type="dxa"/>
            <w:vAlign w:val="bottom"/>
          </w:tcPr>
          <w:p>
            <w:pPr>
              <w:spacing w:after="0"/>
              <w:rPr>
                <w:sz w:val="20"/>
                <w:szCs w:val="20"/>
                <w:color w:val="auto"/>
              </w:rPr>
            </w:pPr>
          </w:p>
        </w:tc>
        <w:tc>
          <w:tcPr>
            <w:tcW w:w="968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distribution;</w:t>
            </w:r>
          </w:p>
        </w:tc>
      </w:tr>
      <w:tr>
        <w:trPr>
          <w:trHeight w:val="44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number of Class A Ordinary Shares issued and outstanding immediately prior to the open of business on such Ex-Dividend Date;</w:t>
            </w:r>
          </w:p>
        </w:tc>
      </w:tr>
    </w:tbl>
    <w:p>
      <w:pPr>
        <w:spacing w:after="0" w:line="181"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Class A Ordinary Shares deliverable pursuant to such rights, options or warrants; and</w:t>
      </w:r>
    </w:p>
    <w:p>
      <w:pPr>
        <w:spacing w:after="0" w:line="223" w:lineRule="exact"/>
        <w:rPr>
          <w:sz w:val="20"/>
          <w:szCs w:val="20"/>
          <w:color w:val="auto"/>
        </w:rPr>
      </w:pPr>
    </w:p>
    <w:p>
      <w:pPr>
        <w:ind w:left="1040" w:hanging="1032"/>
        <w:spacing w:after="0" w:line="267" w:lineRule="auto"/>
        <w:tabs>
          <w:tab w:leader="none" w:pos="6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Class A Ordinary Shares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average of the Last Reported Sale Prices of the Class A Ordinary Shares over the ten (10) consecutive Trading Day period ending on, and including, the Trading Day immediately preceding the date of announcement of the distribution of such rights, options or warrants.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increase made under this Section‎ 14.05(b) shall be made successively whenever any such rights, options or warrants are distributed and shall become effective immediately after the open of business on the Ex-Dividend Date for such distribution. To the extent that Class A Ordinary Shares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Class A Ordinary Shares actually delivered. To the extent such rights, options or warrants are not so distributed, the Conversion Rate shall be decreased to the Conversion Rate that would then be in effect had the adjustment been made on the basis of only the distribution, if any, actually made.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purpose of this Section 14.05(b) and for the purpose of Section‎ 14.01(b)(ii)(A), in determining whether any rights, options or warrants entitle the holders to subscribe for or purchase Class A Ordinary Shares at a price per Class A Ordinary Share that is less than such average of the Last Reported Sale Prices of the Class A Ordinary Shares for the ten (10) consecutive Trading Day period ending on, and including, the Trading Day immediately preceding the date of announcement of such distribution, and in determining the aggregate offering price of such Class A Ordinary Shares,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left="660" w:firstLine="644"/>
        <w:spacing w:after="0" w:line="257" w:lineRule="auto"/>
        <w:tabs>
          <w:tab w:leader="none" w:pos="155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its Capital Shares, evidences of its indebtedness, other assets or property of the Company or rights, options or warrants to acquire its Capital Shares or other securities, to all or substantially all holders of Class A Ordinary Shares, excluding (i) dividends, distributions or issuances (including share splits) as to which an adjustment was effected (or would have been effected but for the 1% exception)</w:t>
      </w:r>
    </w:p>
    <w:p>
      <w:pPr>
        <w:spacing w:after="0" w:line="1"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14.05(a)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14.05(b), (ii) except as otherwise provided below, rights issued pursuant to any shareholder rights plan of the Company then in effect, (iii) distributions of Reference Property issued in exchange for, or upon conversion of, Class A Ordinary Shares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 (iv) dividends or distributions paid exclusively in cash as to which an adjustment was effected pursuant to Section</w:t>
      </w: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14.05(d) shall apply, and (v) Spin-Offs as to which the provisions set forth below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14.05(c) shall apply (any of such Capital Shares, evidences of indebtedness, other assets or property or rights, options or warrants to acquire Capital Shares or other securities, the “</w:t>
      </w:r>
      <w:r>
        <w:rPr>
          <w:rFonts w:ascii="Times New Roman" w:cs="Times New Roman" w:eastAsia="Times New Roman" w:hAnsi="Times New Roman"/>
          <w:sz w:val="18"/>
          <w:szCs w:val="18"/>
          <w:b w:val="1"/>
          <w:bCs w:val="1"/>
          <w:color w:val="auto"/>
        </w:rPr>
        <w:t>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129540</wp:posOffset>
            </wp:positionV>
            <wp:extent cx="1423035" cy="368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142303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40" w:type="dxa"/>
            <w:vAlign w:val="bottom"/>
          </w:tcPr>
          <w:p>
            <w:pPr>
              <w:spacing w:after="0"/>
              <w:rPr>
                <w:sz w:val="20"/>
                <w:szCs w:val="20"/>
                <w:color w:val="auto"/>
              </w:rPr>
            </w:pPr>
          </w:p>
        </w:tc>
        <w:tc>
          <w:tcPr>
            <w:tcW w:w="1032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distribution;</w:t>
            </w:r>
          </w:p>
        </w:tc>
      </w:tr>
      <w:tr>
        <w:trPr>
          <w:trHeight w:val="4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0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average of the Last Reported Sale Prices of the Class A Ordinary Shares over the 10 consecutive Trading Day period ending on, and</w:t>
            </w:r>
          </w:p>
        </w:tc>
      </w:tr>
      <w:tr>
        <w:trPr>
          <w:trHeight w:val="234"/>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the Trading Day immediately preceding the Ex-Dividend Date for such distribution; and</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fair market value (as determined by the Company in good faith) of the Distributed Property distributed with respect to each outstanding</w:t>
            </w:r>
          </w:p>
        </w:tc>
      </w:tr>
      <w:tr>
        <w:trPr>
          <w:trHeight w:val="234"/>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Ordinary Share on the Ex-Dividend Date for such distribution.</w:t>
            </w:r>
          </w:p>
        </w:tc>
      </w:tr>
    </w:tbl>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Any increase made under the portion of this Section‎ 14.05(c) above shall become effective immediately after the open of business on the Ex-Dividend Date for such distribution. To the extent such distribution is not so paid or made, the Conversion Rate shall be decreased to the Conversion Rate that would then be in effect had the adjustment been made on the basis of only the distribution, if any, actually made or paid. Notwithstanding the foregoing, if “FMV”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in respect of each $1,000 principal amount thereof, at the same time and upon the same terms as holders of the Class A Ordinary Shares receive the Distributed Property without having to convert its Notes, the amount and kind of Distributed Property such Holder would have received if such Holder owned a number of Class A Ordinary Shares equal to the Conversion Rate in effect on the Ex-Dividend Date for the distribution.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an adjustment pursuant to this Section‎ 14.05(c) where there has been a payment of a dividend or other distribution on the Class A Ordinary Shares or Capital Shares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125730</wp:posOffset>
            </wp:positionV>
            <wp:extent cx="1517015" cy="368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151701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40" w:type="dxa"/>
            <w:vAlign w:val="bottom"/>
          </w:tcPr>
          <w:p>
            <w:pPr>
              <w:spacing w:after="0"/>
              <w:rPr>
                <w:sz w:val="20"/>
                <w:szCs w:val="20"/>
                <w:color w:val="auto"/>
              </w:rPr>
            </w:pPr>
          </w:p>
        </w:tc>
      </w:tr>
      <w:tr>
        <w:trPr>
          <w:trHeight w:val="46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end of the Valuation Period;</w:t>
            </w:r>
          </w:p>
        </w:tc>
      </w:tr>
      <w:tr>
        <w:trPr>
          <w:trHeight w:val="44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Rate in effect immediately after the end of the Valuation Period;</w:t>
            </w:r>
          </w:p>
        </w:tc>
      </w:tr>
      <w:tr>
        <w:trPr>
          <w:trHeight w:val="40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average of the Last Reported Sale Prices of the Capital Shares or similar equity interest distributed to holders of the Class A Ordinary</w:t>
            </w:r>
          </w:p>
        </w:tc>
      </w:tr>
      <w:tr>
        <w:trPr>
          <w:trHeight w:val="211"/>
        </w:trPr>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applicable to one Class A Ordinary Share (determined by reference to the definition of Last Reported Sale Price as set forth in</w:t>
            </w:r>
          </w:p>
        </w:tc>
      </w:tr>
      <w:tr>
        <w:trPr>
          <w:trHeight w:val="212"/>
        </w:trPr>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1.01 as if references therein to Class A Ordinary Shares were to such Capital Shares or similar equity interest) over the first ten (10)</w:t>
            </w:r>
          </w:p>
        </w:tc>
      </w:tr>
      <w:tr>
        <w:trPr>
          <w:trHeight w:val="238"/>
        </w:trPr>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consecutive Trading Day period after, and including, the Ex-Dividend Date of 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w:t>
            </w:r>
          </w:p>
        </w:tc>
      </w:tr>
      <w:tr>
        <w:trPr>
          <w:trHeight w:val="46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average of the Last Reported Sale Prices of the Class A Ordinary Shares over the Valuation Period.</w:t>
            </w:r>
          </w:p>
        </w:tc>
      </w:tr>
    </w:tbl>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(x)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such Conversion Date in determining the Conversion Rate and (y) in respect of any conversion of the Notes for which Cash Settlement or Combination Settlement is applicable, for any Trading Day that falls within the relevant Observation Period for such conversion and within the Valuation Period, the references to “10” in the preceding paragraph shall be deemed replaced with such lesser number of Trading Days as have elapsed from, and including, the Ex-Dividend Date for such Spin-Off to, and including, such Trading Day in determining the Conversion Rate as of such Trading Day. If the dividend or other distribution constituting a Spin-Off is declared but not so paid or made, the Conversion Rate shall be decreased, effective as of the date the Board of Directors determines not to make or pay such dividend or other distribution, to the Conversion Rate that would be in effect if such dividend or distribution had not been declared or announced.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purposes of this Section 14.05(c) (and subject in all respects to Section 14.12), rights, options or warrants distributed by the Company to all holders of Class A Ordinary Shares entitling them to subscribe for or purchase the Company’s Capital Shares, including Class A Ordinary Shares (either initially or under certain circumstances), which rights, options or warrants, until the occurrence of a specified event or events (“</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(i) are deemed to be transferred with such Class A Ordinary Shares; (ii) are not exercisable; and (iii) are also issued in respect of future issuances of Class A Ordinary Shares, shall be deemed not to have been distributed for purposes of this Section 14.05(c) (and no adjustment to the Conversion Rate under this Section 14.05(c) will be required) until the occurrence of the earliest Trigger Event, whereupon such rights, options or warrants shall be deemed to have been distributed and an appropriate adjustment (if any is required) to the Conversion Rate shall be made under this Section 14.05(c).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14.05(c)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Class A Ordinary Shares with respect to such rights, options or warrants (assuming such holder had retained such rights, options or warrants), made to all holders of Class A Ordinary Shares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Section 14.05(a), Section 14.05(b) and this Section 14.05(c), if any dividend or distribution to which this Section 14.05(c) is applicable also includes one or both of:</w:t>
      </w:r>
    </w:p>
    <w:p>
      <w:pPr>
        <w:spacing w:after="0" w:line="158" w:lineRule="exact"/>
        <w:rPr>
          <w:sz w:val="20"/>
          <w:szCs w:val="20"/>
          <w:color w:val="auto"/>
        </w:rPr>
      </w:pPr>
    </w:p>
    <w:p>
      <w:pPr>
        <w:ind w:left="960" w:hanging="304"/>
        <w:spacing w:after="0"/>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Class A Ordinary Shares to which Section 14.05(a)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14.05(b)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14.05(c)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14.05(c) with respect to such Clause C Distribution shall then be made, and (2) the Clause A Distribution and Clause B Distribution shall be deemed to immediately follow the Clause C Distribution and any Conversion Rate adjustment required by Section 14.05(a) and Section 14.05(b) with respect thereto shall then be made, except that, if determined by the Company (I) the “Ex-Dividend Date” of the Clause A Distribution and the Clause B Distribution shall be deemed to be the Ex-Dividend Date of the Clause C Distribution and (II) any Class A Ordinary Shares included in the Clause A Distribution or Clause B Distribution shall be deemed not to be “outstanding immediately prior to the open of business on such Ex-Dividend Date or Effective Date” within the meaning of Section 14.05(a) or “outstanding immediately prior to the open of business on such Ex-Dividend Date” within the meaning of Section 14.05(b).</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660" w:firstLine="644"/>
        <w:spacing w:after="0" w:line="282" w:lineRule="auto"/>
        <w:tabs>
          <w:tab w:leader="none" w:pos="157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makes any cash dividend or distribution to all or substantially all holders of the shares of the Class A Ordinary Shares,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114300</wp:posOffset>
            </wp:positionV>
            <wp:extent cx="1225550" cy="3689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12255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20" w:type="dxa"/>
            <w:vAlign w:val="bottom"/>
          </w:tcPr>
          <w:p>
            <w:pPr>
              <w:spacing w:after="0"/>
              <w:rPr>
                <w:sz w:val="20"/>
                <w:szCs w:val="20"/>
                <w:color w:val="auto"/>
              </w:rPr>
            </w:pPr>
          </w:p>
        </w:tc>
        <w:tc>
          <w:tcPr>
            <w:tcW w:w="1034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dividend or distribution;</w:t>
            </w:r>
          </w:p>
        </w:tc>
      </w:tr>
      <w:tr>
        <w:trPr>
          <w:trHeight w:val="4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for such dividend or distribution;</w:t>
            </w:r>
          </w:p>
        </w:tc>
      </w:tr>
      <w:tr>
        <w:trPr>
          <w:trHeight w:val="40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Last Reported Sale Price of the Class A Ordinary Shares on the Trading Day immediately preceding the Ex-Dividend Date for such</w:t>
            </w:r>
          </w:p>
        </w:tc>
      </w:tr>
      <w:tr>
        <w:trPr>
          <w:trHeight w:val="234"/>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or distribution; and</w:t>
            </w:r>
          </w:p>
        </w:tc>
      </w:tr>
    </w:tbl>
    <w:p>
      <w:pPr>
        <w:spacing w:after="0" w:line="193"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Class A Ordinary Share the Company distributes to all or substantially all holders of the Class A Ordinary Shares.</w:t>
      </w:r>
    </w:p>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Any increase made pursuant to this Section‎ 14.05(d) shall become effective immediately after the open of business on the Ex-Dividend Date for such dividend or distribution. To the extent such dividend or distribution is not so paid, the Conversion Rate shall be decreased, effective as of the date the Board of Directors determines not to make or pay such dividend or distribution, to be the Conversion Rate that would then be in effect had the adjustment been made on the basis of only the dividend or distribution, if any, actually made or paid. Notwithstanding the foregoing, if “C”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for each $1,000 principal amount of Notes, at the same time and upon the same terms as holders of Class A Ordinary Shares without having to convert its Notes, the amount of cash that such Holder would have received if such Holder owned a number of Class A Ordinary Shares equal to the Conversion Rate on the Ex-Dividend Date for such cash dividend or distribution.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left="660" w:firstLine="644"/>
        <w:spacing w:after="0" w:line="258" w:lineRule="auto"/>
        <w:tabs>
          <w:tab w:leader="none" w:pos="155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Class A Ordinary Shares that is subject to the then-applicable tender offer rules under the Exchange Act (other than any odd-lot tender offer), to the extent that the cash and value of any other consideration included in the payment per Class A Ordinary Share exceeds the average of the Last Reported Sale Prices of the Class A Ordinary Shares over the ten (10) consecutive Trading Day period commencing on, and including, the Trading Day next succeeding the date such tender or exchange offer expires,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128270</wp:posOffset>
            </wp:positionV>
            <wp:extent cx="1722755" cy="3683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172275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20" w:type="dxa"/>
            <w:vAlign w:val="bottom"/>
          </w:tcPr>
          <w:p>
            <w:pPr>
              <w:spacing w:after="0"/>
              <w:rPr>
                <w:sz w:val="20"/>
                <w:szCs w:val="20"/>
                <w:color w:val="auto"/>
              </w:rPr>
            </w:pPr>
          </w:p>
        </w:tc>
        <w:tc>
          <w:tcPr>
            <w:tcW w:w="103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close of business on the 10th Trading Day immediately following, and including, the</w:t>
            </w:r>
          </w:p>
        </w:tc>
      </w:tr>
      <w:tr>
        <w:trPr>
          <w:trHeight w:val="238"/>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tc>
      </w:tr>
      <w:tr>
        <w:trPr>
          <w:trHeight w:val="4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Rate in effect immediately after the close of business on the 10th Trading Day immediately following, and including, the</w:t>
            </w:r>
          </w:p>
        </w:tc>
      </w:tr>
      <w:tr>
        <w:trPr>
          <w:trHeight w:val="234"/>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Trading Day next succeeding the Expiration Date;</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aggregate value of all cash and any other consideration (as reasonably determined by the Company in good faith) paid or payable for</w:t>
            </w:r>
          </w:p>
        </w:tc>
      </w:tr>
      <w:tr>
        <w:trPr>
          <w:trHeight w:val="234"/>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Ordinary Shares purchased in such tender or exchange offer;</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Class A Ordinary Shares issued and outstanding immediately prior to the Expiration Date (prior to giving effect to the</w:t>
            </w:r>
          </w:p>
        </w:tc>
      </w:tr>
      <w:tr>
        <w:trPr>
          <w:trHeight w:val="234"/>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all Class A Ordinary Shares accepted for purchase or exchange in such tender or exchange offer);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Class A Ordinary Shares issued and outstanding immediately after the Expiration Date (after giving effect to the purchase of</w:t>
            </w:r>
          </w:p>
        </w:tc>
      </w:tr>
      <w:tr>
        <w:trPr>
          <w:trHeight w:val="234"/>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Class A Ordinary Shares accepted for purchase or exchange in such tender or exchange offer); and</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average of the Last Reported Sale Prices of the Class A Ordinary Shares over the ten (10) consecutive Trading Day period commencing</w:t>
            </w:r>
          </w:p>
        </w:tc>
      </w:tr>
      <w:tr>
        <w:trPr>
          <w:trHeight w:val="234"/>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and including, the Trading Day next succeeding the Expiration Date.</w:t>
            </w:r>
          </w:p>
        </w:tc>
      </w:tr>
      <w:tr>
        <w:trPr>
          <w:trHeight w:val="677"/>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ind w:left="4620"/>
              <w:spacing w:after="0"/>
              <w:rPr>
                <w:sz w:val="20"/>
                <w:szCs w:val="20"/>
                <w:color w:val="auto"/>
              </w:rPr>
            </w:pPr>
            <w:r>
              <w:rPr>
                <w:rFonts w:ascii="Times New Roman" w:cs="Times New Roman" w:eastAsia="Times New Roman" w:hAnsi="Times New Roman"/>
                <w:sz w:val="22"/>
                <w:szCs w:val="22"/>
                <w:color w:val="auto"/>
              </w:rPr>
              <w:t>78</w:t>
            </w:r>
          </w:p>
        </w:tc>
      </w:tr>
    </w:tbl>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this Section‎ 14.05(e) shall occur at the close of business on the 10th Trading Day immediately following, and including, the Trading Day next succeeding the Expiration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(x) in respect of any conversion of Notes for which Physical Settlement is applicable, if the relevant Conversion Date occurs during the 10 Trading Days immediately following, and including, the Trading Day next succeeding the Expiration Date, references to “10” or “10th” in the preceding paragraph shall be deemed replaced with such lesser number of Trading Days as have elapsed from, and including, the Trading Day next succeeding such Expiration Date to, and including, such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any Expiration Date, references to “10” or “10th” in the preceding paragraph shall be deemed replaced with such lesser number of Trading Days as have elapsed from, and including, the Trading Day next succeeding such Expiration Date of such tender or exchange offer to, and including, such Trading Day in determining the Conversion Rate as of such Trading Day.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the Company being precluded from consummating such tender or exchange offer under applicable law) or any purchases or exchanges of Class A Ordinary Shares in such tender or exchange offer are rescinded, the applicable Conversion Rate will be readjusted to the Conversion Rate that would then be in effect had the adjustment been made on the basis of only the purchases or exchanges of the Class A Ordinary Shares, if any, actually made, and not rescinded, in such tender or exchange offer.</w:t>
      </w:r>
    </w:p>
    <w:p>
      <w:pPr>
        <w:spacing w:after="0" w:line="179" w:lineRule="exact"/>
        <w:rPr>
          <w:sz w:val="20"/>
          <w:szCs w:val="20"/>
          <w:color w:val="auto"/>
        </w:rPr>
      </w:pPr>
    </w:p>
    <w:p>
      <w:pPr>
        <w:jc w:val="both"/>
        <w:ind w:firstLine="644"/>
        <w:spacing w:after="0" w:line="259" w:lineRule="auto"/>
        <w:tabs>
          <w:tab w:leader="none" w:pos="8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Class A Ordinary Shares as of the related Conversion Date as described under Section</w:t>
      </w:r>
      <w:r>
        <w:rPr>
          <w:rFonts w:ascii="Times New Roman" w:cs="Times New Roman" w:eastAsia="Times New Roman" w:hAnsi="Times New Roman"/>
          <w:sz w:val="18"/>
          <w:szCs w:val="18"/>
          <w:b w:val="1"/>
          <w:bCs w:val="1"/>
          <w:color w:val="auto"/>
        </w:rPr>
        <w: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14.02(h) based on an adjusted Conversion Rate for such Ex-Dividend Date, then, notwithstanding the Conversion Rate adjustment provisions in</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 the Conversion Rate adjustment relating to such Ex-Dividend Date shall not be made for such converting Holder. Instead, such Holder shall be treated as if such Holder were the record owner of Class A Ordinary Shares on an unadjusted basis and participate in the related dividend, distribution or other event giving rise to such adjustment.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the Company will not be required to adjust the Conversion Rate unless such adjustment would require an increase or decrease of at least one percent (1%);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minor adjustments that are not required to be made will be carried forward and taken into account in any subsequent adjustment,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such adjustment of less than one percent (1%) that has not been made shall be made upon the occurrence of (i) the Effective Date for any Fundamental Change or Make-Whole Fundamental Change and (ii) in the case of any Note to which Physical Settlement applies, the relevant Conversion Date, and, in the case of any Note to which Cash Settlement or Combination Settlement applies, each Trading Day of the applicable Observation Period. In addition, the Company shall not account for such deferrals when determining what number of Class A Ordinary Shares a Holder would have held on a given day had it converted its Notes (collectively, the “</w:t>
      </w:r>
      <w:r>
        <w:rPr>
          <w:rFonts w:ascii="Times New Roman" w:cs="Times New Roman" w:eastAsia="Times New Roman" w:hAnsi="Times New Roman"/>
          <w:sz w:val="18"/>
          <w:szCs w:val="18"/>
          <w:b w:val="1"/>
          <w:bCs w:val="1"/>
          <w:color w:val="auto"/>
        </w:rPr>
        <w:t>1% exception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4"/>
        <w:spacing w:after="0" w:line="266" w:lineRule="auto"/>
        <w:tabs>
          <w:tab w:leader="none" w:pos="93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herein, the Company shall not adjust the Conversion Rate for the issuance of Class A Ordinary Shares or any securities convertible into or exchangeable for Class A Ordinary Shares or the right to purchase Class A Ordinary Shares or such convertible or exchangeable securities.</w:t>
      </w:r>
    </w:p>
    <w:p>
      <w:pPr>
        <w:spacing w:after="0" w:line="3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1" w:name="page122"/>
    <w:bookmarkEnd w:id="121"/>
    <w:p>
      <w:pPr>
        <w:jc w:val="both"/>
        <w:ind w:left="-460" w:firstLine="644"/>
        <w:spacing w:after="0" w:line="257" w:lineRule="auto"/>
        <w:tabs>
          <w:tab w:leader="none" w:pos="46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those adjustments required by clauses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 and to the extent permitted by applicable law and subject to the applicable rules of the Nasdaq Capital Market and any other securities exchange on which any securities of the Company are then listed, the Company may increase the Conversion Rate by any amount for a period of at least twenty (20) Business Days if the Company determines that such increase would be in the Company’s best interest, and the Company may (but is not required to) increase the Conversion Rate to avoid or diminish any income tax to holders of Class A Ordinary Shares or rights to purchase Class A Ordinary Shares in connection with a dividend or distribution of Class A Ordinary Shares (or rights to acquire Class A Ordinary Shares) or similar event.</w:t>
      </w:r>
    </w:p>
    <w:p>
      <w:pPr>
        <w:spacing w:after="0" w:line="182"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 the Conversion Rate shall not be adjusted:</w:t>
      </w:r>
    </w:p>
    <w:p>
      <w:pPr>
        <w:spacing w:after="0" w:line="229"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Class A Ordinary Shares at a price below the Conversion Price or otherwise, other than any such</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described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14.05(a),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14.05(b),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14.05(c) or Section 14.05(e);</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0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Class A Ordinary Shares pursuant to any present or future plan providing for the reinvestment of dividends or interest payable on the Company’s securities and the investment of additional optional amounts in Class A Ordinary Shares under any plan;</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5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Class A Ordinary Shares or options or rights to purchase those shares pursuant to any present or future employee, director or consultant benefit plan or program (including pursuant to any evergreen plan) of or assumed by the Company or any of the Company’s Subsidiaries;</w:t>
      </w:r>
    </w:p>
    <w:p>
      <w:pPr>
        <w:spacing w:after="0" w:line="175"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repurchase of any Class A Ordinary Shares pursuant to an open-market share repurchase program or other buyback</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that is not a tender offer or exchange offer of the nature described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14.05(e);</w:t>
      </w:r>
    </w:p>
    <w:p>
      <w:pPr>
        <w:spacing w:after="0" w:line="206" w:lineRule="exact"/>
        <w:rPr>
          <w:rFonts w:ascii="Times New Roman" w:cs="Times New Roman" w:eastAsia="Times New Roman" w:hAnsi="Times New Roman"/>
          <w:sz w:val="18"/>
          <w:szCs w:val="18"/>
          <w:color w:val="auto"/>
        </w:rPr>
      </w:pPr>
    </w:p>
    <w:p>
      <w:pPr>
        <w:ind w:left="1120" w:hanging="288"/>
        <w:spacing w:after="0"/>
        <w:tabs>
          <w:tab w:leader="none" w:pos="11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third-party tender offer by any party other than a tender offer by one or more of the Company’s Subsidiaries as</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14.05(e);</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6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Class A Ordinary Shares pursuant any option, warrant, right or exercisable, exchangeable or convertible security not described in clause (iii)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of this subsection and outstanding as of the date the Notes were first issued (other than any rights under a shareholder rights plan);</w:t>
      </w:r>
    </w:p>
    <w:p>
      <w:pPr>
        <w:spacing w:after="0" w:line="175" w:lineRule="exact"/>
        <w:rPr>
          <w:rFonts w:ascii="Times New Roman" w:cs="Times New Roman" w:eastAsia="Times New Roman" w:hAnsi="Times New Roman"/>
          <w:sz w:val="18"/>
          <w:szCs w:val="18"/>
          <w:color w:val="auto"/>
        </w:rPr>
      </w:pPr>
    </w:p>
    <w:p>
      <w:pPr>
        <w:ind w:left="1180" w:hanging="348"/>
        <w:spacing w:after="0"/>
        <w:tabs>
          <w:tab w:leader="none" w:pos="11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(or lack of par value) of the Class A Ordinary Shares; or</w:t>
      </w:r>
    </w:p>
    <w:p>
      <w:pPr>
        <w:spacing w:after="0" w:line="225" w:lineRule="exact"/>
        <w:rPr>
          <w:rFonts w:ascii="Times New Roman" w:cs="Times New Roman" w:eastAsia="Times New Roman" w:hAnsi="Times New Roman"/>
          <w:sz w:val="18"/>
          <w:szCs w:val="18"/>
          <w:color w:val="auto"/>
        </w:rPr>
      </w:pPr>
    </w:p>
    <w:p>
      <w:pPr>
        <w:ind w:left="1240" w:hanging="408"/>
        <w:spacing w:after="0"/>
        <w:tabs>
          <w:tab w:leader="none" w:pos="12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if any.</w:t>
      </w: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22" w:name="page123"/>
    <w:bookmarkEnd w:id="122"/>
    <w:p>
      <w:pPr>
        <w:ind w:left="660" w:right="20" w:firstLine="644"/>
        <w:spacing w:after="0" w:line="286" w:lineRule="auto"/>
        <w:tabs>
          <w:tab w:leader="none" w:pos="153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other determinations under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 shall be made by the Company and all calculations of the Conversion Rate shall be made to the nearest one-ten thousandth (1/10,000th) of a share.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 and for the avoidance of doubt, neither the Trustee nor the Conversion Agent shall have any liability or responsibility for the Conversion Rate, the calculation thereof or application thereof.</w:t>
      </w:r>
    </w:p>
    <w:p>
      <w:pPr>
        <w:spacing w:after="0" w:line="184" w:lineRule="exact"/>
        <w:rPr>
          <w:rFonts w:ascii="Times New Roman" w:cs="Times New Roman" w:eastAsia="Times New Roman" w:hAnsi="Times New Roman"/>
          <w:sz w:val="18"/>
          <w:szCs w:val="18"/>
          <w:color w:val="auto"/>
        </w:rPr>
      </w:pPr>
    </w:p>
    <w:p>
      <w:pPr>
        <w:jc w:val="both"/>
        <w:ind w:left="660" w:firstLine="644"/>
        <w:spacing w:after="0" w:line="262" w:lineRule="auto"/>
        <w:tabs>
          <w:tab w:leader="none" w:pos="152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14.05, the number of Class A Ordinary Shares at any time outstanding shall not include Class A Ordinary Shares held in the treasury of the Company so long as the Company does not pay any dividend or make any distribution on the Class A Ordinary Shares held in the treasury of the Company, but shall include Class A Ordinary Shares issuable in respect of scrip certificates issued in lieu of fractions of Class A Ordinary Shares.</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i w:val="1"/>
          <w:iCs w:val="1"/>
          <w:color w:val="auto"/>
        </w:rPr>
        <w:t>Adjustments of Prices</w:t>
      </w:r>
      <w:r>
        <w:rPr>
          <w:rFonts w:ascii="Times New Roman" w:cs="Times New Roman" w:eastAsia="Times New Roman" w:hAnsi="Times New Roman"/>
          <w:sz w:val="18"/>
          <w:szCs w:val="18"/>
          <w:color w:val="auto"/>
        </w:rPr>
        <w:t>. Whenever any provision of this Indenture requires the Company to calculate the Last Reported Sale Prices, the Daily VWAPs, the Daily Conversion Values or the Daily Settlement Amounts, the Share Price for purposes of a Make-Whole Fundamental Change or the Redemption Reference Price for purposes of a Redemption over a span of multiple days, the Company shall make appropriate adjustments in good faith and in a commercially reasonable manner to each to account for any adjustment to the Conversion Rate that becomes effective, or any event requiring an adjustment to the Conversion Rate where the Ex-Dividend Date, Effective Date or Expiration Date, as the case may be, of the event occurs, at any time during the period when such Last Reported Sale Prices, the Daily VWAPs, the Daily Conversion Values or the Daily Settlement Amounts or Share Prices are to be calculated.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14.07 </w:t>
      </w:r>
      <w:r>
        <w:rPr>
          <w:rFonts w:ascii="Times New Roman" w:cs="Times New Roman" w:eastAsia="Times New Roman" w:hAnsi="Times New Roman"/>
          <w:sz w:val="18"/>
          <w:szCs w:val="18"/>
          <w:i w:val="1"/>
          <w:iCs w:val="1"/>
          <w:color w:val="auto"/>
        </w:rPr>
        <w:t>Shares To Be Fully Paid</w:t>
      </w:r>
      <w:r>
        <w:rPr>
          <w:rFonts w:ascii="Times New Roman" w:cs="Times New Roman" w:eastAsia="Times New Roman" w:hAnsi="Times New Roman"/>
          <w:sz w:val="18"/>
          <w:szCs w:val="18"/>
          <w:color w:val="auto"/>
        </w:rPr>
        <w:t xml:space="preserve">. The Company shall provide, free from preemptive rights, out of its authorized but unissued shares or shares held in treasury, sufficient Class A Ordinary Shares to provide for conversion of the Notes from time to time as such Notes are presented for conversion (assuming delivery of the maximum number of Additional Class A Ordinary Shares pursuant to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14.03 and that at the time of computation of such number of shares, all such Notes would be converted by a single Holder and that Physical Settlement were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14.08 </w:t>
      </w:r>
      <w:r>
        <w:rPr>
          <w:rFonts w:ascii="Times New Roman" w:cs="Times New Roman" w:eastAsia="Times New Roman" w:hAnsi="Times New Roman"/>
          <w:sz w:val="18"/>
          <w:szCs w:val="18"/>
          <w:i w:val="1"/>
          <w:iCs w:val="1"/>
          <w:color w:val="auto"/>
        </w:rPr>
        <w:t>Effect of Recapitalizations, Reclassifications and Changes of the Class A Ordinary 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540" w:hanging="236"/>
        <w:spacing w:after="0"/>
        <w:tabs>
          <w:tab w:leader="none" w:pos="1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6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Class A Ordinary Shares (other than a change in par value, or from par value to no par value, or changes resulting from a subdivision or combination),</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or similar transaction involving the Company,</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7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ind w:left="1960"/>
        <w:spacing w:after="0"/>
        <w:rPr>
          <w:sz w:val="20"/>
          <w:szCs w:val="20"/>
          <w:color w:val="auto"/>
        </w:rPr>
      </w:pPr>
      <w:r>
        <w:rPr>
          <w:rFonts w:ascii="Times New Roman" w:cs="Times New Roman" w:eastAsia="Times New Roman" w:hAnsi="Times New Roman"/>
          <w:sz w:val="18"/>
          <w:szCs w:val="18"/>
          <w:color w:val="auto"/>
        </w:rPr>
        <w:t>(iv) any statutory share exchange,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each case, as a result of which the Class A Ordinary Shares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then, the Company, or the successor or acquiring company, as the case may be, will execute with the Trustee a supplemental indenture providing that,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Class A Ordinary Shares equal to the Conversion Rate immediately prior to such Share Exchange Event would have owned or been entitled to receive (the “</w:t>
      </w:r>
      <w:r>
        <w:rPr>
          <w:rFonts w:ascii="Times New Roman" w:cs="Times New Roman" w:eastAsia="Times New Roman" w:hAnsi="Times New Roman"/>
          <w:sz w:val="18"/>
          <w:szCs w:val="18"/>
          <w:b w:val="1"/>
          <w:bCs w:val="1"/>
          <w:color w:val="auto"/>
        </w:rPr>
        <w:t>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meaning the kind and amount of Reference Property that a holder of one Class A Ordinary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would have been entitled to receive) upon such Share Exchange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and after the effective time of the Share Exchange Event</w:t>
      </w:r>
    </w:p>
    <w:p>
      <w:pPr>
        <w:spacing w:after="0" w:line="1" w:lineRule="exact"/>
        <w:rPr>
          <w:sz w:val="20"/>
          <w:szCs w:val="20"/>
          <w:color w:val="auto"/>
        </w:rPr>
      </w:pPr>
    </w:p>
    <w:p>
      <w:pPr>
        <w:ind w:left="300" w:hanging="292"/>
        <w:spacing w:after="0"/>
        <w:tabs>
          <w:tab w:leader="none" w:pos="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successor or acquiring company, as the case may be, shall continue to have the right to determine the form of consideration to be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delivered, as the case may be, upon conversion of Notes in accordance with Section‎ 14.02 and (B) (I) any amount payable in cash upon conversion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Notes in accordance with Section‎ 14.02 shall continue to be payable in cash, (II) any Class A Ordinary Shares that the Company would have been</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deliver upon conversion of the Notes in accordance with Section‎ 14.02 shall instead be deliverable in the amount and type of Reference Property that a holder of that number of Class A Ordinary Shares would have received in such Share Exchange Event and (III) the Daily VWAP shall be calculated based on the value of a unit of Reference Property that a holder of one Class A Ordinary Share would have received in such Share Exchange Event.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Share Exchange Event causes the Class A Ordinary Shares to be converted into, or exchanged for, the right to receive more than a single type of consideration (determined based in part upon any form of shareholder election), then (i) the Reference Property into which the Notes will be convertible shall be deemed to be the weighted average of the types and amounts of consideration actually received by the holders of Class A Ordinary Shares. The Company shall notify Holders, the Trustee and the Conversion Agent (if other than the Trustee) in writing of such weighted average as soon as practicable after such determination is made.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Reference Property in respect of any such Share Exchange Event includes, in whole or in part, shares of Common Equity or depositary receipts (or other interests) in respect thereof, the supplemental indenture providing that the Notes will be convertible into Reference Property will also</w:t>
      </w:r>
    </w:p>
    <w:p>
      <w:pPr>
        <w:jc w:val="both"/>
        <w:spacing w:after="0" w:line="251" w:lineRule="auto"/>
        <w:rPr>
          <w:sz w:val="20"/>
          <w:szCs w:val="20"/>
          <w:color w:val="auto"/>
        </w:rPr>
      </w:pPr>
      <w:r>
        <w:rPr>
          <w:rFonts w:ascii="Times New Roman" w:cs="Times New Roman" w:eastAsia="Times New Roman" w:hAnsi="Times New Roman"/>
          <w:sz w:val="18"/>
          <w:szCs w:val="18"/>
          <w:color w:val="auto"/>
        </w:rPr>
        <w:t>provide for anti-dilution and other adjustments that shall be as nearly equivalent as practicable to the adjustments provided for in this Article‎ 14 (it being understood that no such adjustments shall be required with respect to any portion of the Reference Property that does not consist of shares of Common Equity (however evidenced) or depositary receipts (or other interests) in respect thereof). If the Reference Property in respect of any Share Exchange Event includes shares of stock, securities or other property or assets (other than cash and/or cash equivalents) of a company other than the Company or the successor or acquiring company, as the case may be, in such Share Exchange Event, then such other company, if an Affiliate of the Company or the successor or acquiring company, shall also execute such supplemental indenture, and such supplemental indenture shall contain such additional provisions to protect the interests of the Holders, including the right of Holders to require the Company to repurchase their Notes upon a Fundamental Change pursuant to Section 15.02 and on the Specified Repurchase Date pursuant to ‎Section 15.01, as the Company in good faith reasonably considers necessary by reason of the foregoing.</w:t>
      </w:r>
    </w:p>
    <w:p>
      <w:pPr>
        <w:spacing w:after="0" w:line="189" w:lineRule="exact"/>
        <w:rPr>
          <w:sz w:val="20"/>
          <w:szCs w:val="20"/>
          <w:color w:val="auto"/>
        </w:rPr>
      </w:pPr>
    </w:p>
    <w:p>
      <w:pPr>
        <w:jc w:val="both"/>
        <w:ind w:left="660" w:firstLine="644"/>
        <w:spacing w:after="0" w:line="257" w:lineRule="auto"/>
        <w:tabs>
          <w:tab w:leader="none" w:pos="158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execution by the Company of a supplemental indenture pursuant to subsection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 the Company shall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notice thereof to all Holders. The Company shall cause notice of the execution of such supplemental indenture to be delivered to each Holder, within twenty days after execution thereof. Failure to deliver such notice shall not affect the legality or validity of such supplemental indenture.</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63" w:lineRule="auto"/>
        <w:tabs>
          <w:tab w:leader="none" w:pos="155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become a party to any Share Exchange Event unless its terms are consistent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 None of the foregoing provisions shall affect the right of a Holder to convert its Notes into cash, Class A Ordinary Shares or a combination of cash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as applicable,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14.01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prior to the effective date of such Share Exchange Event.</w:t>
      </w:r>
    </w:p>
    <w:p>
      <w:pPr>
        <w:spacing w:after="0" w:line="20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14.08 shall similarly apply to successive Share Exchange Events.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color w:val="auto"/>
        </w:rPr>
        <w:t xml:space="preserve">Section 14.09 </w:t>
      </w:r>
      <w:r>
        <w:rPr>
          <w:rFonts w:ascii="Times New Roman" w:cs="Times New Roman" w:eastAsia="Times New Roman" w:hAnsi="Times New Roman"/>
          <w:sz w:val="18"/>
          <w:szCs w:val="18"/>
          <w:i w:val="1"/>
          <w:iCs w:val="1"/>
          <w:color w:val="auto"/>
        </w:rPr>
        <w:t>Certain Covenants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firstLine="644"/>
        <w:spacing w:after="0" w:line="282" w:lineRule="auto"/>
        <w:tabs>
          <w:tab w:leader="none" w:pos="156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all Class A Ordinary Shares issued upon conversion of Notes will be fully paid and non-assessable by the Company and free from all taxes, liens and charges with respect to the issue thereof.</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Class A Ordinary Shares to be provided for the purpose of conversion of Notes hereunder require registration with or approval of any governmental authority under any federal or state law before such Class A Ordinary Shares may be validly issued upon conversion, the Company will, to the extent then permitted by the rules and interpretations of the Commission, secure such registration or approval, as the case may be.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Class A Ordinary Shares shall be listed on any national securities exchange or automated quotation system the Company will list and keep listed, so long as the Class A Ordinary Shares shall be so listed on such exchange or automated quotation system, any Class A Ordinary Shares issuable upon conversion of the Notes.</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i w:val="1"/>
          <w:iCs w:val="1"/>
          <w:color w:val="auto"/>
        </w:rPr>
        <w:t>Responsibility of Trustee</w:t>
      </w:r>
      <w:r>
        <w:rPr>
          <w:rFonts w:ascii="Times New Roman" w:cs="Times New Roman" w:eastAsia="Times New Roman" w:hAnsi="Times New Roman"/>
          <w:sz w:val="18"/>
          <w:szCs w:val="18"/>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Class A Ordinary Shares,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Class A Ordinary Shares or stock certificates or other securities or property or cash upon the surrender of any Note for the purpose of conversion or to comply with any of the duties, responsibilities or covenants of the Company contained in this Article 14. Neither the Trustee nor any other Conversion Agent shall have any duty or responsibility whatsoever to determine compliance with the conversion procedures, or to make or confirm any calculations with respect to the settlement provisions, of Section 14.02. Without limiting the generality of the foregoing, neither the Trustee nor any Conversion Agent shall be under any responsibility to determine the correctness of any provisions contained in any supplemental indenture entered into pursuant to Section 14.08 relating either to the kind or amount of shares of stock or securities or property (including cash) receivable by Holders upon the conversion of their Notes after any event referred to in such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14.08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14.01(b) has occurred that makes the Notes eligible for conversion or no longer eligible therefor until the Company has delivered to the Trustee and the Conversion Agent the notices referred to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14.01(b).</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i w:val="1"/>
          <w:iCs w:val="1"/>
          <w:color w:val="auto"/>
        </w:rPr>
        <w:t>Shareholder Rights Plans</w:t>
      </w:r>
      <w:r>
        <w:rPr>
          <w:rFonts w:ascii="Times New Roman" w:cs="Times New Roman" w:eastAsia="Times New Roman" w:hAnsi="Times New Roman"/>
          <w:sz w:val="18"/>
          <w:szCs w:val="18"/>
          <w:color w:val="auto"/>
        </w:rPr>
        <w:t xml:space="preserve">. If the Company has a shareholder rights plan in effect upon conversion of the Notes, each Class A Ordinary Shares, if any, issued upon such conversion shall be entitled to receive the appropriate number of rights, if any, and the certificates representing the Class A Ordinary Shares issued upon such conversion shall bear such legends, if any, in each case as may be provided by the terms of any such shareholder rights plan, as the same may be amended from time to time. However, if, prior to any conversion of Notes, the rights have separated from the Class A Ordinary Shares in accordance with the provisions of the applicable shareholder rights plan, the Conversion Rate shall be adjusted at the time of separation as if the Company distributed to all holders of the Distributed Property as provided in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14.05(c), subject to readjustment in the event of the expiration, termination or redemption of such rights.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 xml:space="preserve">Section 14.13 </w:t>
      </w:r>
      <w:r>
        <w:rPr>
          <w:rFonts w:ascii="Times New Roman" w:cs="Times New Roman" w:eastAsia="Times New Roman" w:hAnsi="Times New Roman"/>
          <w:sz w:val="18"/>
          <w:szCs w:val="18"/>
          <w:i w:val="1"/>
          <w:iCs w:val="1"/>
          <w:color w:val="auto"/>
        </w:rPr>
        <w:t>Exchange in Lieu of Conversion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4"/>
        <w:spacing w:after="0" w:line="255" w:lineRule="auto"/>
        <w:tabs>
          <w:tab w:leader="none" w:pos="93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Holder surrenders its Notes for conversion, the Company may, at its election (an “</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direct the Conversion Agent to deliver, on or prior to the Trading Day immediately following the Conversion Date, such Notes to one or more financial institutions designated by the Company (each, a “</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for exchange in lieu of conversion. In order to accept any Notes surrendered for conversion, the Designated Financial Institution(s) must agree to timely pay and/or deliver, as the case may be, in exchange for such Notes, cash, Class A Ordinary Shares or a combination of cash and Class A Ordinary Shares, at the Company’s election, that would</w:t>
      </w:r>
    </w:p>
    <w:p>
      <w:pPr>
        <w:spacing w:after="0" w:line="2"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be due upon conversion as described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14.02, or such other amount agreed to by the Holder and the Designated Financial Institution(s)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If the Company makes an Exchange Election, it shall, by the close of business on the Business Day following the relevant Conversion Date, notify in writing the Trustee, the Conversion Agent (if other than the Trustee) and the Holder surrendering its Notes for conversion that the Company has made such Exchange Election and notify the Designated Financial Institution(s) of the relevant deadline for payment or delivery, as the case may be, of the Conversion Consideration and the type of Conversion Consideration to be paid and/or delivered, as the case may be.</w:t>
      </w:r>
    </w:p>
    <w:p>
      <w:pPr>
        <w:spacing w:after="0" w:line="189" w:lineRule="exact"/>
        <w:rPr>
          <w:rFonts w:ascii="Times New Roman" w:cs="Times New Roman" w:eastAsia="Times New Roman" w:hAnsi="Times New Roman"/>
          <w:sz w:val="18"/>
          <w:szCs w:val="18"/>
          <w:color w:val="auto"/>
        </w:rPr>
      </w:pPr>
    </w:p>
    <w:p>
      <w:pPr>
        <w:jc w:val="both"/>
        <w:ind w:firstLine="644"/>
        <w:spacing w:after="0" w:line="258" w:lineRule="auto"/>
        <w:tabs>
          <w:tab w:leader="none" w:pos="91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delivered to the Designated Financial Institution(s) shall remain outstanding, subject to the Applicable Procedures.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an Exchange Election.</w:t>
      </w:r>
    </w:p>
    <w:p>
      <w:pPr>
        <w:spacing w:after="0" w:line="183" w:lineRule="exact"/>
        <w:rPr>
          <w:rFonts w:ascii="Times New Roman" w:cs="Times New Roman" w:eastAsia="Times New Roman" w:hAnsi="Times New Roman"/>
          <w:sz w:val="18"/>
          <w:szCs w:val="18"/>
          <w:color w:val="auto"/>
        </w:rPr>
      </w:pPr>
    </w:p>
    <w:p>
      <w:pPr>
        <w:ind w:firstLine="644"/>
        <w:spacing w:after="0" w:line="282" w:lineRule="auto"/>
        <w:tabs>
          <w:tab w:leader="none" w:pos="90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any Designated Financial Institution(s) to which the Notes may be submitted for exchange in lieu of conversion does not require such Designated Financial Institution(s) to accept any Notes.</w:t>
      </w:r>
    </w:p>
    <w:p>
      <w:pPr>
        <w:spacing w:after="0" w:line="16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i w:val="1"/>
          <w:iCs w:val="1"/>
          <w:color w:val="auto"/>
        </w:rPr>
        <w:t>Repurchase at Option of Holders on November 20, 2029</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4"/>
        <w:spacing w:after="0" w:line="262" w:lineRule="auto"/>
        <w:tabs>
          <w:tab w:leader="none" w:pos="89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2029 (the “</w:t>
      </w:r>
      <w:r>
        <w:rPr>
          <w:rFonts w:ascii="Times New Roman" w:cs="Times New Roman" w:eastAsia="Times New Roman" w:hAnsi="Times New Roman"/>
          <w:sz w:val="18"/>
          <w:szCs w:val="18"/>
          <w:b w:val="1"/>
          <w:bCs w:val="1"/>
          <w:color w:val="auto"/>
        </w:rPr>
        <w:t>Specified Repurchase Date</w:t>
      </w:r>
      <w:r>
        <w:rPr>
          <w:rFonts w:ascii="Times New Roman" w:cs="Times New Roman" w:eastAsia="Times New Roman" w:hAnsi="Times New Roman"/>
          <w:sz w:val="18"/>
          <w:szCs w:val="18"/>
          <w:color w:val="auto"/>
        </w:rPr>
        <w:t>”), each Holder shall have the right, at such Holder’s option, to require the Company to repurchase for cash all of such Holder’s Notes (the “</w:t>
      </w:r>
      <w:r>
        <w:rPr>
          <w:rFonts w:ascii="Times New Roman" w:cs="Times New Roman" w:eastAsia="Times New Roman" w:hAnsi="Times New Roman"/>
          <w:sz w:val="18"/>
          <w:szCs w:val="18"/>
          <w:b w:val="1"/>
          <w:bCs w:val="1"/>
          <w:color w:val="auto"/>
        </w:rPr>
        <w:t>Specified Repurchase</w:t>
      </w:r>
      <w:r>
        <w:rPr>
          <w:rFonts w:ascii="Times New Roman" w:cs="Times New Roman" w:eastAsia="Times New Roman" w:hAnsi="Times New Roman"/>
          <w:sz w:val="18"/>
          <w:szCs w:val="18"/>
          <w:color w:val="auto"/>
        </w:rPr>
        <w:t>”), or any portion of the principal amount thereof that is equal to $1,000 or an integral multiple of $1,000, at a repurchase price equal to 100% of the principal amount thereof, plus accrued and unpaid interest thereon, if any, to but excluding, the Specified Repurchase Date (the “</w:t>
      </w:r>
      <w:r>
        <w:rPr>
          <w:rFonts w:ascii="Times New Roman" w:cs="Times New Roman" w:eastAsia="Times New Roman" w:hAnsi="Times New Roman"/>
          <w:sz w:val="18"/>
          <w:szCs w:val="18"/>
          <w:b w:val="1"/>
          <w:bCs w:val="1"/>
          <w:color w:val="auto"/>
        </w:rPr>
        <w:t>Specified Repurchase Date Repurchase Price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15.01 shall be made, at the option of the Holder thereof, upon:</w:t>
      </w:r>
    </w:p>
    <w:p>
      <w:pPr>
        <w:spacing w:after="0" w:line="221" w:lineRule="exact"/>
        <w:rPr>
          <w:rFonts w:ascii="Times New Roman" w:cs="Times New Roman" w:eastAsia="Times New Roman" w:hAnsi="Times New Roman"/>
          <w:sz w:val="18"/>
          <w:szCs w:val="18"/>
          <w:color w:val="auto"/>
        </w:rPr>
      </w:pPr>
    </w:p>
    <w:p>
      <w:pPr>
        <w:jc w:val="both"/>
        <w:ind w:left="640" w:firstLine="652"/>
        <w:spacing w:after="0" w:line="262" w:lineRule="auto"/>
        <w:tabs>
          <w:tab w:leader="none" w:pos="150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a Holder of a duly completed notice (the “</w:t>
      </w:r>
      <w:r>
        <w:rPr>
          <w:rFonts w:ascii="Times New Roman" w:cs="Times New Roman" w:eastAsia="Times New Roman" w:hAnsi="Times New Roman"/>
          <w:sz w:val="18"/>
          <w:szCs w:val="18"/>
          <w:b w:val="1"/>
          <w:bCs w:val="1"/>
          <w:color w:val="auto"/>
        </w:rPr>
        <w:t>Specified Repurchase Date Repurchase Notice</w:t>
      </w:r>
      <w:r>
        <w:rPr>
          <w:rFonts w:ascii="Times New Roman" w:cs="Times New Roman" w:eastAsia="Times New Roman" w:hAnsi="Times New Roman"/>
          <w:sz w:val="18"/>
          <w:szCs w:val="18"/>
          <w:color w:val="auto"/>
        </w:rPr>
        <w:t xml:space="preserve">”) in the form set forth in Attachment 3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if the Notes are Physical Notes, or in compliance with the Depositary’s Applicable Procedures for surrendering interests in Global Notes, if the Notes are Global Notes, in each case on or before the close of business on the second Business Day immediately preceding the Specified Repurchase Date; and</w:t>
      </w:r>
    </w:p>
    <w:p>
      <w:pPr>
        <w:spacing w:after="0" w:line="180"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158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Specified Repurchase Date Repurchase Notice (together with all necessary endorsements for transfer) at the Corporate Trust Office of the Paying Agent, or book-entry transfer of the Notes, if the Notes are Global Notes, in compliance with the Applicable Procedures of the Depositary, in each case such delivery being a condition to receipt by the Holder of the Specified Repurchase Date Repurchase Price therefor.</w:t>
      </w:r>
    </w:p>
    <w:p>
      <w:pPr>
        <w:spacing w:after="0" w:line="3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26" w:name="page127"/>
    <w:bookmarkEnd w:id="126"/>
    <w:p>
      <w:pPr>
        <w:ind w:left="1300"/>
        <w:spacing w:after="0"/>
        <w:rPr>
          <w:sz w:val="20"/>
          <w:szCs w:val="20"/>
          <w:color w:val="auto"/>
        </w:rPr>
      </w:pPr>
      <w:r>
        <w:rPr>
          <w:rFonts w:ascii="Times New Roman" w:cs="Times New Roman" w:eastAsia="Times New Roman" w:hAnsi="Times New Roman"/>
          <w:sz w:val="18"/>
          <w:szCs w:val="18"/>
          <w:color w:val="auto"/>
        </w:rPr>
        <w:t>The Specified Repurchase Date Repurchase Notice in respect of any Notes to be repurchased that are Physical Notes shall state:</w:t>
      </w:r>
    </w:p>
    <w:p>
      <w:pPr>
        <w:spacing w:after="0" w:line="225" w:lineRule="exact"/>
        <w:rPr>
          <w:sz w:val="20"/>
          <w:szCs w:val="20"/>
          <w:color w:val="auto"/>
        </w:rPr>
      </w:pPr>
    </w:p>
    <w:p>
      <w:pPr>
        <w:ind w:left="2160" w:hanging="208"/>
        <w:spacing w:after="0"/>
        <w:tabs>
          <w:tab w:leader="none" w:pos="21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to be delivered for repurchase;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 integral multiple thereof; and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Holders must surrender their Notes in accordance with the Applicable Procedures.</w:t>
      </w:r>
    </w:p>
    <w:p>
      <w:pPr>
        <w:spacing w:after="0" w:line="22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Specified Repurchase Date Repurchase Notice contemplated by this Section 15.01 shall have the right to withdraw, in whole or in part, such Specified Repurchase Date Repurchase Notice at any time prior to the close of business on the second Business Day immediately preceding the Specified Repurchase Date Repurchase Date by delivery of a written notice of withdrawal to the Paying Agent in accordance with Section 15.03.</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The Paying Agent (if other than the Company) shall promptly notify the Company of the receipt by it of any Specified Repurchase Date Repurchase Notice or written notice of withdrawal thereof.</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No Specified Repurchase Date Repurchase Notice with respect to any Notes may be surrendered by a Holder thereof if such Holder has also surrendered a Specified Repurchase Date Repurchase Notice and has not validly withdrawn such Specified Repurchase Date Repurchase Notice in accordance with Section 15.03.</w:t>
      </w:r>
    </w:p>
    <w:p>
      <w:pPr>
        <w:spacing w:after="0" w:line="176" w:lineRule="exact"/>
        <w:rPr>
          <w:sz w:val="20"/>
          <w:szCs w:val="20"/>
          <w:color w:val="auto"/>
        </w:rPr>
      </w:pPr>
    </w:p>
    <w:p>
      <w:pPr>
        <w:jc w:val="both"/>
        <w:ind w:left="660" w:firstLine="644"/>
        <w:spacing w:after="0" w:line="258" w:lineRule="auto"/>
        <w:tabs>
          <w:tab w:leader="none" w:pos="155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Business Day prior to the Specified Repurchase Date, the Company shall provide to all Holders, the Trustee, the Conversion Agent (if other than the Trustee) and the Paying Agent (if other than the Trustee) the notice of the Specified Repurchase Date and of the repurchase right at the option of the Holders arising as a result thereof (the “</w:t>
      </w:r>
      <w:r>
        <w:rPr>
          <w:rFonts w:ascii="Times New Roman" w:cs="Times New Roman" w:eastAsia="Times New Roman" w:hAnsi="Times New Roman"/>
          <w:sz w:val="18"/>
          <w:szCs w:val="18"/>
          <w:b w:val="1"/>
          <w:bCs w:val="1"/>
          <w:color w:val="auto"/>
        </w:rPr>
        <w:t>Specified Repurchase Date Company Notice</w:t>
      </w:r>
      <w:r>
        <w:rPr>
          <w:rFonts w:ascii="Times New Roman" w:cs="Times New Roman" w:eastAsia="Times New Roman" w:hAnsi="Times New Roman"/>
          <w:sz w:val="18"/>
          <w:szCs w:val="18"/>
          <w:color w:val="auto"/>
        </w:rPr>
        <w:t>”). In the case of Physical Notes, such notice shall be by first class mail or, in the case of Global Notes, such notice shall be delivered in accordance with the Applicable Procedures. Each Specified Repurchase Date Company Notice shall specify:</w:t>
      </w:r>
    </w:p>
    <w:p>
      <w:pPr>
        <w:spacing w:after="0" w:line="183"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Section‎ 15.01;</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Repurchase Date Repurchase Price;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Repurchase Date;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Trustee, the Conversion Agent and the Paying Agent;</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Simultaneously with providing such notice, the Company will publish a notice containing this information on its website or through such other public medium as the Company may use at that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failure of the Company to give the foregoing notice and no defect therein shall limit the Holders’ repurchase rights or affect the validity of the proceedings for the repurchase of the Notes pursuant to this Section 15.01.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At the Company’s request given at least five (5) Business Days before such notice is to be sent (or such shorter period as shall be acceptable to the Trustee),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Specified Repurchase Date Company Notice shall be prepared by the Company.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no Notes may be repurchased by the Company on the Specified Repurchase Date if the principal amount of the Notes has been accelerated, and such acceleration has not been rescinded, on or prior to such date (except in the case of an acceleration resulting from a Default by the Company in the payment of the Specified Repurchase Date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Specified Repurchase Date Repurchase Price with respect to such Notes), or any instructions for book-entry transfer of the Notes in compliance with the Applicable Procedures of the Depositary shall be deemed to have been cancelled, and, upon such return or cancellation, as the case may be, the Specified Repurchase Date Company Notice with respect thereto shall be deemed to have been withdrawn.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i w:val="1"/>
          <w:iCs w:val="1"/>
          <w:color w:val="auto"/>
        </w:rPr>
        <w:t>Repurchase at Option of Holders Upon a Fundamental Change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644"/>
        <w:spacing w:after="0" w:line="252" w:lineRule="auto"/>
        <w:tabs>
          <w:tab w:leader="none" w:pos="155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Fundamental Change (other than an Exempted Fundamental Change) occurs at any time, each Holder shall have the right, at such Holder’s option, to require the Company to repurchase for cash all of such Holder’s Notes, or any portion of the principal amount thereof that is equal to $1,000 or an integral multiple of $1,000, on the Business Day notified in writing (the “</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by the Company that is not less than twenty (20) Business Days or more than thirty-five (35) Business Days following the date of the Fundamental Change Company Notice at a repurchase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if any, to, but excluding, the Fundamental Change Repurchase Date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the close of business on such Regular Record Date on, or at the Company’s election, before such Interest Payment Date, and the Fundamental Change Repurchase Price shall be</w:t>
      </w:r>
    </w:p>
    <w:p>
      <w:pPr>
        <w:spacing w:after="0" w:line="6"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100% of the principal amount of Notes to be repurchased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15.02. The Fundamental Change Repurchase Date will be subject to postponement to comply with applicable law.</w:t>
      </w:r>
    </w:p>
    <w:p>
      <w:pPr>
        <w:spacing w:after="0" w:line="18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15.02 shall be made, at the option of the Holder thereof, upon:</w:t>
      </w:r>
    </w:p>
    <w:p>
      <w:pPr>
        <w:spacing w:after="0" w:line="221" w:lineRule="exact"/>
        <w:rPr>
          <w:rFonts w:ascii="Times New Roman" w:cs="Times New Roman" w:eastAsia="Times New Roman" w:hAnsi="Times New Roman"/>
          <w:sz w:val="18"/>
          <w:szCs w:val="18"/>
          <w:color w:val="auto"/>
        </w:rPr>
      </w:pPr>
    </w:p>
    <w:p>
      <w:pPr>
        <w:jc w:val="both"/>
        <w:ind w:left="1300" w:firstLine="652"/>
        <w:spacing w:after="0" w:line="262" w:lineRule="auto"/>
        <w:tabs>
          <w:tab w:leader="none" w:pos="217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a Holder of a duly completed notice (the “</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xml:space="preserve">”) in the form set forth in Attachment 2 to the Form of Note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if the Notes are Physical Notes, or in compliance with the Depositary’s Applicable Procedures for surrendering interests in Global Notes, if the Notes are Global Notes, in each case on or before the close of business on the second Business Day immediately preceding the Fundamental Change Repurchase Date; and</w:t>
      </w:r>
    </w:p>
    <w:p>
      <w:pPr>
        <w:spacing w:after="0" w:line="180"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2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being a condition to receipt by the Holder of the Fundamental Change Repurchase Price therefor.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Fundamental Change Repurchase Notice in respect of any Notes to be repurchased that are Physical Notes shall state:</w:t>
      </w:r>
    </w:p>
    <w:p>
      <w:pPr>
        <w:spacing w:after="0" w:line="225" w:lineRule="exact"/>
        <w:rPr>
          <w:sz w:val="20"/>
          <w:szCs w:val="20"/>
          <w:color w:val="auto"/>
        </w:rPr>
      </w:pPr>
    </w:p>
    <w:p>
      <w:pPr>
        <w:ind w:left="2160" w:hanging="208"/>
        <w:spacing w:after="0"/>
        <w:tabs>
          <w:tab w:leader="none" w:pos="21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to be delivered for repurchase;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 integral multiple thereof; and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Holders must surrender their Notes in accordance with the Applicable Procedures.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second Business Day immediately preceding the Fundamental Change Repurchase Date by delivery of a written notice of withdrawal to the Paying Agent in accordance with Section 15.03.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Paying Agent (if other than the Company) shall promptly notify the Company of the receipt by it of any Fundamental Change Repurchase Notice or written notice of withdrawal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Fundamental Change Repurchase Notice with respect to any Notes may be surrendered by a Holder thereof if such Holder has also surrendered a Fundamental Change Repurchase Notice and has not validly withdrawn such Fundamental Change Repurchase Notice in accordance with Section 15.03.</w:t>
      </w:r>
    </w:p>
    <w:p>
      <w:pPr>
        <w:spacing w:after="0" w:line="162" w:lineRule="exact"/>
        <w:rPr>
          <w:sz w:val="20"/>
          <w:szCs w:val="20"/>
          <w:color w:val="auto"/>
        </w:rPr>
      </w:pPr>
    </w:p>
    <w:p>
      <w:pPr>
        <w:jc w:val="both"/>
        <w:ind w:left="660" w:firstLine="644"/>
        <w:spacing w:after="0" w:line="256" w:lineRule="auto"/>
        <w:tabs>
          <w:tab w:leader="none" w:pos="155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Business Day after the occurrence of the effective date of a Fundamental Change, the Company shall provide to all Holders, the Trustee, the Conversion Agent (if other than the Trustee) and the Paying Agent (if other than the Trustee) a written notice (the “</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of the occurrence of the effective date of the Fundamental Change and of the resulting repurchase right at the option of the Holders arising as a result thereof. In the case of Physical Notes, such notice shall be by first class mail or, in the case of Global Notes, such notice shall be delivered in accordance with the Applicable Procedures. Each Fundamental Change Company Notice shall specify:</w:t>
      </w:r>
    </w:p>
    <w:p>
      <w:pPr>
        <w:spacing w:after="0" w:line="187"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Fundamental Change;</w:t>
      </w:r>
    </w:p>
    <w:p>
      <w:pPr>
        <w:spacing w:after="0" w:line="22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15.02;</w:t>
      </w:r>
    </w:p>
    <w:p>
      <w:pPr>
        <w:spacing w:after="0" w:line="22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Trustee, the Paying Agent and the Conversion Agent;</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31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 as a result of the Fundamental Change (or related Make-Whole Fundamental Change);</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36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Simultaneously with providing such notice, the Company will publish a notice containing this information on its website or through such other public medium as the Company may use at that time.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Holders’ repurchase rights or affect the validity of the proceedings for the repurchase of the Notes pursuant to this Section 15.02. Notwithstanding the foregoing, the Company will not be required to repurchase, or to make an offer to repurchase, the Notes upon the occurrence of a Fundamental Change if a third party makes such an offer in the same manner, at the same time, for the same or greater price and otherwise is in compliance with the requirements for an offer made by the Company as set forth above, and such third party purchases all Notes properly surrendered and not validly withdrawn under its offer in the same manner, at the same time, and for the same or greater price and otherwise is in compliance with the requirements for an offer made by the Company as set forth above.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At the Company’s request given at least five (5) Business Days before such notice is to be sent (or such shorter period as shall be acceptable to the Trustee),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w:t>
      </w:r>
    </w:p>
    <w:p>
      <w:pPr>
        <w:spacing w:after="0" w:line="176" w:lineRule="exact"/>
        <w:rPr>
          <w:sz w:val="20"/>
          <w:szCs w:val="20"/>
          <w:color w:val="auto"/>
        </w:rPr>
      </w:pPr>
    </w:p>
    <w:p>
      <w:pPr>
        <w:jc w:val="both"/>
        <w:ind w:left="660" w:firstLine="644"/>
        <w:spacing w:after="0" w:line="261" w:lineRule="auto"/>
        <w:tabs>
          <w:tab w:leader="none" w:pos="158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15.02, the Company will not be required to send a Fundamental Change Company Notice, or offer to repurchase or repurchase any Notes in connection with a Fundamental Change occurring pursuant to clause (b)(i) or</w:t>
      </w:r>
    </w:p>
    <w:p>
      <w:pPr>
        <w:ind w:left="660" w:hanging="4"/>
        <w:spacing w:after="0" w:line="260" w:lineRule="auto"/>
        <w:tabs>
          <w:tab w:leader="none" w:pos="95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Fundamental Change (or, for the avoidance of doubt, pursuant to clause (a) of the definition that also constitutes a Fundamental Change occurring pursuant to clause (b)(i) or (ii) of the definition thereof), if:</w:t>
      </w:r>
    </w:p>
    <w:p>
      <w:pPr>
        <w:spacing w:after="0" w:line="181" w:lineRule="exact"/>
        <w:rPr>
          <w:rFonts w:ascii="Times New Roman" w:cs="Times New Roman" w:eastAsia="Times New Roman" w:hAnsi="Times New Roman"/>
          <w:sz w:val="18"/>
          <w:szCs w:val="18"/>
          <w:color w:val="auto"/>
        </w:rPr>
      </w:pPr>
    </w:p>
    <w:p>
      <w:pPr>
        <w:ind w:left="1300" w:firstLine="652"/>
        <w:spacing w:after="0" w:line="282" w:lineRule="auto"/>
        <w:tabs>
          <w:tab w:leader="none" w:pos="2164"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Fundamental Change constitutes a Share Exchange Event for which the resulting Reference Property consists entirely of cash in U.S. dollars;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29"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Fundamental Change, the Notes become convertible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w:t>
      </w:r>
    </w:p>
    <w:p>
      <w:pPr>
        <w:spacing w:after="0" w:line="179"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timely sends the notice relating to the Make-Whole Fundamental Change required pursuant to Section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14.01(b)(iii) .</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Fundamental Change with respect to which, in accordance with the provisions described in this Section 15.02(d), the Company does not offer to repurchase any Notes is referred to herein as an “</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644"/>
        <w:spacing w:after="0" w:line="254" w:lineRule="auto"/>
        <w:tabs>
          <w:tab w:leader="none" w:pos="15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i w:val="1"/>
          <w:iCs w:val="1"/>
          <w:color w:val="auto"/>
        </w:rPr>
        <w:t>Withdrawal of Fundamental Change Repurchase Notice or Specified Repurchase Date Repurchase Notice</w:t>
      </w:r>
      <w:r>
        <w:rPr>
          <w:rFonts w:ascii="Times New Roman" w:cs="Times New Roman" w:eastAsia="Times New Roman" w:hAnsi="Times New Roman"/>
          <w:sz w:val="18"/>
          <w:szCs w:val="18"/>
          <w:color w:val="auto"/>
        </w:rPr>
        <w:t>. A Fundamental Change Repurchase Notice or Specified Repurchase Date Repurchase Notice may be withdrawn (in whole or in part) in respect of Physical Notes by means of a written notice of withdrawal delivered to the Corporate Trust Office of the Paying Agent in accordance with this Section 15.03 at any time prior to the close of business on the second Business Day immediately preceding the Fundamental Change Repurchase Date or the Specified Repurchase Date, as applicable, specifying:</w:t>
      </w:r>
    </w:p>
    <w:p>
      <w:pPr>
        <w:spacing w:after="0" w:line="185" w:lineRule="exact"/>
        <w:rPr>
          <w:sz w:val="20"/>
          <w:szCs w:val="20"/>
          <w:color w:val="auto"/>
        </w:rPr>
      </w:pPr>
    </w:p>
    <w:p>
      <w:pPr>
        <w:ind w:left="1300" w:right="20" w:firstLine="652"/>
        <w:spacing w:after="0" w:line="282" w:lineRule="auto"/>
        <w:tabs>
          <w:tab w:leader="none" w:pos="216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 which must be $1,000 or an integral multiple thereof;</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in respect of which such notice of withdrawal is being submitted;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7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Notice or Specified Repurchase Date Repurchase Notice, which portion must be in principal amounts of $1,000 or an integral multiple of $1,000;</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Notes are Global Notes, Holders must withdraw the relevant Fundamental Change Repurchase Notice or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Date Repurchase Notice, as applicable, in accordance with the Applicable Procedures.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i w:val="1"/>
          <w:iCs w:val="1"/>
          <w:color w:val="auto"/>
        </w:rPr>
        <w:t>Deposit of Fundamental Change Repurchase Price</w:t>
      </w:r>
      <w:r>
        <w:rPr>
          <w:rFonts w:ascii="Times New Roman" w:cs="Times New Roman" w:eastAsia="Times New Roman" w:hAnsi="Times New Roman"/>
          <w:sz w:val="18"/>
          <w:szCs w:val="18"/>
          <w:color w:val="auto"/>
        </w:rPr>
        <w:t>. i)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or Specified Repurchase Date Repurchase Price, as applicable, an amount of money sufficient to repurchase all of the Notes to be repurchased at the appropriate Fundamental Change Repurchase Price or Specified Repurchase Date Repurchase Price, as applicable.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or the Specified Repurchase Date, as applicable) will be made on the later of (i) the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15.02) or the Specified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Holder has satisfied the conditions in Section 15.01), as applicable, and (ii) the time of book-entry transfer or the delivery of such Note to the Trustee (or other Paying Agent appointed by the Company) by the Holder thereof in the manner required by Section 15.01 or Section 15.02, as applicable, or by mailing checks for the amount payable to the Holders of such Notes entitled thereto as they shall appear in the Note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 or Specified Repurchase Date Repurchase Price.</w:t>
      </w:r>
    </w:p>
    <w:p>
      <w:pPr>
        <w:spacing w:after="0" w:line="187" w:lineRule="exact"/>
        <w:rPr>
          <w:sz w:val="20"/>
          <w:szCs w:val="20"/>
          <w:color w:val="auto"/>
        </w:rPr>
      </w:pPr>
    </w:p>
    <w:p>
      <w:pPr>
        <w:jc w:val="both"/>
        <w:ind w:left="660" w:firstLine="644"/>
        <w:spacing w:after="0" w:line="253" w:lineRule="auto"/>
        <w:tabs>
          <w:tab w:leader="none" w:pos="15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11:00 a.m. New York City time, on the Fundamental Change Repurchase Date or Specified Repurchase Date, as applicable, the Trustee (or other Paying Agent appointed by the Company) holds money sufficient to make payment on all the Notes or portions thereof that are to be repurchased on such Fundamental Change Repurchase Date or Specified Repurchase Date, as applicable, then, with respect to the Notes that have been properly surrendered for repurchase to the Paying Agent and not validly withdrawn, (i) such Notes will cease to be outstanding, (ii) interest will cease to accrue on such Notes (whether or not book-entry transfer of the Notes has been made or the Notes have been delivered to the Trustee), and (iii) all other rights of the Holders of such Notes will terminate (other than the right to receive the Fundamental Change Repurchase Price or the Specified Repurchase Date Repurchase Price, as applicable, and, if the Fundamental Change Repurchase Date or the Specified Repurchase Date, as applicable, falls after a Regular Record Date but on or prior to the Business Day immediately following the corresponding Interest Payment Date to which such Regular Record Date relates, accrued and unpaid interest payable to the Holders as of such Regular Record Date).</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Note that is to be repurchased in part pursuant to Section 15.01 or Section 15.02, as applicable, the Company shall execute and the Trustee shall authenticate and deliver to the Holder a new Note in an authorized denomination equal in principal amount to the unrepurchased portion of the Note surrendered.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r>
        <w:rPr>
          <w:rFonts w:ascii="Times New Roman" w:cs="Times New Roman" w:eastAsia="Times New Roman" w:hAnsi="Times New Roman"/>
          <w:sz w:val="18"/>
          <w:szCs w:val="18"/>
          <w:color w:val="auto"/>
        </w:rPr>
        <w:t>. In connection with any repurchase offer pursuant to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Repurchase pursuant to Section 15.01 or upon a Fundamental Change pursuant to Section 15.02, the Company will, if required:</w:t>
      </w:r>
    </w:p>
    <w:p>
      <w:pPr>
        <w:spacing w:after="0" w:line="207" w:lineRule="exact"/>
        <w:rPr>
          <w:sz w:val="20"/>
          <w:szCs w:val="20"/>
          <w:color w:val="auto"/>
        </w:rPr>
      </w:pPr>
    </w:p>
    <w:p>
      <w:pPr>
        <w:ind w:left="1540" w:hanging="236"/>
        <w:spacing w:after="0"/>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tender offer rules under the Exchange Act that may then be applicable;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Schedule TO or any other required schedule under the Exchange Act;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in all material respects with all federal and state securities laws in connection with any offer by the Company to repurchase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so as to permit the rights and obligations under this Article‎ 15 to be exercised in the time and in the manner specified in this Article‎ 15.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to the extent that provisions of any federal or state securities laws or other applicable laws or regulations adopted after the date on which the Notes are first issued conflict with the provisions of this Indenture relating to the Company’s obligations to repurchase the Notes upon a Fundamental Change or the Specified Repurchase, the Company shall comply with the applicable securities laws and regulations and will not be deemed to have breached its obligations under such provisions of this Indenture by virtue of such conflict.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1" w:name="page132"/>
    <w:bookmarkEnd w:id="131"/>
    <w:p>
      <w:pPr>
        <w:jc w:val="center"/>
        <w:ind w:right="640"/>
        <w:spacing w:after="0"/>
        <w:rPr>
          <w:sz w:val="20"/>
          <w:szCs w:val="20"/>
          <w:color w:val="auto"/>
        </w:rPr>
      </w:pPr>
      <w:r>
        <w:rPr>
          <w:rFonts w:ascii="Times New Roman" w:cs="Times New Roman" w:eastAsia="Times New Roman" w:hAnsi="Times New Roman"/>
          <w:sz w:val="18"/>
          <w:szCs w:val="18"/>
          <w:color w:val="auto"/>
        </w:rPr>
        <w:t>ARTICLE 16</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2"/>
          <w:szCs w:val="12"/>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r>
        <w:rPr>
          <w:rFonts w:ascii="Times New Roman" w:cs="Times New Roman" w:eastAsia="Times New Roman" w:hAnsi="Times New Roman"/>
          <w:sz w:val="18"/>
          <w:szCs w:val="18"/>
          <w:color w:val="auto"/>
        </w:rPr>
        <w:t>, C</w:t>
      </w:r>
      <w:r>
        <w:rPr>
          <w:rFonts w:ascii="Times New Roman" w:cs="Times New Roman" w:eastAsia="Times New Roman" w:hAnsi="Times New Roman"/>
          <w:sz w:val="12"/>
          <w:szCs w:val="12"/>
          <w:color w:val="auto"/>
        </w:rPr>
        <w:t>leanup</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 and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ax</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edemption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4"/>
        <w:spacing w:after="0" w:line="253"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sinking fund is provided for the Notes. Except in the case of a Cleanup Redemption or a Tax Redemption, the Notes shall not be redeemable by the Company prior to November 20, 2028. On or after November 20, 2028 and prior to the 41st scheduled Trading Day immediately preceding the Maturity Date, the Company may redeem for cash all or any portion of the Notes (subject to the Partial Redemption Limitation), at the Redemption Price, if (i) the Liquidity Conditions are satisfied in accordance with the definition thereof and (ii) the Last Reported Sale Price of the Class A Ordinary Shares has been at least 140% of the Conversion Price then in effect for at least twenty (20) Trading Days (whether or not consecutive) during any thirty (30) consecutive Trading Day period (including the last Trading Day of such period) ending on, and including, the Trading Day immediately preceding the date on which the Company provides the Optional Redemption Notice in</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16.01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may not redeem less than all of the outstanding Notes for Optional Redemption unless at least $75,000,000 aggregate principal amount of Notes are outstanding and not called for Redemption as of the time the Company sends the related Optional Redemption Notice and after giving effect to the delivery of such Optional Redemption Notice (such limitation, a “</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44"/>
        <w:spacing w:after="0" w:line="253" w:lineRule="auto"/>
        <w:tabs>
          <w:tab w:leader="none" w:pos="91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exercises its Optional Redemption right to redeem all or, as the case may be, any part of the Notes pursuant to Section 16.01, it shall fix a date for Optional Redemption (each, an “</w:t>
      </w:r>
      <w:r>
        <w:rPr>
          <w:rFonts w:ascii="Times New Roman" w:cs="Times New Roman" w:eastAsia="Times New Roman" w:hAnsi="Times New Roman"/>
          <w:sz w:val="18"/>
          <w:szCs w:val="18"/>
          <w:b w:val="1"/>
          <w:bCs w:val="1"/>
          <w:color w:val="auto"/>
        </w:rPr>
        <w:t>Optional Redemption Date</w:t>
      </w:r>
      <w:r>
        <w:rPr>
          <w:rFonts w:ascii="Times New Roman" w:cs="Times New Roman" w:eastAsia="Times New Roman" w:hAnsi="Times New Roman"/>
          <w:sz w:val="18"/>
          <w:szCs w:val="18"/>
          <w:color w:val="auto"/>
        </w:rPr>
        <w:t>”) and it or, at its written request received by the Trustee not less than five (5) Business Days prior to the date such Optional Redemption Notice is to be sent (or such shorter period of time as may be acceptable to the Trustee), the Trustee, in the name of and at the expense of the Company, shall deliver or cause to be delivered a notice of such Optional Redemption (an “</w:t>
      </w:r>
      <w:r>
        <w:rPr>
          <w:rFonts w:ascii="Times New Roman" w:cs="Times New Roman" w:eastAsia="Times New Roman" w:hAnsi="Times New Roman"/>
          <w:sz w:val="18"/>
          <w:szCs w:val="18"/>
          <w:b w:val="1"/>
          <w:bCs w:val="1"/>
          <w:color w:val="auto"/>
        </w:rPr>
        <w:t>Optional Redemption Notice</w:t>
      </w:r>
      <w:r>
        <w:rPr>
          <w:rFonts w:ascii="Times New Roman" w:cs="Times New Roman" w:eastAsia="Times New Roman" w:hAnsi="Times New Roman"/>
          <w:sz w:val="18"/>
          <w:szCs w:val="18"/>
          <w:color w:val="auto"/>
        </w:rPr>
        <w:t>”) not less than forty-five (45) nor more than sixty (60) Scheduled Trading Days prior to the Optional Redemption Date to each Holder of Notes so to be redeemed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if the Company elects Physical Settlement for conversions of Called Notes during the related Redemption Period, the Company may not provide less than ten (10) Business Days’ nor more than thirty (30) Business Days’ notice before the applicable Optional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shall give such notice, it shall also give written notice of the Optional Redemption Date to the Trustee, the Conversion Agent (if other than the Trustee) and the Paying Agent (if other than the Trustee). The Optional Redemption Date must be a Business Day, and the Company may not specify an Optional Redemption Date that falls on or after the 41st Scheduled Trading Day immediately preceding the Maturity Date.</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9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Optional Redemption Notice, if delivered in the manner herein provided, shall be conclusively presumed to have been duly given, whether or not the Holder receives such notice. In any case, failure to give such Optional Redemption Notice by mail or any defect in the Optional Redemption Notice to the Holder of any Note designated for Optional Redemption as a whole or in part shall not affect the validity of the proceedings for the Optional Redemption of any other Note.</w:t>
      </w:r>
    </w:p>
    <w:p>
      <w:pPr>
        <w:spacing w:after="0" w:line="179"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Optional Redemption Notice shall specify:</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Optional Redemption Date;</w:t>
      </w:r>
    </w:p>
    <w:p>
      <w:pPr>
        <w:spacing w:after="0" w:line="22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60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Optional Redemption Date, the Redemption Price will become due and payable upon each Note to be redeemed, and that interest thereon, if any, shall cease to accrue on and after the Optional Redemption Date;</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Conversion Agent;</w:t>
      </w:r>
    </w:p>
    <w:p>
      <w:pPr>
        <w:spacing w:after="0" w:line="200" w:lineRule="exact"/>
        <w:rPr>
          <w:sz w:val="20"/>
          <w:szCs w:val="20"/>
          <w:color w:val="auto"/>
        </w:rPr>
      </w:pPr>
    </w:p>
    <w:p>
      <w:pPr>
        <w:spacing w:after="0" w:line="2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2" w:name="page133"/>
    <w:bookmarkEnd w:id="132"/>
    <w:p>
      <w:pPr>
        <w:ind w:left="2200" w:hanging="248"/>
        <w:spacing w:after="0"/>
        <w:tabs>
          <w:tab w:leader="none" w:pos="2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8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Notes and the Settlement Method and Specified Dollar Amount, if applicable;</w:t>
      </w:r>
    </w:p>
    <w:p>
      <w:pPr>
        <w:spacing w:after="0" w:line="161" w:lineRule="exact"/>
        <w:rPr>
          <w:rFonts w:ascii="Times New Roman" w:cs="Times New Roman" w:eastAsia="Times New Roman" w:hAnsi="Times New Roman"/>
          <w:sz w:val="18"/>
          <w:szCs w:val="18"/>
          <w:color w:val="auto"/>
        </w:rPr>
      </w:pPr>
    </w:p>
    <w:p>
      <w:pPr>
        <w:ind w:left="2320" w:hanging="368"/>
        <w:spacing w:after="0"/>
        <w:tabs>
          <w:tab w:leader="none" w:pos="2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if applicable, the number of Additional Class A Ordinary Shares added to the Conversion Rate in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14.04;</w:t>
      </w:r>
    </w:p>
    <w:p>
      <w:pPr>
        <w:spacing w:after="0" w:line="206"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5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is to be redeemed in part only, the portion of the principal amount thereof to be redeemed and on and after the Optional Redemption Date, upon surrender of such Note, a new Note in principal amount equal to the unredeemed portion thereof shall be issued.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Optional Redemption Notice shall be irrevocable.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Simultaneously with providing the Optional Redemption Notice, the Company shall publish a notice containing the information included in the Optional Redemption Notice on the Company’s website or through such other public medium as the Company may use. The Trustee shall have no obligation to make any determination in connection with the foregoing.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fewer than all of the outstanding Notes are to be redeemed and the Notes to be redeemed are Global Notes, the Notes to be redeemed shall be selected by the Depositary in accordance with the Applicable Procedures. If fewer than all of the outstanding Notes are to be redeemed and the Notes to be redeemed are not Global Notes, the Trustee will select the Notes to be redeemed (in principal amounts of $1,000 or multiples there) by lot, on a pro rata basis (subject to rounding to the nearest $1,000 principal amount) or by other method the Trustee considers to be fair and appropriate.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Notes may be redeemed by Optional Redemption if the principal amount of the Notes has been accelerated, and such acceleration has not been rescinded, on or prior to the Redemption Date (except in the case of an acceleration resulting from a default by the Company in the payment of the Redemption Price).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i w:val="1"/>
          <w:iCs w:val="1"/>
          <w:color w:val="auto"/>
        </w:rPr>
        <w:t>Cleanup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644"/>
        <w:spacing w:after="0" w:line="266" w:lineRule="auto"/>
        <w:tabs>
          <w:tab w:leader="none" w:pos="155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41st scheduled Trading Day immediately preceding the Maturity Date, the Company may redeem for cash all but not part of the Notes at the Redemption Price, if less than $50,000,000 aggregate principal amount of Notes remains outstanding at such time (such redemption, a “</w:t>
      </w:r>
      <w:r>
        <w:rPr>
          <w:rFonts w:ascii="Times New Roman" w:cs="Times New Roman" w:eastAsia="Times New Roman" w:hAnsi="Times New Roman"/>
          <w:sz w:val="18"/>
          <w:szCs w:val="18"/>
          <w:b w:val="1"/>
          <w:bCs w:val="1"/>
          <w:color w:val="auto"/>
        </w:rPr>
        <w:t>Cleanup Redemption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6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exercises its Cleanup Redemption right to redeem all of the Notes pursuant to Section 16.02(a), it shall fix a date for Cleanup Redemption (each, a “</w:t>
      </w:r>
      <w:r>
        <w:rPr>
          <w:rFonts w:ascii="Times New Roman" w:cs="Times New Roman" w:eastAsia="Times New Roman" w:hAnsi="Times New Roman"/>
          <w:sz w:val="18"/>
          <w:szCs w:val="18"/>
          <w:b w:val="1"/>
          <w:bCs w:val="1"/>
          <w:color w:val="auto"/>
        </w:rPr>
        <w:t>Cleanup Redemption Date</w:t>
      </w:r>
      <w:r>
        <w:rPr>
          <w:rFonts w:ascii="Times New Roman" w:cs="Times New Roman" w:eastAsia="Times New Roman" w:hAnsi="Times New Roman"/>
          <w:sz w:val="18"/>
          <w:szCs w:val="18"/>
          <w:color w:val="auto"/>
        </w:rPr>
        <w:t>”) and it or, at its written request received by the Trustee not less than five (5) Business Days prior to the date such Cleanup Redemption Notice is to be sent (or such shorter period of time as may be acceptable to the Trustee), the Trustee, in the name of and at the expense of the Company, shall deliver or cause to be delivered a notice of such Cleanup Redemption (a “</w:t>
      </w:r>
      <w:r>
        <w:rPr>
          <w:rFonts w:ascii="Times New Roman" w:cs="Times New Roman" w:eastAsia="Times New Roman" w:hAnsi="Times New Roman"/>
          <w:sz w:val="18"/>
          <w:szCs w:val="18"/>
          <w:b w:val="1"/>
          <w:bCs w:val="1"/>
          <w:color w:val="auto"/>
        </w:rPr>
        <w:t>Cleanup Redemption Notice</w:t>
      </w:r>
      <w:r>
        <w:rPr>
          <w:rFonts w:ascii="Times New Roman" w:cs="Times New Roman" w:eastAsia="Times New Roman" w:hAnsi="Times New Roman"/>
          <w:sz w:val="18"/>
          <w:szCs w:val="18"/>
          <w:color w:val="auto"/>
        </w:rPr>
        <w:t>”) not less than 45 nor more than 60 Scheduled Trading Day prior to the Cleanup Redemption Date to each Holder of Notes so to be redeemed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elects Physical Settlement for conversions of Notes called for Cleanup Redemption that occur during the related Redemption Period, the Company may not provide less than ten (10) Business Days’ nor more than thirty (30) Business Days’ notice before the applicable Cleanup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shall give such notice, it shall also give written notice of the Cleanup Redemption Date to the Trustee, the Conversion Agent (if other than the Trustee) an the Paying Agent (if other than the Trustee). The Cleanup Redemption Date must be a Business Day, and the Company may not specify a Cleanup Redemption Date that falls on or after the 41st Scheduled Trading Day immediately preceding the Maturity Date.</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Cleanup Redemption Notice, if delivered in the manner herein provided, shall be conclusively presumed to have been duly given, whether or not the Holder receives such notice. In any case, failure to give such Cleanup Redemption Notice by mail or any defect in the Cleanup Redemption Notice to the Holder of any Note designated for Cleanup Redemption as a whole or in part shall not affect the validity of the proceedings for the Cleanup Redemption of any other Note.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ind w:left="1560" w:hanging="256"/>
        <w:spacing w:after="0"/>
        <w:tabs>
          <w:tab w:leader="none" w:pos="15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Cleanup Redemption Notice shall specify:</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Cleanup Redemption Date;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6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Cleanup Redemption Date, the Redemption Price will become due and payable upon each Note to be redeemed, and that interest thereon, if any, shall cease to accrue on and after the Cleanup Redemption Date;</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3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Notes and the Settlement Method and Specified Dollar Amount, if applicable;</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if applicable, the number of Additional Class A Ordinary Shares added to the Conversion Rate in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14.04; and</w:t>
      </w:r>
    </w:p>
    <w:p>
      <w:pPr>
        <w:spacing w:after="0" w:line="206"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Cleanup Redemption Notice shall be irrevocable.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Simultaneously with providing the Cleanup Redemption Notice, the Company shall publish a notice containing the information included in the Cleanup Redemption Notice on the Company’s website or through such other public medium as the Company may use.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Notes may be redeemed by Cleanup Redemption if the principal amount of the Notes has been accelerated, and such acceleration has not been rescinded, on or prior to the Redemption Date (except in the case of an acceleration resulting from a default by the Company in the payment of the Redemption Price).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i w:val="1"/>
          <w:iCs w:val="1"/>
          <w:color w:val="auto"/>
        </w:rPr>
        <w:t>Tax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the Company has, or on the next Interest Payment Date would, become obligated to pay to any Holder Additional Amounts as 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result of:</w:t>
      </w:r>
    </w:p>
    <w:p>
      <w:pPr>
        <w:spacing w:after="0" w:line="207" w:lineRule="exact"/>
        <w:rPr>
          <w:sz w:val="20"/>
          <w:szCs w:val="20"/>
          <w:color w:val="auto"/>
        </w:rPr>
      </w:pPr>
    </w:p>
    <w:p>
      <w:pPr>
        <w:jc w:val="both"/>
        <w:ind w:left="1300" w:firstLine="652"/>
        <w:spacing w:after="0" w:line="266" w:lineRule="auto"/>
        <w:tabs>
          <w:tab w:leader="none" w:pos="217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amendment on or after the date of the Offering Memorandum (or, in the case of a jurisdiction that becomes a Relevant Taxing Jurisdiction after the date of the Offering Memorandum, on or after such later date) in the laws or any rules or regulations of a Relevant Taxing Jurisdiction; or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3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on or after the date of the Offering Memorandum (or, in the case of a jurisdiction that becomes a Relevant Taxing Jurisdiction after the date of the Offering Memorandum, on or after such later date)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announcement or publication of any judicial decision or regulatory or administrative interpretation or determination);</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Change in Tax Law</w:t>
      </w:r>
      <w:r>
        <w:rPr>
          <w:rFonts w:ascii="Times New Roman" w:cs="Times New Roman" w:eastAsia="Times New Roman" w:hAnsi="Times New Roman"/>
          <w:sz w:val="18"/>
          <w:szCs w:val="18"/>
          <w:color w:val="auto"/>
        </w:rPr>
        <w:t xml:space="preserve">”), the Company may, at its option, redeem all but not part of the Notes (except in respect of certain Holders that elect otherwise as described below) on a Tax Redemption Date before the 41st Scheduled Trading Day immediately preceding the Maturity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may only redeem the Notes if: (i) the Company cannot avoid such obligations by taking commercially reasonable measures available to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changing the jurisdiction of incorporation of the Company shall be deemed not to be a commercially reasonable measure); and (ii) the Company delivers to the Trustee an opinion of outside legal counsel of recognized standing in the Relevant Taxing Jurisdiction and an Officer’s Certificate attesting to such Change in Tax Law and obligation to pay Additional Amounts (such redemption, a “</w:t>
      </w:r>
      <w:r>
        <w:rPr>
          <w:rFonts w:ascii="Times New Roman" w:cs="Times New Roman" w:eastAsia="Times New Roman" w:hAnsi="Times New Roman"/>
          <w:sz w:val="18"/>
          <w:szCs w:val="18"/>
          <w:b w:val="1"/>
          <w:bCs w:val="1"/>
          <w:color w:val="auto"/>
        </w:rPr>
        <w:t>Tax Redemption</w:t>
      </w:r>
      <w:r>
        <w:rPr>
          <w:rFonts w:ascii="Times New Roman" w:cs="Times New Roman" w:eastAsia="Times New Roman" w:hAnsi="Times New Roman"/>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left="-460" w:firstLine="644"/>
        <w:spacing w:after="0" w:line="254" w:lineRule="auto"/>
        <w:tabs>
          <w:tab w:leader="none" w:pos="46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Redemption Price for a Tax Redemption shall be equal to 100% of the principal amount of the Notes to be redeemed, plus accrued and unpaid interest to, but excluding, the Redemption Date, including any Additional Amounts with respect to such Redemption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Redemption Date occurs after a Regular Record Date and on or prior to the corresponding Interest Payment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(i) the Company shall pay on or, at the Company’s election, before the Interest Payment Date the full amount of accrued and unpaid interest, if any, due on such Interest Payment Date to the record Holder of the Notes on the Regular Record Date corresponding to such Interest Payment Date, and (ii) the Redemption Price payable to the Holder who presents a Note for the Tax Redemption shall be equal to 100% of the principal amount of such Note, including, for the avoidance of doubt, any Additional Amounts with respect to such Redemption Price, but without the accrued and unpaid interest on such Note to, but excluding, the Redemption Date. The Redemption Date must be a Business Day.</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receiving the Tax Redemption Notice, each Holder shall have the right to elect to not have its Notes redeemed, in which case the Company shall not be obligated to pay any Additional Amounts on any payment with respect to such Notes solely as a result of such Change in Tax Law that resulted in the obligation to pay such Additional Amounts (whether upon conversion, required repurchase in connection with a Fundamental Change, required repurchase on the Specified Repurchase Date, Redemption, maturity or otherwise, and whether in cash, Class A Ordinary Shares, or a combination thereof, Reference Property or otherwise) after the Tax Redemption Date (or, if the Company fails to pay the Redemption Price on the Tax Redemption Date, the date on which the Redemption Price has been paid or duly provided for), and all future payments with respect to such Notes shall be subject to the deduction or withholding of such Relevant Taxing Jurisdiction and taxes required by law to be deducted or withheld as a result of such Change in Tax Law;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notwithstanding the foregoing, if a Holder electing not to have its Notes redeemed converts its Notes in connection with a Tax Redemption pursuant to Section 14.04, the Company shall be obligated to pay Additional Amounts, if any, with respect to such conversion.</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7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Applicable Procedures of the Depositary in the case of Global Notes, a Holder electing to not have its Notes so redeemed must deliver to the Company, with a copy to the Paying Agent a written notice of election so as to be received by the Company and the Paying Agent or otherwise by complying with the requirements for conversion described under Section 14.02 prior to the close of business on the second Business Day immediately preceding the Tax Redemption Date. A Holder may withdraw any such notice of election (other than such a deemed notice of election in connection with a conversion) by delivering to the Company and the Paying Agent a written notice of withdrawal prior to the close of business on the business day immediately preceding the Tax Redemption Date (or, if the Company fails to pay the Redemption Price and any Additional Amounts with respect to such Redemption Price on the Tax Redemption Date, such later date on which the Company pays the Redemption Price and any Additional Amounts with respect to such Redemption Price). If no election is made, the Holder will have its Notes redeemed without any further action.</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exercises its Tax Redemption right to redeem all of the Notes pursuant to Section 16.03(a), it shall fix a date for Tax Redemption (each, a “</w:t>
      </w:r>
      <w:r>
        <w:rPr>
          <w:rFonts w:ascii="Times New Roman" w:cs="Times New Roman" w:eastAsia="Times New Roman" w:hAnsi="Times New Roman"/>
          <w:sz w:val="18"/>
          <w:szCs w:val="18"/>
          <w:b w:val="1"/>
          <w:bCs w:val="1"/>
          <w:color w:val="auto"/>
        </w:rPr>
        <w:t>Tax Redemption Date</w:t>
      </w:r>
      <w:r>
        <w:rPr>
          <w:rFonts w:ascii="Times New Roman" w:cs="Times New Roman" w:eastAsia="Times New Roman" w:hAnsi="Times New Roman"/>
          <w:sz w:val="18"/>
          <w:szCs w:val="18"/>
          <w:color w:val="auto"/>
        </w:rPr>
        <w:t>”) and it or, at its written request received by the Trustee not less than five (5) Business Days prior to the date such Tax Redemption Notice is to be sent (or such shorter period of time as may be acceptable to the Trustee), the Trustee, in the name of and at the expense of the Company, shall deliver or cause to be delivered a notice of such Tax Redemption (a “</w:t>
      </w:r>
      <w:r>
        <w:rPr>
          <w:rFonts w:ascii="Times New Roman" w:cs="Times New Roman" w:eastAsia="Times New Roman" w:hAnsi="Times New Roman"/>
          <w:sz w:val="18"/>
          <w:szCs w:val="18"/>
          <w:b w:val="1"/>
          <w:bCs w:val="1"/>
          <w:color w:val="auto"/>
        </w:rPr>
        <w:t>Tax Redemption Notice</w:t>
      </w:r>
      <w:r>
        <w:rPr>
          <w:rFonts w:ascii="Times New Roman" w:cs="Times New Roman" w:eastAsia="Times New Roman" w:hAnsi="Times New Roman"/>
          <w:sz w:val="18"/>
          <w:szCs w:val="18"/>
          <w:color w:val="auto"/>
        </w:rPr>
        <w:t>”) not less than 45 nor more than 60 Scheduled Trading Day prior to the Tax Redemption Date to each Holder of Notes so to be redeemed as a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elects Physical Settlement for conversions of Notes called for Tax Redemption that occur during the related Redemption Period, the Company may not provide less than ten (10) Business Days’ nor more than thirty (30) Business Days’ notice before the applicable Tax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shall give such notice, it shall also give written notice of the Tax Redemption Date to the Trustee, the Conversion Agent (if other than the Trustee) an the Paying Agent (if other than the Trustee). The Tax Redemption Date must be a Business Day, and the Company may not specify a Tax Redemption Date that falls on or after the 41st Scheduled Trading Day immediately preceding the Maturity Date.</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3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Redemption Notice, if delivered in the manner herein provided, shall be conclusively presumed to have been duly given, whether or not the Holder receives such notice. In any case, failure to give such Tax Redemption Notice by mail or any defect in the Tax Redemption Notice to the Holder of any Note designated for Tax Redemption as a whole or in part shall not affect the validity of the proceedings for the Tax Redemption of any other Note.</w:t>
      </w: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5" w:name="page136"/>
    <w:bookmarkEnd w:id="135"/>
    <w:p>
      <w:pPr>
        <w:ind w:left="1560" w:hanging="256"/>
        <w:spacing w:after="0"/>
        <w:tabs>
          <w:tab w:leader="none" w:pos="15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Tax Redemption Notice shall specify:</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Redemption Date;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any Additional Amounts with respect to such Redemption Price;</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8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Tax Redemption Date, the Redemption Price and any Additional Amounts with respect to such Redemption Price will become due and payable upon each Note to be redeemed, and that interest thereon, if any, shall cease to accrue on and after the Tax Redemption Date;</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3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Notes and the Settlement Method that will apply to all conversions with a Conversion Date that occurs during the related Redemption Period and Specified Dollar Amount, if applicable;</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if applicable, the number of Additional Class A Ordinary Shares added to the Conversion Rate in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14.04;</w:t>
      </w:r>
    </w:p>
    <w:p>
      <w:pPr>
        <w:spacing w:after="0" w:line="206"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36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may elect that its Notes not be subject to such Tax Redemption, subject to the Applicable Procedures of the Depositary, in accordance with Section 16.03(d), by written notice to the Company and the Trustee no later than the 5th Business Day prior to the Tax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Tax Redemption Notice shall be irrevocable.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Simultaneously with providing the Tax Redemption Notice, the Company shall publish a notice containing the information included in the Tax Redemption Notice on the Company’s website or through such other public medium as the Company may use.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 Notes may be redeemed by Tax Redemption if the principal amount of the Notes has been accelerated, and such acceleration has not been rescinded, on or prior to the Redemption Date (except in the case of an acceleration resulting from a default by the Company in the payment of the Redemption Price).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i w:val="1"/>
          <w:iCs w:val="1"/>
          <w:color w:val="auto"/>
        </w:rPr>
        <w:t>Payment of Notes Called for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644"/>
        <w:spacing w:after="0" w:line="258" w:lineRule="auto"/>
        <w:tabs>
          <w:tab w:leader="none" w:pos="156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Redemption Notice has been given in respect of the Notes in accordance with Section 16.01, Section 16.02 or Section 16.03, the Notes shall become due and payable on the Redemption Date at the place or places stated in the Redemption Notice and at the applicable Redemption Price (and any Additional Amounts with respect to such Redemption Price, in the case of a Tax Redemption). On presentation and surrender of the Notes at the place or places stated in the Redemption Notice, the Notes shall be paid and redeemed by the Company at the applicable Redemption Price.</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open of business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(and any Additional Amounts with respect to such Redemption Price, in the case of a Tax Redemption)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 (and any Additional Amounts with respect to such Redemption Price, in the case of a Tax Redemption).</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i w:val="1"/>
          <w:iCs w:val="1"/>
          <w:color w:val="auto"/>
        </w:rPr>
        <w:t>Restrictions on Redemption</w:t>
      </w:r>
      <w:r>
        <w:rPr>
          <w:rFonts w:ascii="Times New Roman" w:cs="Times New Roman" w:eastAsia="Times New Roman" w:hAnsi="Times New Roman"/>
          <w:sz w:val="18"/>
          <w:szCs w:val="18"/>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color w:val="auto"/>
        </w:rPr>
        <w:t>ARTICLE 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rovisions</w:t>
      </w:r>
    </w:p>
    <w:p>
      <w:pPr>
        <w:spacing w:after="0" w:line="20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17.01 </w:t>
      </w:r>
      <w:r>
        <w:rPr>
          <w:rFonts w:ascii="Times New Roman" w:cs="Times New Roman" w:eastAsia="Times New Roman" w:hAnsi="Times New Roman"/>
          <w:sz w:val="18"/>
          <w:szCs w:val="18"/>
          <w:i w:val="1"/>
          <w:iCs w:val="1"/>
          <w:color w:val="auto"/>
        </w:rPr>
        <w:t>Governing Law; Jurisdiction</w:t>
      </w:r>
      <w:r>
        <w:rPr>
          <w:rFonts w:ascii="Times New Roman" w:cs="Times New Roman" w:eastAsia="Times New Roman" w:hAnsi="Times New Roman"/>
          <w:sz w:val="18"/>
          <w:szCs w:val="18"/>
          <w:color w:val="auto"/>
        </w:rPr>
        <w:t>. THIS INDENTURE AND EACH NOTE, AND ANY CLAIM, CONTROVERSY OR DISPUTE ARISING UNDER OR RELATED TO THIS INDENTURE AND EACH NOTE, SHALL BE GOVERNED BY, AND CONSTRUED IN ACCORDANCE WITH, THE LAWS OF THE STATE OF NEW YORK.</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generally and unconditionally with respect to any action, suit or proceeding for itself in respect of its properties, assets and revenues.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3"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Service of any process, summons, notice or document by registered mail addressed to the Company’s agent, Cogency Global Inc., at the address 122 E. 42nd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10168, shall be effective service of process against the Company for any suit, action or proceeding brought in any such court.</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17.02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COMPANY, THE HOLDERS, BY THEIR ACCEPTANCE OF THE NOTES,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17.03 </w:t>
      </w:r>
      <w:r>
        <w:rPr>
          <w:rFonts w:ascii="Times New Roman" w:cs="Times New Roman" w:eastAsia="Times New Roman" w:hAnsi="Times New Roman"/>
          <w:sz w:val="18"/>
          <w:szCs w:val="18"/>
          <w:i w:val="1"/>
          <w:iCs w:val="1"/>
          <w:color w:val="auto"/>
        </w:rPr>
        <w:t>Addresses for Notices, Etc</w:t>
      </w:r>
      <w:r>
        <w:rPr>
          <w:rFonts w:ascii="Times New Roman" w:cs="Times New Roman" w:eastAsia="Times New Roman" w:hAnsi="Times New Roman"/>
          <w:sz w:val="18"/>
          <w:szCs w:val="18"/>
          <w:color w:val="auto"/>
        </w:rPr>
        <w:t>.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Bitdeer Technologies Group, 08 Kallang Avenue, Aperia tower 1, #09-03/04 Singapore 339509, Attention: General Counsel.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Redemption Notice, Specified Repurchase Date Company Notice or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92"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17.04 </w:t>
      </w:r>
      <w:r>
        <w:rPr>
          <w:rFonts w:ascii="Times New Roman" w:cs="Times New Roman" w:eastAsia="Times New Roman" w:hAnsi="Times New Roman"/>
          <w:sz w:val="18"/>
          <w:szCs w:val="18"/>
          <w:i w:val="1"/>
          <w:iCs w:val="1"/>
          <w:color w:val="auto"/>
        </w:rPr>
        <w:t>Provisions Binding on Company’s Successors; Official Acts by Successor Entity</w:t>
      </w:r>
      <w:r>
        <w:rPr>
          <w:rFonts w:ascii="Times New Roman" w:cs="Times New Roman" w:eastAsia="Times New Roman" w:hAnsi="Times New Roman"/>
          <w:sz w:val="18"/>
          <w:szCs w:val="18"/>
          <w:color w:val="auto"/>
        </w:rPr>
        <w:t>. All the covenants, stipulations, promises and agreements of the Company contained in this Indenture shall bind its successors and assigns whether so expressed or not.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17.05 </w:t>
      </w:r>
      <w:r>
        <w:rPr>
          <w:rFonts w:ascii="Times New Roman" w:cs="Times New Roman" w:eastAsia="Times New Roman" w:hAnsi="Times New Roman"/>
          <w:sz w:val="18"/>
          <w:szCs w:val="18"/>
          <w:i w:val="1"/>
          <w:iCs w:val="1"/>
          <w:color w:val="auto"/>
        </w:rPr>
        <w:t>Evidence of Compliance with Conditions Precedent; Certificates and Opinions of Counsel to Trustee</w:t>
      </w:r>
      <w:r>
        <w:rPr>
          <w:rFonts w:ascii="Times New Roman" w:cs="Times New Roman" w:eastAsia="Times New Roman" w:hAnsi="Times New Roman"/>
          <w:sz w:val="18"/>
          <w:szCs w:val="18"/>
          <w:color w:val="auto"/>
        </w:rPr>
        <w:t>.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17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w:t>
      </w:r>
    </w:p>
    <w:p>
      <w:pPr>
        <w:spacing w:after="0" w:line="1" w:lineRule="exact"/>
        <w:rPr>
          <w:sz w:val="20"/>
          <w:szCs w:val="20"/>
          <w:color w:val="auto"/>
        </w:rPr>
      </w:pPr>
    </w:p>
    <w:p>
      <w:pPr>
        <w:jc w:val="both"/>
        <w:ind w:firstLine="8"/>
        <w:spacing w:after="0" w:line="251" w:lineRule="auto"/>
        <w:tabs>
          <w:tab w:leader="none" w:pos="2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provided that no Opinion of Counsel shall be required to be delivered in connection with (1) the original issuance of Notes on the date hereof under this Indenture, or (2)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such Opinion of Counsel.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17.06 </w:t>
      </w:r>
      <w:r>
        <w:rPr>
          <w:rFonts w:ascii="Times New Roman" w:cs="Times New Roman" w:eastAsia="Times New Roman" w:hAnsi="Times New Roman"/>
          <w:sz w:val="18"/>
          <w:szCs w:val="18"/>
          <w:i w:val="1"/>
          <w:iCs w:val="1"/>
          <w:color w:val="auto"/>
        </w:rPr>
        <w:t>Legal Holidays</w:t>
      </w:r>
      <w:r>
        <w:rPr>
          <w:rFonts w:ascii="Times New Roman" w:cs="Times New Roman" w:eastAsia="Times New Roman" w:hAnsi="Times New Roman"/>
          <w:sz w:val="18"/>
          <w:szCs w:val="18"/>
          <w:color w:val="auto"/>
        </w:rPr>
        <w:t>. In any case where any Interest Payment Date, any Redemption Date, any Fundamental Change Repurchase Date, the Specified Repurchase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17.07 </w:t>
      </w:r>
      <w:r>
        <w:rPr>
          <w:rFonts w:ascii="Times New Roman" w:cs="Times New Roman" w:eastAsia="Times New Roman" w:hAnsi="Times New Roman"/>
          <w:sz w:val="18"/>
          <w:szCs w:val="18"/>
          <w:i w:val="1"/>
          <w:iCs w:val="1"/>
          <w:color w:val="auto"/>
        </w:rPr>
        <w:t>No Security Interest Created</w:t>
      </w:r>
      <w:r>
        <w:rPr>
          <w:rFonts w:ascii="Times New Roman" w:cs="Times New Roman" w:eastAsia="Times New Roman" w:hAnsi="Times New Roman"/>
          <w:sz w:val="18"/>
          <w:szCs w:val="18"/>
          <w:color w:val="auto"/>
        </w:rPr>
        <w:t>. Nothing in this Indenture or in the Notes, expressed or implied, shall be construed to constitute a security interest under the Uniform Commercial Code or similar legislation, as now or hereafter enacted and in effect, in any jurisdiction.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17.08 </w:t>
      </w:r>
      <w:r>
        <w:rPr>
          <w:rFonts w:ascii="Times New Roman" w:cs="Times New Roman" w:eastAsia="Times New Roman" w:hAnsi="Times New Roman"/>
          <w:sz w:val="18"/>
          <w:szCs w:val="18"/>
          <w:i w:val="1"/>
          <w:iCs w:val="1"/>
          <w:color w:val="auto"/>
        </w:rPr>
        <w:t>Benefits of Indenture</w:t>
      </w:r>
      <w:r>
        <w:rPr>
          <w:rFonts w:ascii="Times New Roman" w:cs="Times New Roman" w:eastAsia="Times New Roman" w:hAnsi="Times New Roman"/>
          <w:sz w:val="18"/>
          <w:szCs w:val="18"/>
          <w:color w:val="auto"/>
        </w:rPr>
        <w:t xml:space="preserve">. Nothing in this Indenture or in the Notes, expressed or implied, shall give to any Person, other than the Holders (or, with respect to the second and third paragraphs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Section 2.05(d), beneficial owners of the Notes), the parties hereto, any Paying Agent, any Conversion Agent, any authenticating agent, any Note Registrar and their successors hereunder, any benefit or any legal or equitable right, remedy or claim under this Indenture.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17.09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17.10 </w:t>
      </w:r>
      <w:r>
        <w:rPr>
          <w:rFonts w:ascii="Times New Roman" w:cs="Times New Roman" w:eastAsia="Times New Roman" w:hAnsi="Times New Roman"/>
          <w:sz w:val="18"/>
          <w:szCs w:val="18"/>
          <w:i w:val="1"/>
          <w:iCs w:val="1"/>
          <w:color w:val="auto"/>
        </w:rPr>
        <w:t>Authenticating Agent</w:t>
      </w:r>
      <w:r>
        <w:rPr>
          <w:rFonts w:ascii="Times New Roman" w:cs="Times New Roman" w:eastAsia="Times New Roman" w:hAnsi="Times New Roman"/>
          <w:sz w:val="18"/>
          <w:szCs w:val="18"/>
          <w:color w:val="auto"/>
        </w:rPr>
        <w: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7.10, the Trustee may appoint a successor authenticating agent (which may be the Trustee), shall give written notice of such appointment to the Company and shall deliver notice of such appointment to all Holders.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Section 7.02, Section 7.03, Section 7.04, Section 8.03 and this Section 17.10 shall be applicable to any authenticating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 in the within-named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9" w:name="page140"/>
    <w:bookmarkEnd w:id="1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17.11 </w:t>
      </w:r>
      <w:r>
        <w:rPr>
          <w:rFonts w:ascii="Times New Roman" w:cs="Times New Roman" w:eastAsia="Times New Roman" w:hAnsi="Times New Roman"/>
          <w:sz w:val="18"/>
          <w:szCs w:val="18"/>
          <w:i w:val="1"/>
          <w:iCs w:val="1"/>
          <w:color w:val="auto"/>
        </w:rPr>
        <w:t>Multiple Originals</w:t>
      </w:r>
      <w:r>
        <w:rPr>
          <w:rFonts w:ascii="Times New Roman" w:cs="Times New Roman" w:eastAsia="Times New Roman" w:hAnsi="Times New Roman"/>
          <w:sz w:val="18"/>
          <w:szCs w:val="18"/>
          <w:color w:val="auto"/>
        </w:rPr>
        <w:t>.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such other electronic means shall be deemed to be their original signatures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case any one or more of the provisions contained in this Indenture or in the Notes shall for any reason be held to be invalid, illegal or unenforceable in any respect, such invalidity, illegality or unenforceability shall not affect any other provisions of this Indenture or of such Notes, but this Indenture and such Notes shall be construed as if such invalid or illegal or unenforceable provision had never been contained herein or therein.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17.13 </w:t>
      </w:r>
      <w:r>
        <w:rPr>
          <w:rFonts w:ascii="Times New Roman" w:cs="Times New Roman" w:eastAsia="Times New Roman" w:hAnsi="Times New Roman"/>
          <w:sz w:val="18"/>
          <w:szCs w:val="18"/>
          <w:i w:val="1"/>
          <w:iCs w:val="1"/>
          <w:color w:val="auto"/>
        </w:rPr>
        <w:t>Calculations</w:t>
      </w:r>
      <w:r>
        <w:rPr>
          <w:rFonts w:ascii="Times New Roman" w:cs="Times New Roman" w:eastAsia="Times New Roman" w:hAnsi="Times New Roman"/>
          <w:sz w:val="18"/>
          <w:szCs w:val="18"/>
          <w:color w:val="auto"/>
        </w:rPr>
        <w:t>. Except as otherwise provided herein, the Company shall be responsible for making all calculations called for under this Indenture and the Notes and the Trustee, acting in any capacity under this Indenture, shall have no liability or responsibility for any such calculations or information underlying such calculations. These calculations include, but are not limited to, determinations of the Share Price, Last Reported Sale Prices of the Class A Ordinary Shares, the trading price of the Notes (for purposes of determining whether the Notes are convertible as set forth in this Indenture), the Daily VWAPs, the Daily Conversion Values, the Daily Settlement Amounts, accrued interest payable on the Notes, any Additional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(if other than the Trustee) and the Conversion Agent (if other than the Trustee), and each of the Trustee, the Paying Agent and Conversion Agent has no duty to verify such calculations and is entitled to rely conclusively upon the accuracy of the Company’s calculations without independent verification. The Trustee shall forward the Company’s calculations to any registered Holder of Notes upon the request of that Holder at the sole cost and expense of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17.14 </w:t>
      </w: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17.15 </w:t>
      </w:r>
      <w:r>
        <w:rPr>
          <w:rFonts w:ascii="Times New Roman" w:cs="Times New Roman" w:eastAsia="Times New Roman" w:hAnsi="Times New Roman"/>
          <w:sz w:val="18"/>
          <w:szCs w:val="18"/>
          <w:i w:val="1"/>
          <w:iCs w:val="1"/>
          <w:color w:val="auto"/>
        </w:rPr>
        <w:t>Delivery of Notices</w:t>
      </w:r>
      <w:r>
        <w:rPr>
          <w:rFonts w:ascii="Times New Roman" w:cs="Times New Roman" w:eastAsia="Times New Roman" w:hAnsi="Times New Roman"/>
          <w:sz w:val="18"/>
          <w:szCs w:val="18"/>
          <w:color w:val="auto"/>
        </w:rPr>
        <w:t>. 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18415</wp:posOffset>
            </wp:positionV>
            <wp:extent cx="263144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Jihan Wu</w:t>
      </w:r>
    </w:p>
    <w:p>
      <w:pPr>
        <w:spacing w:after="0" w:line="27" w:lineRule="exact"/>
        <w:rPr>
          <w:sz w:val="20"/>
          <w:szCs w:val="20"/>
          <w:color w:val="auto"/>
        </w:rPr>
      </w:pPr>
    </w:p>
    <w:p>
      <w:pPr>
        <w:jc w:val="right"/>
        <w:spacing w:after="0"/>
        <w:tabs>
          <w:tab w:leader="none" w:pos="3160" w:val="left"/>
        </w:tabs>
        <w:rPr>
          <w:sz w:val="20"/>
          <w:szCs w:val="20"/>
          <w:color w:val="auto"/>
        </w:rPr>
      </w:pPr>
      <w:r>
        <w:rPr>
          <w:rFonts w:ascii="Times New Roman" w:cs="Times New Roman" w:eastAsia="Times New Roman" w:hAnsi="Times New Roman"/>
          <w:sz w:val="18"/>
          <w:szCs w:val="18"/>
          <w:color w:val="auto"/>
        </w:rPr>
        <w:t>Title:</w:t>
        <w:tab/>
        <w:t>Chairman of the Board and Chief Executive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18415</wp:posOffset>
            </wp:positionV>
            <wp:extent cx="263144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Bradley E. Scarbrough</w:t>
      </w:r>
    </w:p>
    <w:p>
      <w:pPr>
        <w:spacing w:after="0" w:line="27" w:lineRule="exact"/>
        <w:rPr>
          <w:sz w:val="20"/>
          <w:szCs w:val="20"/>
          <w:color w:val="auto"/>
        </w:rPr>
      </w:pPr>
    </w:p>
    <w:p>
      <w:pPr>
        <w:ind w:left="644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980" w:top="904" w:right="759" w:bottom="1440" w:gutter="0" w:footer="0" w:header="0"/>
        </w:sectPr>
      </w:pPr>
    </w:p>
    <w:bookmarkStart w:id="141" w:name="page142"/>
    <w:bookmarkEnd w:id="141"/>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THE FOLLOWING LEGEND IF A RESTRICTED SECURITY]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76" w:lineRule="exact"/>
        <w:rPr>
          <w:sz w:val="20"/>
          <w:szCs w:val="20"/>
          <w:color w:val="auto"/>
        </w:rPr>
      </w:pPr>
    </w:p>
    <w:p>
      <w:pPr>
        <w:jc w:val="both"/>
        <w:ind w:left="660" w:firstLine="644"/>
        <w:spacing w:after="0" w:line="266" w:lineRule="auto"/>
        <w:tabs>
          <w:tab w:leader="none" w:pos="157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8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BITDEER TECHNOLOGIES GROUP (THE “COMPANY”) THAT IT WILL NOT OFFER, SELL, PLEDGE OR OTHERWISE TRANSFER THIS SECURITY OR ANY BENEFICIAL INTEREST HEREIN, EXCEPT:</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225" w:lineRule="exact"/>
        <w:rPr>
          <w:rFonts w:ascii="Times New Roman" w:cs="Times New Roman" w:eastAsia="Times New Roman" w:hAnsi="Times New Roman"/>
          <w:sz w:val="18"/>
          <w:szCs w:val="18"/>
          <w:color w:val="auto"/>
        </w:rPr>
      </w:pPr>
    </w:p>
    <w:p>
      <w:pPr>
        <w:ind w:left="1960" w:right="20" w:hanging="8"/>
        <w:spacing w:after="0" w:line="282" w:lineRule="auto"/>
        <w:tabs>
          <w:tab w:leader="none" w:pos="226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WHICH HAS BECOME EFFECTIVE UNDER THE SECURITIES ACT, OR</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 ACT,</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jc w:val="both"/>
        <w:ind w:left="1960" w:hanging="8"/>
        <w:spacing w:after="0" w:line="266" w:lineRule="auto"/>
        <w:tabs>
          <w:tab w:leader="none" w:pos="227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OR ANY OTHER AVAILABLE EXEMPTION FROM THE REGISTRATION REQUIREMENTS OF THE SECURITIES ACT.</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TRUSTEE RESERVE THE RIGHT TO REQUIRE THE DELIVERY OF SUCH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730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rPr>
              <w:t>BITDEER TECHNOLOGIES GROUP</w:t>
            </w:r>
          </w:p>
        </w:tc>
        <w:tc>
          <w:tcPr>
            <w:tcW w:w="104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730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4.00% Convertible Senior Notes due 2031</w:t>
            </w:r>
          </w:p>
        </w:tc>
        <w:tc>
          <w:tcPr>
            <w:tcW w:w="1040" w:type="dxa"/>
            <w:vAlign w:val="bottom"/>
          </w:tcPr>
          <w:p>
            <w:pPr>
              <w:spacing w:after="0"/>
              <w:rPr>
                <w:sz w:val="24"/>
                <w:szCs w:val="24"/>
                <w:color w:val="auto"/>
              </w:rPr>
            </w:pPr>
          </w:p>
        </w:tc>
      </w:tr>
      <w:tr>
        <w:trPr>
          <w:trHeight w:val="59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 [_____]</w:t>
            </w:r>
          </w:p>
        </w:tc>
        <w:tc>
          <w:tcPr>
            <w:tcW w:w="7300" w:type="dxa"/>
            <w:vAlign w:val="bottom"/>
          </w:tcPr>
          <w:p>
            <w:pPr>
              <w:ind w:left="6520"/>
              <w:spacing w:after="0"/>
              <w:rPr>
                <w:sz w:val="20"/>
                <w:szCs w:val="20"/>
                <w:color w:val="auto"/>
              </w:rPr>
            </w:pPr>
            <w:r>
              <w:rPr>
                <w:rFonts w:ascii="Times New Roman" w:cs="Times New Roman" w:eastAsia="Times New Roman" w:hAnsi="Times New Roman"/>
                <w:sz w:val="18"/>
                <w:szCs w:val="18"/>
                <w:color w:val="auto"/>
                <w:w w:val="96"/>
              </w:rPr>
              <w:t>[Initially]</w:t>
            </w:r>
            <w:r>
              <w:rPr>
                <w:rFonts w:ascii="Times New Roman" w:cs="Times New Roman" w:eastAsia="Times New Roman" w:hAnsi="Times New Roman"/>
                <w:sz w:val="29"/>
                <w:szCs w:val="29"/>
                <w:color w:val="auto"/>
                <w:w w:val="96"/>
                <w:vertAlign w:val="superscript"/>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$[_________]</w:t>
            </w:r>
          </w:p>
        </w:tc>
      </w:tr>
      <w:tr>
        <w:trPr>
          <w:trHeight w:val="30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CUSIP No. [________]</w:t>
            </w:r>
          </w:p>
        </w:tc>
        <w:tc>
          <w:tcPr>
            <w:tcW w:w="7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9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7"/>
          <w:szCs w:val="17"/>
          <w:color w:val="auto"/>
        </w:rPr>
        <w:t>Bitdeer Technologies Group, a company incorporated under the laws of the Cayman Islands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[_______]</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w:t>
      </w:r>
    </w:p>
    <w:p>
      <w:pPr>
        <w:spacing w:after="0" w:line="185" w:lineRule="auto"/>
        <w:rPr>
          <w:sz w:val="20"/>
          <w:szCs w:val="20"/>
          <w:color w:val="auto"/>
        </w:rPr>
      </w:pPr>
      <w:r>
        <w:rPr>
          <w:rFonts w:ascii="Times New Roman" w:cs="Times New Roman" w:eastAsia="Times New Roman" w:hAnsi="Times New Roman"/>
          <w:sz w:val="18"/>
          <w:szCs w:val="18"/>
          <w:color w:val="auto"/>
        </w:rPr>
        <w:t>or registered assigns, the principal sum [as set forth in the “Schedule of Exchanges of Notes” attached hereto]</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[of $[_______]]</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which amount, taken</w:t>
      </w:r>
    </w:p>
    <w:p>
      <w:pPr>
        <w:jc w:val="both"/>
        <w:spacing w:after="0" w:line="253" w:lineRule="auto"/>
        <w:rPr>
          <w:sz w:val="20"/>
          <w:szCs w:val="20"/>
          <w:color w:val="auto"/>
        </w:rPr>
      </w:pPr>
      <w:r>
        <w:rPr>
          <w:rFonts w:ascii="Times New Roman" w:cs="Times New Roman" w:eastAsia="Times New Roman" w:hAnsi="Times New Roman"/>
          <w:sz w:val="18"/>
          <w:szCs w:val="18"/>
          <w:color w:val="auto"/>
        </w:rPr>
        <w:t>together with the principal amounts of all other outstanding Notes, shall not, unless permitted by the Indenture, exceed $400,000,000 plus up to an additional $60,000,000 principal amount of any additional Notes purchased by the Initial Purchasers pursuant to the exercise of their option to purchase additional Notes as set forth in the Purchase Agreement, in aggregate at any time, in accordance with the rules and the Applicable Procedures of the Depositary, on November 15, 2031, and interest thereon as set forth below.</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Note shall bear interest at the rate of 4.00% per year from November 17, 2025 or from the most recent date to which interest had been paid or duly provided for to, but excluding, the next scheduled Interest Payment Date until November 15, 2031. Interest is payable semi-annually in arrears on each May 15 and November 15, commencing on May 15, 2026, to Holders of record at the close of business on the preceding May 1 or November 1 (whether or</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 such day is 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was or would be payable pursuant to any of such ‎Section 4.06(d) and Section 6.03‎, and any express mention of the payment of Additional Interest in any provision therein shall not be construed as excluding Additional Interest in those provisions thereof where such express mention is not made.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in accordance with ‎Section 2.03(c) of the within-mentioned Indenture.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pay, or cause the Paying Agent to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the Corporate Trust Office, as a place where Notes may be presented for payment or for registration of transfer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78308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9"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a global note.</w:t>
      </w:r>
    </w:p>
    <w:p>
      <w:pPr>
        <w:ind w:left="340" w:hanging="332"/>
        <w:spacing w:after="0" w:line="180" w:lineRule="auto"/>
        <w:tabs>
          <w:tab w:leader="none" w:pos="340" w:val="left"/>
        </w:tabs>
        <w:numPr>
          <w:ilvl w:val="0"/>
          <w:numId w:val="1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global note.</w:t>
      </w:r>
    </w:p>
    <w:p>
      <w:pPr>
        <w:ind w:left="340" w:hanging="332"/>
        <w:spacing w:after="0" w:line="180" w:lineRule="auto"/>
        <w:tabs>
          <w:tab w:leader="none" w:pos="340" w:val="left"/>
        </w:tabs>
        <w:numPr>
          <w:ilvl w:val="0"/>
          <w:numId w:val="1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physical note.</w:t>
      </w:r>
    </w:p>
    <w:p>
      <w:pPr>
        <w:ind w:left="340" w:hanging="332"/>
        <w:spacing w:after="0" w:line="180" w:lineRule="auto"/>
        <w:tabs>
          <w:tab w:leader="none" w:pos="340" w:val="left"/>
        </w:tabs>
        <w:numPr>
          <w:ilvl w:val="0"/>
          <w:numId w:val="1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nclude if a global note.</w:t>
      </w:r>
    </w:p>
    <w:p>
      <w:pPr>
        <w:ind w:left="340" w:hanging="332"/>
        <w:spacing w:after="0" w:line="181" w:lineRule="auto"/>
        <w:tabs>
          <w:tab w:leader="none" w:pos="340" w:val="left"/>
        </w:tabs>
        <w:numPr>
          <w:ilvl w:val="0"/>
          <w:numId w:val="1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 if a physical note.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cash, Class A Ordinary Shares or a combination of cash and Class A Ordinary Shares, as applicable, on the terms and subject to the limitations set forth in the Indenture. Such further provisions shall for all purposes have the same effect as though fully set forth at this place.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BITDEER TECHNOLOGIES GROUP</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color w:val="auto"/>
        </w:rPr>
        <w:t>[FORM OF REVERSE OF NOTE]</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4.00% Convertible Senior Notes due 2031</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4.00% Convertible Senior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to the aggregate principal amount of $400,000,000 plus up to an additional $60,000,000 principal amount of any additional Notes purchased by the Initial Purchasers pursuant to the exercise of their option to purchase additional Notes as set forth in the Purchase Agreement, all issued or to be issued under and pursuant to an Indenture dated as of November 17, 2025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the Company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Indenture, the Company will make all payments and deliveries in respect of the Fundamental Change Repurchase Price on the Fundamental Change Repurchase Date (if applicable), the Specified Repurchase Date Repurchase Price on the Specified Repurchase Date (if applicable), the Redemption Price on any Redemption Date (if applicable) and the principal amount on the Maturity Date, as the case may be, to the Holder who surrenders a Note to a Paying Agent to collect such payments in respect of the Note. The Company shall pay cash amounts in money of the United States that at the time of payment is legal tender for payment of public and private debts.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Indenture, Additional Amounts will be paid in connection with any payments made and deliveries caused to be made by the Company or any successor to the Company under or with respect to the Indenture and the Notes, including, but not limited to, payments of principal (including, if applicable the Redemption Price, the Fundamental Change Repurchase Price and the Specified Repurchase Date Repurchase Price), payments of interest and the payment of cash and/or deliveries of Class A Ordinary Shares (together with payments for any fractional Class A Ordinary Shares) upon conversion of the Notes to ensure that the net amount received by the Holder after any applicable withholding or deduction (and after deducting any taxes on the Additional Amounts) will equal the amount that would have been received by such Holder had no such withholding or deduction been required.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(x) the principal (including the Redemption Price, the Fundamental Change Repurchase Price and the Specified Repurchase Date Repurchase Price, if applicable) of, (y) accrued and unpaid interest, if any, on, and (z) the consideration due upon conversion of, this Note at the place, at the respective times, at the rate and in the lawful money and/or Class A Ordinary Shares, as the case may be, herein prescribed.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are issuable in registered form without coupons in minimum denominations of $1,000 principal amount and integral multiples thereof. At the office or agency of the Company designated by the Company for such purpose under the Indenture,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not redeem the Notes prior to the Maturity Date, except in the event of a Redemption as described in Article 16 of the Indenture. No sinking fund is provided for the Notes.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Specified Repurchase Date and upon the occurrence of a Fundamental Change, the Holder has the right, at such Holder’s option, to require the Company to repurchase for cash all of such Holder’s Notes or any portion thereof (in principal amounts of $1,000 or integral multiples thereof) on the Specified Repurchase Date or the Fundamental Change Repurchase Date, as applicable, at a price equal to the Fundamental Change Repurchase Price or the Specified Repurchase Date Repurchase Price, as applicable.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Class A Ordinary Shares or a combination of cash and Class A Ordinary Shares, as applicable, at the Conversion Rate specified in the Indenture, as adjusted from time to time as provided in the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color w:val="auto"/>
        </w:rPr>
        <w:t>ABBREVIATIONS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Note Custodian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25" w:lineRule="exact"/>
        <w:rPr>
          <w:sz w:val="20"/>
          <w:szCs w:val="20"/>
          <w:color w:val="auto"/>
        </w:rPr>
      </w:pPr>
    </w:p>
    <w:p>
      <w:pPr>
        <w:jc w:val="right"/>
        <w:ind w:right="5460"/>
        <w:spacing w:after="0" w:line="532" w:lineRule="auto"/>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 Additional abbreviations may also be used though not in the above list.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ind w:left="10000"/>
        <w:spacing w:after="0"/>
        <w:rPr>
          <w:sz w:val="20"/>
          <w:szCs w:val="20"/>
          <w:color w:val="auto"/>
        </w:rPr>
      </w:pPr>
      <w:r>
        <w:rPr>
          <w:rFonts w:ascii="Times New Roman" w:cs="Times New Roman" w:eastAsia="Times New Roman" w:hAnsi="Times New Roman"/>
          <w:sz w:val="17"/>
          <w:szCs w:val="17"/>
          <w:b w:val="1"/>
          <w:bCs w:val="1"/>
          <w:color w:val="auto"/>
        </w:rPr>
        <w:t>SCHEDULE A</w:t>
      </w:r>
      <w:r>
        <w:rPr>
          <w:rFonts w:ascii="Times New Roman" w:cs="Times New Roman" w:eastAsia="Times New Roman" w:hAnsi="Times New Roman"/>
          <w:sz w:val="28"/>
          <w:szCs w:val="28"/>
          <w:color w:val="auto"/>
          <w:vertAlign w:val="superscript"/>
        </w:rPr>
        <w:t>6</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4.00% Convertible Senior Notes due 2031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initial principal amount of this Global Note is [___] DOLLARS ($[___]). The following increases or decreases in this Global Note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Amount of</w:t>
            </w:r>
          </w:p>
        </w:tc>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Amount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authorized</w:t>
            </w:r>
          </w:p>
        </w:tc>
      </w:tr>
      <w:tr>
        <w:trPr>
          <w:trHeight w:val="216"/>
        </w:trPr>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decrease in</w:t>
            </w:r>
          </w:p>
        </w:tc>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increase in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signatory of</w:t>
            </w:r>
          </w:p>
        </w:tc>
      </w:tr>
      <w:tr>
        <w:trPr>
          <w:trHeight w:val="216"/>
        </w:trPr>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principal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w:t>
            </w:r>
          </w:p>
        </w:tc>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following</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amount of this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such decrease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w:t>
            </w:r>
          </w:p>
        </w:tc>
      </w:tr>
      <w:tr>
        <w:trPr>
          <w:trHeight w:val="234"/>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of exchange</w:t>
            </w:r>
          </w:p>
        </w:tc>
        <w:tc>
          <w:tcPr>
            <w:tcW w:w="5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Global Note</w:t>
            </w:r>
          </w:p>
        </w:tc>
        <w:tc>
          <w:tcPr>
            <w:tcW w:w="22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Global Note</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2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Custodian</w:t>
            </w: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433"/>
        </w:trPr>
        <w:tc>
          <w:tcPr>
            <w:tcW w:w="2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ind w:left="340" w:hanging="332"/>
        <w:spacing w:after="0" w:line="184" w:lineRule="auto"/>
        <w:tabs>
          <w:tab w:leader="none" w:pos="340" w:val="left"/>
        </w:tabs>
        <w:numPr>
          <w:ilvl w:val="0"/>
          <w:numId w:val="14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 if a global note.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NOTICE OF CONVERSION]</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Bitdeer Technologies Group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+65 62828220</w:t>
      </w:r>
    </w:p>
    <w:p>
      <w:pPr>
        <w:spacing w:after="0" w:line="200" w:lineRule="exact"/>
        <w:rPr>
          <w:sz w:val="20"/>
          <w:szCs w:val="20"/>
          <w:color w:val="auto"/>
        </w:rPr>
      </w:pPr>
    </w:p>
    <w:p>
      <w:pPr>
        <w:sectPr>
          <w:pgSz w:w="11900" w:h="16838" w:orient="portrait"/>
          <w:cols w:equalWidth="0" w:num="2">
            <w:col w:w="240" w:space="420"/>
            <w:col w:w="10580"/>
          </w:cols>
          <w:pgMar w:left="320" w:top="900"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U.S. Bank Trust Company, National Association, as Conversion Agent</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 Angeles, California 90071</w:t>
      </w:r>
    </w:p>
    <w:p>
      <w:pPr>
        <w:sectPr>
          <w:pgSz w:w="11900" w:h="16838" w:orient="portrait"/>
          <w:cols w:equalWidth="0" w:num="1">
            <w:col w:w="11240"/>
          </w:cols>
          <w:pgMar w:left="320" w:top="900" w:right="339" w:bottom="1440" w:gutter="0" w:footer="0" w:header="0"/>
          <w:type w:val="continuous"/>
        </w:sectPr>
      </w:pP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in principal amount or an integral multiple thereof) below designated, into cash, Class A Ordinary Shares or a combination of cash and Class A Ordinary Shares, as applicable, in accordance with the terms of the Indenture referred to in this Note, and directs that any cash payable and any Class A Ordinary Shares issuable and deliverable upon such conversion, together with any cash for any fractional Class A Ordinary Shares, and any Notes representing any unconverted principal amount hereof, be issued and delivered to the registered Holder hereof unless a different name has been indicated below. If any Class A Ordinary Shares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308610</wp:posOffset>
            </wp:positionV>
            <wp:extent cx="249428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17145</wp:posOffset>
            </wp:positionV>
            <wp:extent cx="49206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492061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7171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 eligible Guarantor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Rule 17Ad-15 if Class A Ordinary Shares are to be issued,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Fill in for registration of shares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issued, and Notes if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other than to 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85432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amount to be converted (if less than all): $______,000</w:t>
      </w:r>
    </w:p>
    <w:p>
      <w:pPr>
        <w:spacing w:after="0" w:line="225" w:lineRule="exact"/>
        <w:rPr>
          <w:sz w:val="20"/>
          <w:szCs w:val="20"/>
          <w:color w:val="auto"/>
        </w:rPr>
      </w:pPr>
    </w:p>
    <w:p>
      <w:pPr>
        <w:jc w:val="both"/>
        <w:ind w:left="4500"/>
        <w:spacing w:after="0" w:line="266"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260350</wp:posOffset>
            </wp:positionV>
            <wp:extent cx="42773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39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ATTACHMENT 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FUNDAMENTAL CHANGE REPURCHASE NOTICE]</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Bitdeer Technologies Group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+65 62828220</w:t>
      </w:r>
    </w:p>
    <w:p>
      <w:pPr>
        <w:spacing w:after="0" w:line="200" w:lineRule="exact"/>
        <w:rPr>
          <w:sz w:val="20"/>
          <w:szCs w:val="20"/>
          <w:color w:val="auto"/>
        </w:rPr>
      </w:pPr>
    </w:p>
    <w:p>
      <w:pPr>
        <w:sectPr>
          <w:pgSz w:w="11900" w:h="16838" w:orient="portrait"/>
          <w:cols w:equalWidth="0" w:num="2">
            <w:col w:w="240" w:space="420"/>
            <w:col w:w="10580"/>
          </w:cols>
          <w:pgMar w:left="320" w:top="900"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U.S. Bank Trust Company, National Association, as Paying Agent</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 Angeles, California 90071</w:t>
      </w:r>
    </w:p>
    <w:p>
      <w:pPr>
        <w:sectPr>
          <w:pgSz w:w="11900" w:h="16838" w:orient="portrait"/>
          <w:cols w:equalWidth="0" w:num="1">
            <w:col w:w="11240"/>
          </w:cols>
          <w:pgMar w:left="320" w:top="900" w:right="339" w:bottom="1440" w:gutter="0" w:footer="0" w:header="0"/>
          <w:type w:val="continuous"/>
        </w:sectPr>
      </w:pP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Bitdeer Technologies Group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308610</wp:posOffset>
            </wp:positionV>
            <wp:extent cx="24942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17145</wp:posOffset>
            </wp:positionV>
            <wp:extent cx="228854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291465</wp:posOffset>
            </wp:positionV>
            <wp:extent cx="42773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amount to be repurchased (if less than all): $______,000</w:t>
      </w:r>
    </w:p>
    <w:p>
      <w:pPr>
        <w:spacing w:after="0" w:line="225" w:lineRule="exact"/>
        <w:rPr>
          <w:sz w:val="20"/>
          <w:szCs w:val="20"/>
          <w:color w:val="auto"/>
        </w:rPr>
      </w:pPr>
    </w:p>
    <w:p>
      <w:pPr>
        <w:jc w:val="both"/>
        <w:ind w:left="4500" w:right="40"/>
        <w:spacing w:after="0" w:line="266"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ATTACHMENT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SPECIFIED REPURCHASE DATE REPURCHASE NOTICE]</w:t>
      </w:r>
    </w:p>
    <w:p>
      <w:pPr>
        <w:sectPr>
          <w:pgSz w:w="11900" w:h="16838" w:orient="portrait"/>
          <w:cols w:equalWidth="0" w:num="1">
            <w:col w:w="11240"/>
          </w:cols>
          <w:pgMar w:left="320" w:top="900"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Bitdeer Technologies Group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+65 62828220</w:t>
      </w:r>
    </w:p>
    <w:p>
      <w:pPr>
        <w:spacing w:after="0" w:line="200" w:lineRule="exact"/>
        <w:rPr>
          <w:sz w:val="20"/>
          <w:szCs w:val="20"/>
          <w:color w:val="auto"/>
        </w:rPr>
      </w:pPr>
    </w:p>
    <w:p>
      <w:pPr>
        <w:sectPr>
          <w:pgSz w:w="11900" w:h="16838" w:orient="portrait"/>
          <w:cols w:equalWidth="0" w:num="2">
            <w:col w:w="240" w:space="420"/>
            <w:col w:w="10580"/>
          </w:cols>
          <w:pgMar w:left="320" w:top="900"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U.S. Bank Trust Company, National Association, as Paying Agent</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633 West 5th Street, 24th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 Angeles, California 90071</w:t>
      </w:r>
    </w:p>
    <w:p>
      <w:pPr>
        <w:sectPr>
          <w:pgSz w:w="11900" w:h="16838" w:orient="portrait"/>
          <w:cols w:equalWidth="0" w:num="1">
            <w:col w:w="11240"/>
          </w:cols>
          <w:pgMar w:left="320" w:top="900" w:right="339" w:bottom="1440" w:gutter="0" w:footer="0" w:header="0"/>
          <w:type w:val="continuous"/>
        </w:sectPr>
      </w:pP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Bitdeer Technologies Group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Specified Repurchase Date and specifying the Specified Repurchase Date and requests and instructs the Company to pay to the registered holder hereof in accordance with ‎Section 15.01 of the Indenture referred to in this Note (1) the entire principal amount of this Note, or the portion thereof (that is $1,000 principal amount or an integral multiple thereof) below designated, and (2) if such Specified Repurchase Date does not fall during the period after a Regular Record Date and on or prior to the corresponding Interest Payment Date, accrued and unpaid interest, if any, thereon to, but excluding, such Specified Repurchase Date. Capitalized terms used herein but not defined shall have the meanings ascribed to such terms in the Indenture.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308610</wp:posOffset>
            </wp:positionV>
            <wp:extent cx="249428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17145</wp:posOffset>
            </wp:positionV>
            <wp:extent cx="228854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291465</wp:posOffset>
            </wp:positionV>
            <wp:extent cx="42773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amount to be repurchased (if less than all): $______,000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ATTACHMENT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____________________________ hereby sell(s), assign(s) and transfer(s) unto _________________ (Please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any transfer of the within Note, the undersigned confirms that such Note is being transferred:</w:t>
      </w:r>
    </w:p>
    <w:p>
      <w:pPr>
        <w:spacing w:after="0" w:line="225" w:lineRule="exact"/>
        <w:rPr>
          <w:sz w:val="20"/>
          <w:szCs w:val="20"/>
          <w:color w:val="auto"/>
        </w:rPr>
      </w:pPr>
    </w:p>
    <w:p>
      <w:pPr>
        <w:ind w:left="980" w:hanging="324"/>
        <w:spacing w:after="0"/>
        <w:tabs>
          <w:tab w:leader="none" w:pos="980"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Bitdeer Technologies Group or a subsidiary thereof; or</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or been declared effective under the Securities Act of 1933, as amended; or</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144A under the Securities Act of 1933, as amended; or</w:t>
      </w:r>
    </w:p>
    <w:p>
      <w:pPr>
        <w:spacing w:after="0" w:line="225" w:lineRule="exact"/>
        <w:rPr>
          <w:rFonts w:ascii="MS PGothic" w:cs="MS PGothic" w:eastAsia="MS PGothic" w:hAnsi="MS PGothic"/>
          <w:sz w:val="18"/>
          <w:szCs w:val="18"/>
          <w:color w:val="auto"/>
        </w:rPr>
      </w:pPr>
    </w:p>
    <w:p>
      <w:pPr>
        <w:ind w:left="980" w:hanging="324"/>
        <w:spacing w:after="0" w:line="282" w:lineRule="auto"/>
        <w:tabs>
          <w:tab w:leader="none" w:pos="980"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285432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285432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8890</wp:posOffset>
            </wp:positionV>
            <wp:extent cx="24942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Guarantor Institution (banks,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 savings and loan associations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unions) with membership in an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medallion program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17Ad-15 if Notes are to be delivered,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to and in the name of the registered holder.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 name and address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Bitdeer Technologies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[Dealer]</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[Base][Additional] Capped Call Transaction</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November [ ],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purpose of this communication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set forth the terms and conditions of the above-referenced transaction entered into on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between [_________]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Bitdeer Technologies Group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This communication constitutes a “Confirmation” as referred to in the ISDA Master Agreement specified below.</w:t>
      </w:r>
    </w:p>
    <w:p>
      <w:pPr>
        <w:spacing w:after="0" w:line="171" w:lineRule="exact"/>
        <w:rPr>
          <w:sz w:val="20"/>
          <w:szCs w:val="20"/>
          <w:color w:val="auto"/>
        </w:rPr>
      </w:pPr>
    </w:p>
    <w:p>
      <w:pPr>
        <w:jc w:val="both"/>
        <w:ind w:firstLine="656"/>
        <w:spacing w:after="0" w:line="259" w:lineRule="auto"/>
        <w:tabs>
          <w:tab w:leader="none" w:pos="83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is subject to, and incorporates, the definitions and provisions of the 2006 ISDA Definitions (the “</w:t>
      </w:r>
      <w:r>
        <w:rPr>
          <w:rFonts w:ascii="Times New Roman" w:cs="Times New Roman" w:eastAsia="Times New Roman" w:hAnsi="Times New Roman"/>
          <w:sz w:val="18"/>
          <w:szCs w:val="18"/>
          <w:b w:val="1"/>
          <w:bCs w:val="1"/>
          <w:color w:val="auto"/>
        </w:rPr>
        <w:t>2006 Definitions</w:t>
      </w:r>
      <w:r>
        <w:rPr>
          <w:rFonts w:ascii="Times New Roman" w:cs="Times New Roman" w:eastAsia="Times New Roman" w:hAnsi="Times New Roman"/>
          <w:sz w:val="18"/>
          <w:szCs w:val="18"/>
          <w:color w:val="auto"/>
        </w:rPr>
        <w:t>”) and the definitions and provisions of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and together with the 2006 Definitions, the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in each case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In the event of any inconsistency between the 2006 Definitions and the Equity Definitions, the Equity Definitions will govern and in the event of any inconsistency between terms defined in the Equity Definitions and this Confirmation, this Confirmation shall govern.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the form of the 2002 ISDA Master Agreement as if Dealer and Counterparty had executed an agreement in such form on the Trade Date (but without any Schedule except for (i) the election of the laws of the State of New York as the governing law (without reference to choice of law doctrine), [(ii) the election of an executed guarantee of [__________]</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dated as of the Trade Date in substantially the form attached hereto as Schedule 1 as a Credit Support Document, (iii) the election of Guarantor as Credit Support Provider in relation to Dealer, (iv)] [, (ii)] the election that the “Cross Default” provisions of Section 5(a)(vi) of the Agreement shall apply to Dealer, (a) with a “Threshold Amount” of 3% of the shareholders’ equity of [Dealer] [_________] [(“</w:t>
      </w:r>
      <w:r>
        <w:rPr>
          <w:rFonts w:ascii="Times New Roman" w:cs="Times New Roman" w:eastAsia="Times New Roman" w:hAnsi="Times New Roman"/>
          <w:sz w:val="18"/>
          <w:szCs w:val="18"/>
          <w:b w:val="1"/>
          <w:bCs w:val="1"/>
          <w:color w:val="auto"/>
        </w:rPr>
        <w:t>Dealer Parent</w:t>
      </w:r>
      <w:r>
        <w:rPr>
          <w:rFonts w:ascii="Times New Roman" w:cs="Times New Roman" w:eastAsia="Times New Roman" w:hAnsi="Times New Roman"/>
          <w:sz w:val="18"/>
          <w:szCs w:val="18"/>
          <w:color w:val="auto"/>
        </w:rPr>
        <w:t>”)] on the Trade Date,</w:t>
      </w:r>
    </w:p>
    <w:p>
      <w:pPr>
        <w:spacing w:after="0" w:line="1" w:lineRule="exact"/>
        <w:rPr>
          <w:sz w:val="20"/>
          <w:szCs w:val="20"/>
          <w:color w:val="auto"/>
        </w:rPr>
      </w:pPr>
    </w:p>
    <w:p>
      <w:pPr>
        <w:jc w:val="both"/>
        <w:ind w:firstLine="8"/>
        <w:spacing w:after="0" w:line="252" w:lineRule="auto"/>
        <w:tabs>
          <w:tab w:leader="none" w:pos="27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Indebtedness” having the meaning set forth in Section 14 of the Agreement, except that it shall not include any obligation in respect of deposits received in the ordinary course of Dealer’s banking business, (c) the phrase “, or becoming capable at such time of being declared,” being deleted from clause (1) of such Section 5(a)(vi) of the Agreement, and (d) the following sentence being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relevant party to make payment when due; and (iii) the payment is made within two Local Business Days of such party’s receipt of written notice of its failure to pay.”) and [(v)][(iii)] the “Default Under Specified Transaction” provision of Section 5(a)(v) of the Agreement shall not apply to Counterparty on the Trade Date.</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ind w:right="20" w:firstLine="656"/>
        <w:spacing w:after="0" w:line="282" w:lineRule="auto"/>
        <w:tabs>
          <w:tab w:leader="none" w:pos="83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Share Option Transaction for purposes of the Equity Definitions. The terms of the particular Transaction to which this Confirmation relates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General Terms:</w:t>
            </w:r>
          </w:p>
        </w:tc>
        <w:tc>
          <w:tcPr>
            <w:tcW w:w="8380" w:type="dxa"/>
            <w:vAlign w:val="bottom"/>
          </w:tcPr>
          <w:p>
            <w:pPr>
              <w:spacing w:after="0"/>
              <w:rPr>
                <w:sz w:val="20"/>
                <w:szCs w:val="20"/>
                <w:color w:val="auto"/>
              </w:rPr>
            </w:pP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Date:</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November [__], 2025</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Effective Date:</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November [__], 2025, or such other date as agreed by the parties in writing.</w:t>
            </w:r>
          </w:p>
        </w:tc>
      </w:tr>
      <w:tr>
        <w:trPr>
          <w:trHeight w:val="414"/>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Components:</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Transaction will be divided into individual Components, each with the terms set forth in this</w:t>
            </w:r>
          </w:p>
        </w:tc>
      </w:tr>
      <w:tr>
        <w:trPr>
          <w:trHeight w:val="216"/>
        </w:trPr>
        <w:tc>
          <w:tcPr>
            <w:tcW w:w="2860" w:type="dxa"/>
            <w:vAlign w:val="bottom"/>
          </w:tcPr>
          <w:p>
            <w:pPr>
              <w:spacing w:after="0"/>
              <w:rPr>
                <w:sz w:val="18"/>
                <w:szCs w:val="18"/>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Confirmation, and, in particular, with the Number of Options and Expiration Date set forth in Annex A to</w:t>
            </w:r>
          </w:p>
        </w:tc>
      </w:tr>
      <w:tr>
        <w:trPr>
          <w:trHeight w:val="216"/>
        </w:trPr>
        <w:tc>
          <w:tcPr>
            <w:tcW w:w="2860" w:type="dxa"/>
            <w:vAlign w:val="bottom"/>
          </w:tcPr>
          <w:p>
            <w:pPr>
              <w:spacing w:after="0"/>
              <w:rPr>
                <w:sz w:val="18"/>
                <w:szCs w:val="18"/>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this Confirmation. The exercise, valuation and settlement of the Transaction will be effected separately</w:t>
            </w:r>
          </w:p>
        </w:tc>
      </w:tr>
      <w:tr>
        <w:trPr>
          <w:trHeight w:val="234"/>
        </w:trPr>
        <w:tc>
          <w:tcPr>
            <w:tcW w:w="2860" w:type="dxa"/>
            <w:vAlign w:val="bottom"/>
          </w:tcPr>
          <w:p>
            <w:pPr>
              <w:spacing w:after="0"/>
              <w:rPr>
                <w:sz w:val="20"/>
                <w:szCs w:val="20"/>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 each Component as if each Component were a separate Transaction under the Agreement.</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Option Style:</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“European”, as described under “Procedures for Exercise” below.</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Option Type:</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Call</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Seller:</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Dealer</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Buyer:</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Counterparty</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Class A ordinary shares, par value USD 0.0000001 per share, of Counterparty (Symbol: “BTDR”).</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Number of Options:</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 each Component, as provided in Annex A to this Confirmation.</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Option Entitlement:</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One Share per Option</w:t>
            </w:r>
          </w:p>
        </w:tc>
      </w:tr>
      <w:tr>
        <w:trPr>
          <w:trHeight w:val="432"/>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Strike Price:</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USD 17.7735</w:t>
            </w:r>
          </w:p>
        </w:tc>
      </w:tr>
      <w:tr>
        <w:trPr>
          <w:trHeight w:val="414"/>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Cap Price:</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xml:space="preserve">USD 27.8800;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reduced to an amount less than the Strike</w:t>
            </w:r>
          </w:p>
        </w:tc>
      </w:tr>
      <w:tr>
        <w:trPr>
          <w:trHeight w:val="234"/>
        </w:trPr>
        <w:tc>
          <w:tcPr>
            <w:tcW w:w="2860" w:type="dxa"/>
            <w:vAlign w:val="bottom"/>
          </w:tcPr>
          <w:p>
            <w:pPr>
              <w:spacing w:after="0"/>
              <w:rPr>
                <w:sz w:val="20"/>
                <w:szCs w:val="20"/>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Price in connection with any adjustment by the Calculation Agent under this Confirmation.</w:t>
            </w:r>
          </w:p>
        </w:tc>
      </w:tr>
      <w:tr>
        <w:trPr>
          <w:trHeight w:val="414"/>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Number of Shares:</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As of any date, a number of Shares equal to the product of (i) the Number of Options and (ii) the Option</w:t>
            </w:r>
          </w:p>
        </w:tc>
      </w:tr>
      <w:tr>
        <w:trPr>
          <w:trHeight w:val="234"/>
        </w:trPr>
        <w:tc>
          <w:tcPr>
            <w:tcW w:w="2860" w:type="dxa"/>
            <w:vAlign w:val="bottom"/>
          </w:tcPr>
          <w:p>
            <w:pPr>
              <w:spacing w:after="0"/>
              <w:rPr>
                <w:sz w:val="20"/>
                <w:szCs w:val="20"/>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Entitlement.</w:t>
            </w:r>
          </w:p>
        </w:tc>
      </w:tr>
      <w:tr>
        <w:trPr>
          <w:trHeight w:val="414"/>
        </w:trPr>
        <w:tc>
          <w:tcPr>
            <w:tcW w:w="2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Premium:</w:t>
            </w: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USD [_____]; Dealer and Counterparty hereby agree that notwithstanding anything to the contrary herein</w:t>
            </w:r>
          </w:p>
        </w:tc>
      </w:tr>
      <w:tr>
        <w:trPr>
          <w:trHeight w:val="216"/>
        </w:trPr>
        <w:tc>
          <w:tcPr>
            <w:tcW w:w="2860" w:type="dxa"/>
            <w:vAlign w:val="bottom"/>
          </w:tcPr>
          <w:p>
            <w:pPr>
              <w:spacing w:after="0"/>
              <w:rPr>
                <w:sz w:val="18"/>
                <w:szCs w:val="18"/>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or in the Agreement, following the payment of the Premium, in the event that (a) an Early Termination</w:t>
            </w:r>
          </w:p>
        </w:tc>
      </w:tr>
      <w:tr>
        <w:trPr>
          <w:trHeight w:val="216"/>
        </w:trPr>
        <w:tc>
          <w:tcPr>
            <w:tcW w:w="2860" w:type="dxa"/>
            <w:vAlign w:val="bottom"/>
          </w:tcPr>
          <w:p>
            <w:pPr>
              <w:spacing w:after="0"/>
              <w:rPr>
                <w:sz w:val="18"/>
                <w:szCs w:val="18"/>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Date (whether as a result of an Event of Default or a Termination Event) (other than an Event of Default</w:t>
            </w:r>
          </w:p>
        </w:tc>
      </w:tr>
      <w:tr>
        <w:trPr>
          <w:trHeight w:val="216"/>
        </w:trPr>
        <w:tc>
          <w:tcPr>
            <w:tcW w:w="2860" w:type="dxa"/>
            <w:vAlign w:val="bottom"/>
          </w:tcPr>
          <w:p>
            <w:pPr>
              <w:spacing w:after="0"/>
              <w:rPr>
                <w:sz w:val="18"/>
                <w:szCs w:val="18"/>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arising under Section 5(a)(ii) or 5(a)(iv) of the Agreement that is within Counterparty’s control) occurs or</w:t>
            </w:r>
          </w:p>
        </w:tc>
      </w:tr>
      <w:tr>
        <w:trPr>
          <w:trHeight w:val="216"/>
        </w:trPr>
        <w:tc>
          <w:tcPr>
            <w:tcW w:w="2860" w:type="dxa"/>
            <w:vAlign w:val="bottom"/>
          </w:tcPr>
          <w:p>
            <w:pPr>
              <w:spacing w:after="0"/>
              <w:rPr>
                <w:sz w:val="18"/>
                <w:szCs w:val="18"/>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is designated with respect to any Transaction and, as a result, Counterparty owes to Dealer the amount</w:t>
            </w:r>
          </w:p>
        </w:tc>
      </w:tr>
      <w:tr>
        <w:trPr>
          <w:trHeight w:val="216"/>
        </w:trPr>
        <w:tc>
          <w:tcPr>
            <w:tcW w:w="2860" w:type="dxa"/>
            <w:vAlign w:val="bottom"/>
          </w:tcPr>
          <w:p>
            <w:pPr>
              <w:spacing w:after="0"/>
              <w:rPr>
                <w:sz w:val="18"/>
                <w:szCs w:val="18"/>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calculated under Section 6(d) and Section 6(e) or otherwise under the Agreement  or (b) Counterparty</w:t>
            </w:r>
          </w:p>
        </w:tc>
      </w:tr>
      <w:tr>
        <w:trPr>
          <w:trHeight w:val="216"/>
        </w:trPr>
        <w:tc>
          <w:tcPr>
            <w:tcW w:w="2860" w:type="dxa"/>
            <w:vAlign w:val="bottom"/>
          </w:tcPr>
          <w:p>
            <w:pPr>
              <w:spacing w:after="0"/>
              <w:rPr>
                <w:sz w:val="18"/>
                <w:szCs w:val="18"/>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owes to Dealer, pursuant to Sections 12.2, 12.3, 12.6, 12.7, 12.8 or 12.9 of the Equity Definitions or</w:t>
            </w:r>
          </w:p>
        </w:tc>
      </w:tr>
      <w:tr>
        <w:trPr>
          <w:trHeight w:val="216"/>
        </w:trPr>
        <w:tc>
          <w:tcPr>
            <w:tcW w:w="2860" w:type="dxa"/>
            <w:vAlign w:val="bottom"/>
          </w:tcPr>
          <w:p>
            <w:pPr>
              <w:spacing w:after="0"/>
              <w:rPr>
                <w:sz w:val="18"/>
                <w:szCs w:val="18"/>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otherwise under the Equity Definitions, an amount calculated under Section 12.8 of the Equity</w:t>
            </w:r>
          </w:p>
        </w:tc>
      </w:tr>
      <w:tr>
        <w:trPr>
          <w:trHeight w:val="234"/>
        </w:trPr>
        <w:tc>
          <w:tcPr>
            <w:tcW w:w="2860" w:type="dxa"/>
            <w:vAlign w:val="bottom"/>
          </w:tcPr>
          <w:p>
            <w:pPr>
              <w:spacing w:after="0"/>
              <w:rPr>
                <w:sz w:val="20"/>
                <w:szCs w:val="20"/>
                <w:color w:val="auto"/>
              </w:rPr>
            </w:pPr>
          </w:p>
        </w:tc>
        <w:tc>
          <w:tcPr>
            <w:tcW w:w="8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Definitions, such amount shall be deemed to be zero.</w:t>
            </w:r>
          </w:p>
        </w:tc>
      </w:tr>
      <w:tr>
        <w:trPr>
          <w:trHeight w:val="682"/>
        </w:trPr>
        <w:tc>
          <w:tcPr>
            <w:tcW w:w="286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4" w:right="33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Premium Payment Date:</w:t>
            </w: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The Effective Date</w:t>
            </w:r>
          </w:p>
        </w:tc>
      </w:tr>
      <w:tr>
        <w:trPr>
          <w:trHeight w:val="432"/>
        </w:trPr>
        <w:tc>
          <w:tcPr>
            <w:tcW w:w="3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Exchange:</w:t>
            </w: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414"/>
        </w:trPr>
        <w:tc>
          <w:tcPr>
            <w:tcW w:w="3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Related Exchange:</w:t>
            </w: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xml:space="preserve">All Exchanges;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1.26 of the Equity Definitions shall be amended to add the words</w:t>
            </w:r>
          </w:p>
        </w:tc>
      </w:tr>
      <w:tr>
        <w:trPr>
          <w:trHeight w:val="234"/>
        </w:trPr>
        <w:tc>
          <w:tcPr>
            <w:tcW w:w="3020" w:type="dxa"/>
            <w:vAlign w:val="bottom"/>
          </w:tcPr>
          <w:p>
            <w:pPr>
              <w:spacing w:after="0"/>
              <w:rPr>
                <w:sz w:val="20"/>
                <w:szCs w:val="20"/>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“United States” before the word “exchange” in the tenth line of such Section.</w:t>
            </w:r>
          </w:p>
        </w:tc>
      </w:tr>
      <w:tr>
        <w:trPr>
          <w:trHeight w:val="432"/>
        </w:trPr>
        <w:tc>
          <w:tcPr>
            <w:tcW w:w="3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Procedures for Exercise:</w:t>
            </w:r>
          </w:p>
        </w:tc>
        <w:tc>
          <w:tcPr>
            <w:tcW w:w="3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32"/>
        </w:trPr>
        <w:tc>
          <w:tcPr>
            <w:tcW w:w="3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Expiration Time:</w:t>
            </w: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The Valuation Time</w:t>
            </w:r>
          </w:p>
        </w:tc>
      </w:tr>
      <w:tr>
        <w:trPr>
          <w:trHeight w:val="392"/>
        </w:trPr>
        <w:tc>
          <w:tcPr>
            <w:tcW w:w="3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Expiration Date:</w:t>
            </w: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 any Component, as provided in Annex A to this Confirmation (or, if such date is not a Scheduled</w:t>
            </w:r>
          </w:p>
        </w:tc>
      </w:tr>
      <w:tr>
        <w:trPr>
          <w:trHeight w:val="20"/>
        </w:trPr>
        <w:tc>
          <w:tcPr>
            <w:tcW w:w="30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Valid Day, the next following Scheduled Valid Day that is not already an Expiration Date for another</w:t>
            </w:r>
          </w:p>
        </w:tc>
      </w:tr>
      <w:tr>
        <w:trPr>
          <w:trHeight w:val="218"/>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xml:space="preserve">Component);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that date is a Disrupted Day, the Expiration Date for such Component shall</w:t>
            </w:r>
          </w:p>
        </w:tc>
      </w:tr>
      <w:tr>
        <w:trPr>
          <w:trHeight w:val="214"/>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be the first succeeding Scheduled Valid Day that is not a Disrupted Day and is not or is not deemed to be</w:t>
            </w:r>
          </w:p>
        </w:tc>
      </w:tr>
      <w:tr>
        <w:trPr>
          <w:trHeight w:val="218"/>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99"/>
              </w:rPr>
              <w:t xml:space="preserve">an Expiration Date in respect of any other Component of the Transaction hereunder; and </w:t>
            </w:r>
            <w:r>
              <w:rPr>
                <w:rFonts w:ascii="Times New Roman" w:cs="Times New Roman" w:eastAsia="Times New Roman" w:hAnsi="Times New Roman"/>
                <w:sz w:val="18"/>
                <w:szCs w:val="18"/>
                <w:i w:val="1"/>
                <w:iCs w:val="1"/>
                <w:color w:val="auto"/>
                <w:w w:val="99"/>
              </w:rPr>
              <w:t>provided further</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that in no event shall the Expiration Date be postponed to a date later than the Final Termination Date</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and, notwithstanding anything to the contrary in this Confirmation or the Equity Definitions, if the</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Expiration Date occurring on the Final Termination Date is a Disrupted Day, the Relevant Price for such</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Expiration Date shall be the prevailing market value per Share determined by the Calculation Agent in a</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good faith and commercially reasonable manner. Notwithstanding the foregoing and anything to the</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contrary in the Equity Definitions, if a Market Disruption Event occurs on any Expiration Date, the</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Calculation Agent may determine in a good faith and commercially reasonable manner that such</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Expiration Date is a Disrupted Day only in part, in which case the Calculation Agent shall make</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commercially reasonable adjustments to the Number of Options for the relevant Component for which</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such day shall be the Expiration Date, shall designate the Scheduled Valid Day determined in the manner</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described in the immediately preceding sentence as the Expiration Date for the remaining Options for</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such Component and may determine the Relevant Price based on transactions in the Shares on such</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Disrupted Day taking into account the nature and duration of such Market Disruption Event on such day.</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Any Scheduled Valid Day on which, as of the date hereof, the Exchange is scheduled to close prior to its</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normal close of trading shall be deemed not to be a Scheduled Valid Day; if a closure of the Exchange</w:t>
            </w:r>
          </w:p>
        </w:tc>
      </w:tr>
      <w:tr>
        <w:trPr>
          <w:trHeight w:val="212"/>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prior to its normal close of trading on any Scheduled Valid Day is scheduled following the date hereof,</w:t>
            </w:r>
          </w:p>
        </w:tc>
      </w:tr>
      <w:tr>
        <w:trPr>
          <w:trHeight w:val="220"/>
        </w:trPr>
        <w:tc>
          <w:tcPr>
            <w:tcW w:w="3020" w:type="dxa"/>
            <w:vAlign w:val="bottom"/>
          </w:tcPr>
          <w:p>
            <w:pPr>
              <w:spacing w:after="0"/>
              <w:rPr>
                <w:sz w:val="19"/>
                <w:szCs w:val="19"/>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then such Scheduled Valid Day shall be deemed to be a Disrupted Day in full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Section 6.6 of the Equity</w:t>
            </w:r>
          </w:p>
        </w:tc>
      </w:tr>
      <w:tr>
        <w:trPr>
          <w:trHeight w:val="234"/>
        </w:trPr>
        <w:tc>
          <w:tcPr>
            <w:tcW w:w="3020" w:type="dxa"/>
            <w:vAlign w:val="bottom"/>
          </w:tcPr>
          <w:p>
            <w:pPr>
              <w:spacing w:after="0"/>
              <w:rPr>
                <w:sz w:val="20"/>
                <w:szCs w:val="20"/>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Definitions shall not apply to any Valuation Date occurring on an Expiration Date.</w:t>
            </w:r>
          </w:p>
        </w:tc>
      </w:tr>
      <w:tr>
        <w:trPr>
          <w:trHeight w:val="432"/>
        </w:trPr>
        <w:tc>
          <w:tcPr>
            <w:tcW w:w="3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Final Termination Date:</w:t>
            </w:r>
          </w:p>
        </w:tc>
        <w:tc>
          <w:tcPr>
            <w:tcW w:w="3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[_____________]</w:t>
            </w:r>
          </w:p>
        </w:tc>
        <w:tc>
          <w:tcPr>
            <w:tcW w:w="66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14"/>
        </w:trPr>
        <w:tc>
          <w:tcPr>
            <w:tcW w:w="3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Automatic Exercise:</w:t>
            </w: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Applicable; and means that the Number of Options for the relevant Component will be deemed to be</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automatically exercised at the Expiration Time on the Expiration Date for such Component if at such</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time such Component is In-the-Money, unless Buyer notifies Seller (in writing) prior to the Expiration</w:t>
            </w:r>
          </w:p>
        </w:tc>
      </w:tr>
      <w:tr>
        <w:trPr>
          <w:trHeight w:val="212"/>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Time on such Expiration Date that it does not wish Automatic Exercise to occur with respect to such</w:t>
            </w:r>
          </w:p>
        </w:tc>
      </w:tr>
      <w:tr>
        <w:trPr>
          <w:trHeight w:val="216"/>
        </w:trPr>
        <w:tc>
          <w:tcPr>
            <w:tcW w:w="3020" w:type="dxa"/>
            <w:vAlign w:val="bottom"/>
          </w:tcPr>
          <w:p>
            <w:pPr>
              <w:spacing w:after="0"/>
              <w:rPr>
                <w:sz w:val="18"/>
                <w:szCs w:val="18"/>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Component, in which case Automatic Exercise will not apply with respect to such Component. “</w:t>
            </w:r>
            <w:r>
              <w:rPr>
                <w:rFonts w:ascii="Times New Roman" w:cs="Times New Roman" w:eastAsia="Times New Roman" w:hAnsi="Times New Roman"/>
                <w:sz w:val="18"/>
                <w:szCs w:val="18"/>
                <w:b w:val="1"/>
                <w:bCs w:val="1"/>
                <w:color w:val="auto"/>
              </w:rPr>
              <w:t>In-the-</w:t>
            </w:r>
          </w:p>
        </w:tc>
      </w:tr>
      <w:tr>
        <w:trPr>
          <w:trHeight w:val="220"/>
        </w:trPr>
        <w:tc>
          <w:tcPr>
            <w:tcW w:w="3020" w:type="dxa"/>
            <w:vAlign w:val="bottom"/>
          </w:tcPr>
          <w:p>
            <w:pPr>
              <w:spacing w:after="0"/>
              <w:rPr>
                <w:sz w:val="19"/>
                <w:szCs w:val="19"/>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means, in respect of any Component, that the Relevant Price on the Expiration Date for such</w:t>
            </w:r>
          </w:p>
        </w:tc>
      </w:tr>
      <w:tr>
        <w:trPr>
          <w:trHeight w:val="234"/>
        </w:trPr>
        <w:tc>
          <w:tcPr>
            <w:tcW w:w="3020" w:type="dxa"/>
            <w:vAlign w:val="bottom"/>
          </w:tcPr>
          <w:p>
            <w:pPr>
              <w:spacing w:after="0"/>
              <w:rPr>
                <w:sz w:val="20"/>
                <w:szCs w:val="20"/>
                <w:color w:val="auto"/>
              </w:rPr>
            </w:pPr>
          </w:p>
        </w:tc>
        <w:tc>
          <w:tcPr>
            <w:tcW w:w="8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Component is greater than the Strike Price for such Component.</w:t>
            </w:r>
          </w:p>
        </w:tc>
      </w:tr>
      <w:tr>
        <w:trPr>
          <w:trHeight w:val="682"/>
        </w:trPr>
        <w:tc>
          <w:tcPr>
            <w:tcW w:w="30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Valuation Time:</w:t>
            </w: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At 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w:t>
            </w:r>
          </w:p>
        </w:tc>
      </w:tr>
      <w:tr>
        <w:trPr>
          <w:trHeight w:val="216"/>
        </w:trPr>
        <w:tc>
          <w:tcPr>
            <w:tcW w:w="3360" w:type="dxa"/>
            <w:vAlign w:val="bottom"/>
          </w:tcPr>
          <w:p>
            <w:pPr>
              <w:spacing w:after="0"/>
              <w:rPr>
                <w:sz w:val="18"/>
                <w:szCs w:val="18"/>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session is extended, the Calculation Agent shall determine the Valuation Time in a good faith and</w:t>
            </w:r>
          </w:p>
        </w:tc>
      </w:tr>
      <w:tr>
        <w:trPr>
          <w:trHeight w:val="234"/>
        </w:trPr>
        <w:tc>
          <w:tcPr>
            <w:tcW w:w="336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commercially reasonable manner.</w:t>
            </w:r>
          </w:p>
        </w:tc>
      </w:tr>
      <w:tr>
        <w:trPr>
          <w:trHeight w:val="432"/>
        </w:trPr>
        <w:tc>
          <w:tcPr>
            <w:tcW w:w="3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Valuation Date:</w:t>
            </w: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any Component, the Expiration Date therefor.</w:t>
            </w:r>
          </w:p>
        </w:tc>
      </w:tr>
      <w:tr>
        <w:trPr>
          <w:trHeight w:val="414"/>
        </w:trPr>
        <w:tc>
          <w:tcPr>
            <w:tcW w:w="3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Market Disruption Event:</w:t>
            </w: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6.3(a) of the Equity Definitions is hereby amended by deleting the words “during the one hour</w:t>
            </w:r>
          </w:p>
        </w:tc>
      </w:tr>
      <w:tr>
        <w:trPr>
          <w:trHeight w:val="216"/>
        </w:trPr>
        <w:tc>
          <w:tcPr>
            <w:tcW w:w="3360" w:type="dxa"/>
            <w:vAlign w:val="bottom"/>
          </w:tcPr>
          <w:p>
            <w:pPr>
              <w:spacing w:after="0"/>
              <w:rPr>
                <w:sz w:val="18"/>
                <w:szCs w:val="18"/>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period that ends at the relevant Valuation Time, Latest Exercise Time, Knock-in Valuation Time or</w:t>
            </w:r>
          </w:p>
        </w:tc>
      </w:tr>
      <w:tr>
        <w:trPr>
          <w:trHeight w:val="234"/>
        </w:trPr>
        <w:tc>
          <w:tcPr>
            <w:tcW w:w="336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Knock-out Valuation Time, as the case may be,” in clause (ii) thereof.</w:t>
            </w:r>
          </w:p>
        </w:tc>
      </w:tr>
      <w:tr>
        <w:trPr>
          <w:trHeight w:val="414"/>
        </w:trPr>
        <w:tc>
          <w:tcPr>
            <w:tcW w:w="336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w:t>
            </w:r>
          </w:p>
        </w:tc>
      </w:tr>
      <w:tr>
        <w:trPr>
          <w:trHeight w:val="234"/>
        </w:trPr>
        <w:tc>
          <w:tcPr>
            <w:tcW w:w="336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following the term “Scheduled Closing Time” in the fourth line thereof.</w:t>
            </w:r>
          </w:p>
        </w:tc>
      </w:tr>
      <w:tr>
        <w:trPr>
          <w:trHeight w:val="432"/>
        </w:trPr>
        <w:tc>
          <w:tcPr>
            <w:tcW w:w="3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Terms:</w:t>
            </w:r>
          </w:p>
        </w:tc>
        <w:tc>
          <w:tcPr>
            <w:tcW w:w="7880" w:type="dxa"/>
            <w:vAlign w:val="bottom"/>
          </w:tcPr>
          <w:p>
            <w:pPr>
              <w:spacing w:after="0"/>
              <w:rPr>
                <w:sz w:val="24"/>
                <w:szCs w:val="24"/>
                <w:color w:val="auto"/>
              </w:rPr>
            </w:pPr>
          </w:p>
        </w:tc>
      </w:tr>
      <w:tr>
        <w:trPr>
          <w:trHeight w:val="414"/>
        </w:trPr>
        <w:tc>
          <w:tcPr>
            <w:tcW w:w="3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Method Election:</w:t>
            </w: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Section 7.1 of the Equity Definitions is hereby amended by replacing the</w:t>
            </w:r>
          </w:p>
        </w:tc>
      </w:tr>
      <w:tr>
        <w:trPr>
          <w:trHeight w:val="216"/>
        </w:trPr>
        <w:tc>
          <w:tcPr>
            <w:tcW w:w="3360" w:type="dxa"/>
            <w:vAlign w:val="bottom"/>
          </w:tcPr>
          <w:p>
            <w:pPr>
              <w:spacing w:after="0"/>
              <w:rPr>
                <w:sz w:val="18"/>
                <w:szCs w:val="18"/>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  “Physical  Settlement”  with  the  term  “Net  Share  Settlement  or  Combination  Settlement”,</w:t>
            </w:r>
          </w:p>
        </w:tc>
      </w:tr>
      <w:tr>
        <w:trPr>
          <w:trHeight w:val="216"/>
        </w:trPr>
        <w:tc>
          <w:tcPr>
            <w:tcW w:w="3360" w:type="dxa"/>
            <w:vAlign w:val="bottom"/>
          </w:tcPr>
          <w:p>
            <w:pPr>
              <w:spacing w:after="0"/>
              <w:rPr>
                <w:sz w:val="18"/>
                <w:szCs w:val="18"/>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 Counterparty must make a single irrevocable election for all Components and (c) if Counterparty is</w:t>
            </w:r>
          </w:p>
        </w:tc>
      </w:tr>
      <w:tr>
        <w:trPr>
          <w:trHeight w:val="216"/>
        </w:trPr>
        <w:tc>
          <w:tcPr>
            <w:tcW w:w="3360" w:type="dxa"/>
            <w:vAlign w:val="bottom"/>
          </w:tcPr>
          <w:p>
            <w:pPr>
              <w:spacing w:after="0"/>
              <w:rPr>
                <w:sz w:val="18"/>
                <w:szCs w:val="18"/>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electing Cash Settlement or Combination Settlement, such Settlement Method Election will be effective</w:t>
            </w:r>
          </w:p>
        </w:tc>
      </w:tr>
      <w:tr>
        <w:trPr>
          <w:trHeight w:val="216"/>
        </w:trPr>
        <w:tc>
          <w:tcPr>
            <w:tcW w:w="3360" w:type="dxa"/>
            <w:vAlign w:val="bottom"/>
          </w:tcPr>
          <w:p>
            <w:pPr>
              <w:spacing w:after="0"/>
              <w:rPr>
                <w:sz w:val="18"/>
                <w:szCs w:val="18"/>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only if Counterparty represents and warrants to Dealer in writing on the date of such Settlement Method</w:t>
            </w:r>
          </w:p>
        </w:tc>
      </w:tr>
      <w:tr>
        <w:trPr>
          <w:trHeight w:val="216"/>
        </w:trPr>
        <w:tc>
          <w:tcPr>
            <w:tcW w:w="3360" w:type="dxa"/>
            <w:vAlign w:val="bottom"/>
          </w:tcPr>
          <w:p>
            <w:pPr>
              <w:spacing w:after="0"/>
              <w:rPr>
                <w:sz w:val="18"/>
                <w:szCs w:val="18"/>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Election that (i) Counterparty is not in possession of any material non-public information regarding</w:t>
            </w:r>
          </w:p>
        </w:tc>
      </w:tr>
      <w:tr>
        <w:trPr>
          <w:trHeight w:val="216"/>
        </w:trPr>
        <w:tc>
          <w:tcPr>
            <w:tcW w:w="3360" w:type="dxa"/>
            <w:vAlign w:val="bottom"/>
          </w:tcPr>
          <w:p>
            <w:pPr>
              <w:spacing w:after="0"/>
              <w:rPr>
                <w:sz w:val="18"/>
                <w:szCs w:val="18"/>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Counterparty or the Shares, and (ii) such election is being made in good faith and not as part of a plan or</w:t>
            </w:r>
          </w:p>
        </w:tc>
      </w:tr>
      <w:tr>
        <w:trPr>
          <w:trHeight w:val="234"/>
        </w:trPr>
        <w:tc>
          <w:tcPr>
            <w:tcW w:w="336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scheme to evade compliance with the federal securities laws.</w:t>
            </w:r>
          </w:p>
        </w:tc>
      </w:tr>
      <w:tr>
        <w:trPr>
          <w:trHeight w:val="410"/>
        </w:trPr>
        <w:tc>
          <w:tcPr>
            <w:tcW w:w="336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If Counterparty is electing Combination Settlement, Counterparty shall also specify a specified dollar</w:t>
            </w:r>
          </w:p>
        </w:tc>
      </w:tr>
      <w:tr>
        <w:trPr>
          <w:trHeight w:val="238"/>
        </w:trPr>
        <w:tc>
          <w:tcPr>
            <w:tcW w:w="336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amount (the “</w:t>
            </w:r>
            <w:r>
              <w:rPr>
                <w:rFonts w:ascii="Times New Roman" w:cs="Times New Roman" w:eastAsia="Times New Roman" w:hAnsi="Times New Roman"/>
                <w:sz w:val="18"/>
                <w:szCs w:val="18"/>
                <w:b w:val="1"/>
                <w:bCs w:val="1"/>
                <w:color w:val="auto"/>
              </w:rPr>
              <w:t>Specified Cash Amount</w:t>
            </w:r>
            <w:r>
              <w:rPr>
                <w:rFonts w:ascii="Times New Roman" w:cs="Times New Roman" w:eastAsia="Times New Roman" w:hAnsi="Times New Roman"/>
                <w:sz w:val="18"/>
                <w:szCs w:val="18"/>
                <w:color w:val="auto"/>
              </w:rPr>
              <w:t>”) in the notice specifying its election of Combination Settlement.</w:t>
            </w:r>
          </w:p>
        </w:tc>
      </w:tr>
      <w:tr>
        <w:trPr>
          <w:trHeight w:val="414"/>
        </w:trPr>
        <w:tc>
          <w:tcPr>
            <w:tcW w:w="336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Without limiting the generality of the foregoing, Counterparty acknowledges its responsibilities under</w:t>
            </w:r>
          </w:p>
        </w:tc>
      </w:tr>
      <w:tr>
        <w:trPr>
          <w:trHeight w:val="212"/>
        </w:trPr>
        <w:tc>
          <w:tcPr>
            <w:tcW w:w="3360" w:type="dxa"/>
            <w:vAlign w:val="bottom"/>
          </w:tcPr>
          <w:p>
            <w:pPr>
              <w:spacing w:after="0"/>
              <w:rPr>
                <w:sz w:val="18"/>
                <w:szCs w:val="18"/>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applicable securities laws, and in particular Sections 9 and 10(b) of the Securities Exchange Act of 1934,</w:t>
            </w:r>
          </w:p>
        </w:tc>
      </w:tr>
      <w:tr>
        <w:trPr>
          <w:trHeight w:val="220"/>
        </w:trPr>
        <w:tc>
          <w:tcPr>
            <w:tcW w:w="3360" w:type="dxa"/>
            <w:vAlign w:val="bottom"/>
          </w:tcPr>
          <w:p>
            <w:pPr>
              <w:spacing w:after="0"/>
              <w:rPr>
                <w:sz w:val="19"/>
                <w:szCs w:val="19"/>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promulgated thereunder in respect of</w:t>
            </w:r>
          </w:p>
        </w:tc>
      </w:tr>
      <w:tr>
        <w:trPr>
          <w:trHeight w:val="234"/>
        </w:trPr>
        <w:tc>
          <w:tcPr>
            <w:tcW w:w="336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such election.</w:t>
            </w:r>
          </w:p>
        </w:tc>
      </w:tr>
      <w:tr>
        <w:trPr>
          <w:trHeight w:val="432"/>
        </w:trPr>
        <w:tc>
          <w:tcPr>
            <w:tcW w:w="3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Electing Party:</w:t>
            </w: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Counterparty</w:t>
            </w:r>
          </w:p>
        </w:tc>
      </w:tr>
      <w:tr>
        <w:trPr>
          <w:trHeight w:val="414"/>
        </w:trPr>
        <w:tc>
          <w:tcPr>
            <w:tcW w:w="3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Method Election Date:</w:t>
            </w: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second Scheduled Valid Day prior to the scheduled Expiration Date for the Component with the</w:t>
            </w:r>
          </w:p>
        </w:tc>
      </w:tr>
      <w:tr>
        <w:trPr>
          <w:trHeight w:val="234"/>
        </w:trPr>
        <w:tc>
          <w:tcPr>
            <w:tcW w:w="336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earliest scheduled Expiration Date.</w:t>
            </w:r>
          </w:p>
        </w:tc>
      </w:tr>
      <w:tr>
        <w:trPr>
          <w:trHeight w:val="432"/>
        </w:trPr>
        <w:tc>
          <w:tcPr>
            <w:tcW w:w="3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Default Settlement Method:</w:t>
            </w: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Share Settlement</w:t>
            </w:r>
          </w:p>
        </w:tc>
      </w:tr>
      <w:tr>
        <w:trPr>
          <w:trHeight w:val="414"/>
        </w:trPr>
        <w:tc>
          <w:tcPr>
            <w:tcW w:w="3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Share Settlement:</w:t>
            </w: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With respect to any Component, if Net Share Settlement is applicable to the Options exercised or deemed</w:t>
            </w:r>
          </w:p>
        </w:tc>
      </w:tr>
      <w:tr>
        <w:trPr>
          <w:trHeight w:val="212"/>
        </w:trPr>
        <w:tc>
          <w:tcPr>
            <w:tcW w:w="3360" w:type="dxa"/>
            <w:vAlign w:val="bottom"/>
          </w:tcPr>
          <w:p>
            <w:pPr>
              <w:spacing w:after="0"/>
              <w:rPr>
                <w:sz w:val="18"/>
                <w:szCs w:val="18"/>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exercised hereunder, Dealer will deliver to Counterparty, on the Settlement Date, a number of Shares (the</w:t>
            </w:r>
          </w:p>
        </w:tc>
      </w:tr>
      <w:tr>
        <w:trPr>
          <w:trHeight w:val="218"/>
        </w:trPr>
        <w:tc>
          <w:tcPr>
            <w:tcW w:w="3360" w:type="dxa"/>
            <w:vAlign w:val="bottom"/>
          </w:tcPr>
          <w:p>
            <w:pPr>
              <w:spacing w:after="0"/>
              <w:rPr>
                <w:sz w:val="18"/>
                <w:szCs w:val="18"/>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Share Settlement Amount</w:t>
            </w:r>
            <w:r>
              <w:rPr>
                <w:rFonts w:ascii="Times New Roman" w:cs="Times New Roman" w:eastAsia="Times New Roman" w:hAnsi="Times New Roman"/>
                <w:sz w:val="18"/>
                <w:szCs w:val="18"/>
                <w:color w:val="auto"/>
              </w:rPr>
              <w:t>”) equal to (i) the Daily Option Value on the Expiration Date of such</w:t>
            </w:r>
          </w:p>
        </w:tc>
      </w:tr>
      <w:tr>
        <w:trPr>
          <w:trHeight w:val="236"/>
        </w:trPr>
        <w:tc>
          <w:tcPr>
            <w:tcW w:w="336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Component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Relevant Price on such Expiration Date.</w:t>
            </w:r>
          </w:p>
        </w:tc>
      </w:tr>
      <w:tr>
        <w:trPr>
          <w:trHeight w:val="414"/>
        </w:trPr>
        <w:tc>
          <w:tcPr>
            <w:tcW w:w="3360" w:type="dxa"/>
            <w:vAlign w:val="bottom"/>
          </w:tcPr>
          <w:p>
            <w:pPr>
              <w:spacing w:after="0"/>
              <w:rPr>
                <w:sz w:val="24"/>
                <w:szCs w:val="24"/>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Dealer will deliver cash in lieu of any fractional Shares to be delivered with respect to any Net Share</w:t>
            </w:r>
          </w:p>
        </w:tc>
      </w:tr>
      <w:tr>
        <w:trPr>
          <w:trHeight w:val="234"/>
        </w:trPr>
        <w:tc>
          <w:tcPr>
            <w:tcW w:w="3360" w:type="dxa"/>
            <w:vAlign w:val="bottom"/>
          </w:tcPr>
          <w:p>
            <w:pPr>
              <w:spacing w:after="0"/>
              <w:rPr>
                <w:sz w:val="20"/>
                <w:szCs w:val="20"/>
                <w:color w:val="auto"/>
              </w:rPr>
            </w:pPr>
          </w:p>
        </w:tc>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Settlement Amount valued at the Relevant Price for the Expiration Date of such Component.</w:t>
            </w:r>
          </w:p>
        </w:tc>
      </w:tr>
      <w:tr>
        <w:trPr>
          <w:trHeight w:val="682"/>
        </w:trPr>
        <w:tc>
          <w:tcPr>
            <w:tcW w:w="336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29"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Settlement:</w:t>
            </w: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With respect to any Component, if Cash Settlement is applicable to the Options exercised or deemed</w:t>
            </w:r>
          </w:p>
        </w:tc>
      </w:tr>
      <w:tr>
        <w:trPr>
          <w:trHeight w:val="212"/>
        </w:trPr>
        <w:tc>
          <w:tcPr>
            <w:tcW w:w="3040" w:type="dxa"/>
            <w:vAlign w:val="bottom"/>
          </w:tcPr>
          <w:p>
            <w:pPr>
              <w:spacing w:after="0"/>
              <w:rPr>
                <w:sz w:val="18"/>
                <w:szCs w:val="18"/>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exercised hereunder, in lieu of Section 8.1 of the Equity Definitions, Dealer will pay to Counterparty, on</w:t>
            </w:r>
          </w:p>
        </w:tc>
      </w:tr>
      <w:tr>
        <w:trPr>
          <w:trHeight w:val="220"/>
        </w:trPr>
        <w:tc>
          <w:tcPr>
            <w:tcW w:w="3040" w:type="dxa"/>
            <w:vAlign w:val="bottom"/>
          </w:tcPr>
          <w:p>
            <w:pPr>
              <w:spacing w:after="0"/>
              <w:rPr>
                <w:sz w:val="19"/>
                <w:szCs w:val="19"/>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Settlement Date,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equal to the Daily Option</w:t>
            </w:r>
          </w:p>
        </w:tc>
      </w:tr>
      <w:tr>
        <w:trPr>
          <w:trHeight w:val="234"/>
        </w:trPr>
        <w:tc>
          <w:tcPr>
            <w:tcW w:w="3040" w:type="dxa"/>
            <w:vAlign w:val="bottom"/>
          </w:tcPr>
          <w:p>
            <w:pPr>
              <w:spacing w:after="0"/>
              <w:rPr>
                <w:sz w:val="20"/>
                <w:szCs w:val="20"/>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Value on the Expiration Date of such Component.</w:t>
            </w:r>
          </w:p>
        </w:tc>
      </w:tr>
      <w:tr>
        <w:trPr>
          <w:trHeight w:val="414"/>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Combination Settlement:</w:t>
            </w: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With respect to any Component, if Combination Settlement is applicable to the Options exercised or</w:t>
            </w:r>
          </w:p>
        </w:tc>
      </w:tr>
      <w:tr>
        <w:trPr>
          <w:trHeight w:val="216"/>
        </w:trPr>
        <w:tc>
          <w:tcPr>
            <w:tcW w:w="3040" w:type="dxa"/>
            <w:vAlign w:val="bottom"/>
          </w:tcPr>
          <w:p>
            <w:pPr>
              <w:spacing w:after="0"/>
              <w:rPr>
                <w:sz w:val="18"/>
                <w:szCs w:val="18"/>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deemed exercised hereunder, Dealer will pay or deliver, as the case may be, to Counterparty on the</w:t>
            </w:r>
          </w:p>
        </w:tc>
      </w:tr>
      <w:tr>
        <w:trPr>
          <w:trHeight w:val="234"/>
        </w:trPr>
        <w:tc>
          <w:tcPr>
            <w:tcW w:w="3040" w:type="dxa"/>
            <w:vAlign w:val="bottom"/>
          </w:tcPr>
          <w:p>
            <w:pPr>
              <w:spacing w:after="0"/>
              <w:rPr>
                <w:sz w:val="20"/>
                <w:szCs w:val="20"/>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Settlement Date:</w:t>
            </w:r>
          </w:p>
        </w:tc>
      </w:tr>
      <w:tr>
        <w:trPr>
          <w:trHeight w:val="412"/>
        </w:trPr>
        <w:tc>
          <w:tcPr>
            <w:tcW w:w="3040" w:type="dxa"/>
            <w:vAlign w:val="bottom"/>
          </w:tcPr>
          <w:p>
            <w:pPr>
              <w:spacing w:after="0"/>
              <w:rPr>
                <w:sz w:val="24"/>
                <w:szCs w:val="24"/>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   an amount of cash (the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lesser of (A) the</w:t>
            </w:r>
          </w:p>
        </w:tc>
      </w:tr>
      <w:tr>
        <w:trPr>
          <w:trHeight w:val="218"/>
        </w:trPr>
        <w:tc>
          <w:tcPr>
            <w:tcW w:w="3040" w:type="dxa"/>
            <w:vAlign w:val="bottom"/>
          </w:tcPr>
          <w:p>
            <w:pPr>
              <w:spacing w:after="0"/>
              <w:rPr>
                <w:sz w:val="18"/>
                <w:szCs w:val="18"/>
                <w:color w:val="auto"/>
              </w:rPr>
            </w:pPr>
          </w:p>
        </w:tc>
        <w:tc>
          <w:tcPr>
            <w:tcW w:w="8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xml:space="preserve">Specified Cash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Components for the Transaction and (B) the Daily</w:t>
            </w:r>
          </w:p>
        </w:tc>
      </w:tr>
      <w:tr>
        <w:trPr>
          <w:trHeight w:val="234"/>
        </w:trPr>
        <w:tc>
          <w:tcPr>
            <w:tcW w:w="3040" w:type="dxa"/>
            <w:vAlign w:val="bottom"/>
          </w:tcPr>
          <w:p>
            <w:pPr>
              <w:spacing w:after="0"/>
              <w:rPr>
                <w:sz w:val="20"/>
                <w:szCs w:val="20"/>
                <w:color w:val="auto"/>
              </w:rPr>
            </w:pPr>
          </w:p>
        </w:tc>
        <w:tc>
          <w:tcPr>
            <w:tcW w:w="8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Option Value on the Expiration Date of such Component; and</w:t>
            </w:r>
          </w:p>
        </w:tc>
      </w:tr>
      <w:tr>
        <w:trPr>
          <w:trHeight w:val="410"/>
        </w:trPr>
        <w:tc>
          <w:tcPr>
            <w:tcW w:w="3040" w:type="dxa"/>
            <w:vAlign w:val="bottom"/>
          </w:tcPr>
          <w:p>
            <w:pPr>
              <w:spacing w:after="0"/>
              <w:rPr>
                <w:sz w:val="24"/>
                <w:szCs w:val="24"/>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(ii)   a number of Shares (the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and, together with the</w:t>
            </w:r>
          </w:p>
        </w:tc>
      </w:tr>
      <w:tr>
        <w:trPr>
          <w:trHeight w:val="220"/>
        </w:trPr>
        <w:tc>
          <w:tcPr>
            <w:tcW w:w="3040" w:type="dxa"/>
            <w:vAlign w:val="bottom"/>
          </w:tcPr>
          <w:p>
            <w:pPr>
              <w:spacing w:after="0"/>
              <w:rPr>
                <w:sz w:val="19"/>
                <w:szCs w:val="19"/>
                <w:color w:val="auto"/>
              </w:rPr>
            </w:pPr>
          </w:p>
        </w:tc>
        <w:tc>
          <w:tcPr>
            <w:tcW w:w="8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Combination Settlement Cash Amount, the “</w:t>
            </w:r>
            <w:r>
              <w:rPr>
                <w:rFonts w:ascii="Times New Roman" w:cs="Times New Roman" w:eastAsia="Times New Roman" w:hAnsi="Times New Roman"/>
                <w:sz w:val="18"/>
                <w:szCs w:val="18"/>
                <w:b w:val="1"/>
                <w:bCs w:val="1"/>
                <w:color w:val="auto"/>
              </w:rPr>
              <w:t>Combination Settlement Amount</w:t>
            </w:r>
            <w:r>
              <w:rPr>
                <w:rFonts w:ascii="Times New Roman" w:cs="Times New Roman" w:eastAsia="Times New Roman" w:hAnsi="Times New Roman"/>
                <w:sz w:val="18"/>
                <w:szCs w:val="18"/>
                <w:color w:val="auto"/>
              </w:rPr>
              <w:t>”) equal to (A) the</w:t>
            </w:r>
          </w:p>
        </w:tc>
      </w:tr>
      <w:tr>
        <w:trPr>
          <w:trHeight w:val="214"/>
        </w:trPr>
        <w:tc>
          <w:tcPr>
            <w:tcW w:w="3040" w:type="dxa"/>
            <w:vAlign w:val="bottom"/>
          </w:tcPr>
          <w:p>
            <w:pPr>
              <w:spacing w:after="0"/>
              <w:rPr>
                <w:sz w:val="18"/>
                <w:szCs w:val="18"/>
                <w:color w:val="auto"/>
              </w:rPr>
            </w:pPr>
          </w:p>
        </w:tc>
        <w:tc>
          <w:tcPr>
            <w:tcW w:w="8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excess of (1) the Daily Option Value on the Expiration Date of such Component over the (2) the</w:t>
            </w:r>
          </w:p>
        </w:tc>
      </w:tr>
      <w:tr>
        <w:trPr>
          <w:trHeight w:val="216"/>
        </w:trPr>
        <w:tc>
          <w:tcPr>
            <w:tcW w:w="3040" w:type="dxa"/>
            <w:vAlign w:val="bottom"/>
          </w:tcPr>
          <w:p>
            <w:pPr>
              <w:spacing w:after="0"/>
              <w:rPr>
                <w:sz w:val="18"/>
                <w:szCs w:val="18"/>
                <w:color w:val="auto"/>
              </w:rPr>
            </w:pPr>
          </w:p>
        </w:tc>
        <w:tc>
          <w:tcPr>
            <w:tcW w:w="8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xml:space="preserve">Specified Cash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Components for the Transaction,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w:t>
            </w:r>
          </w:p>
        </w:tc>
      </w:tr>
      <w:tr>
        <w:trPr>
          <w:trHeight w:val="218"/>
        </w:trPr>
        <w:tc>
          <w:tcPr>
            <w:tcW w:w="3040" w:type="dxa"/>
            <w:vAlign w:val="bottom"/>
          </w:tcPr>
          <w:p>
            <w:pPr>
              <w:spacing w:after="0"/>
              <w:rPr>
                <w:sz w:val="18"/>
                <w:szCs w:val="18"/>
                <w:color w:val="auto"/>
              </w:rPr>
            </w:pPr>
          </w:p>
        </w:tc>
        <w:tc>
          <w:tcPr>
            <w:tcW w:w="8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xml:space="preserve">the Relevant Price on such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sub-clause (A) above</w:t>
            </w:r>
          </w:p>
        </w:tc>
      </w:tr>
      <w:tr>
        <w:trPr>
          <w:trHeight w:val="216"/>
        </w:trPr>
        <w:tc>
          <w:tcPr>
            <w:tcW w:w="3040" w:type="dxa"/>
            <w:vAlign w:val="bottom"/>
          </w:tcPr>
          <w:p>
            <w:pPr>
              <w:spacing w:after="0"/>
              <w:rPr>
                <w:sz w:val="18"/>
                <w:szCs w:val="18"/>
                <w:color w:val="auto"/>
              </w:rPr>
            </w:pPr>
          </w:p>
        </w:tc>
        <w:tc>
          <w:tcPr>
            <w:tcW w:w="8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results in zero or a negative number for any Expiration Date, the Combination Settlement Share</w:t>
            </w:r>
          </w:p>
        </w:tc>
      </w:tr>
      <w:tr>
        <w:trPr>
          <w:trHeight w:val="234"/>
        </w:trPr>
        <w:tc>
          <w:tcPr>
            <w:tcW w:w="3040" w:type="dxa"/>
            <w:vAlign w:val="bottom"/>
          </w:tcPr>
          <w:p>
            <w:pPr>
              <w:spacing w:after="0"/>
              <w:rPr>
                <w:sz w:val="20"/>
                <w:szCs w:val="20"/>
                <w:color w:val="auto"/>
              </w:rPr>
            </w:pPr>
          </w:p>
        </w:tc>
        <w:tc>
          <w:tcPr>
            <w:tcW w:w="8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Amount for such Expiration Date shall be deemed to be zero.</w:t>
            </w:r>
          </w:p>
        </w:tc>
      </w:tr>
      <w:tr>
        <w:trPr>
          <w:trHeight w:val="414"/>
        </w:trPr>
        <w:tc>
          <w:tcPr>
            <w:tcW w:w="3040" w:type="dxa"/>
            <w:vAlign w:val="bottom"/>
          </w:tcPr>
          <w:p>
            <w:pPr>
              <w:spacing w:after="0"/>
              <w:rPr>
                <w:sz w:val="24"/>
                <w:szCs w:val="24"/>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[Dealer will deliver cash in lieu of any fractional Shares to be delivered with respect to any Combination</w:t>
            </w:r>
          </w:p>
        </w:tc>
      </w:tr>
      <w:tr>
        <w:trPr>
          <w:trHeight w:val="234"/>
        </w:trPr>
        <w:tc>
          <w:tcPr>
            <w:tcW w:w="3040" w:type="dxa"/>
            <w:vAlign w:val="bottom"/>
          </w:tcPr>
          <w:p>
            <w:pPr>
              <w:spacing w:after="0"/>
              <w:rPr>
                <w:sz w:val="20"/>
                <w:szCs w:val="20"/>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Settlement Share Amount valued at the Relevant Price for the Expiration Date of such Component.</w:t>
            </w:r>
          </w:p>
        </w:tc>
      </w:tr>
      <w:tr>
        <w:trPr>
          <w:trHeight w:val="414"/>
        </w:trPr>
        <w:tc>
          <w:tcPr>
            <w:tcW w:w="3040" w:type="dxa"/>
            <w:vAlign w:val="bottom"/>
          </w:tcPr>
          <w:p>
            <w:pPr>
              <w:spacing w:after="0"/>
              <w:rPr>
                <w:sz w:val="24"/>
                <w:szCs w:val="24"/>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delivery of the Net Share Settlement Amount or Combination Settlement Share Amount, as the case</w:t>
            </w:r>
          </w:p>
        </w:tc>
      </w:tr>
      <w:tr>
        <w:trPr>
          <w:trHeight w:val="216"/>
        </w:trPr>
        <w:tc>
          <w:tcPr>
            <w:tcW w:w="3040" w:type="dxa"/>
            <w:vAlign w:val="bottom"/>
          </w:tcPr>
          <w:p>
            <w:pPr>
              <w:spacing w:after="0"/>
              <w:rPr>
                <w:sz w:val="18"/>
                <w:szCs w:val="18"/>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may be, by Dealer to Counterparty shall be effected by way of share repurchase by Counterparty or by</w:t>
            </w:r>
          </w:p>
        </w:tc>
      </w:tr>
      <w:tr>
        <w:trPr>
          <w:trHeight w:val="234"/>
        </w:trPr>
        <w:tc>
          <w:tcPr>
            <w:tcW w:w="3040" w:type="dxa"/>
            <w:vAlign w:val="bottom"/>
          </w:tcPr>
          <w:p>
            <w:pPr>
              <w:spacing w:after="0"/>
              <w:rPr>
                <w:sz w:val="20"/>
                <w:szCs w:val="20"/>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share surrender for no consideration by Dealer as a matter of Cayman Islands law.]</w:t>
            </w:r>
          </w:p>
        </w:tc>
      </w:tr>
      <w:tr>
        <w:trPr>
          <w:trHeight w:val="414"/>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Delivery Obligation:</w:t>
            </w: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Net Share Settlement Amount, the Cash Settlement Amount or the Combination Settlement Amount</w:t>
            </w:r>
          </w:p>
        </w:tc>
      </w:tr>
      <w:tr>
        <w:trPr>
          <w:trHeight w:val="234"/>
        </w:trPr>
        <w:tc>
          <w:tcPr>
            <w:tcW w:w="3040" w:type="dxa"/>
            <w:vAlign w:val="bottom"/>
          </w:tcPr>
          <w:p>
            <w:pPr>
              <w:spacing w:after="0"/>
              <w:rPr>
                <w:sz w:val="20"/>
                <w:szCs w:val="20"/>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payable or deliverable in respect of all Components on the Settlement Date.</w:t>
            </w:r>
          </w:p>
        </w:tc>
      </w:tr>
      <w:tr>
        <w:trPr>
          <w:trHeight w:val="414"/>
        </w:trPr>
        <w:tc>
          <w:tcPr>
            <w:tcW w:w="3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Daily Option Value:</w:t>
            </w: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For any Component, an amount equal to (i) the Number of Options in such Component,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w:t>
            </w:r>
          </w:p>
        </w:tc>
      </w:tr>
      <w:tr>
        <w:trPr>
          <w:trHeight w:val="214"/>
        </w:trPr>
        <w:tc>
          <w:tcPr>
            <w:tcW w:w="3040" w:type="dxa"/>
            <w:vAlign w:val="bottom"/>
          </w:tcPr>
          <w:p>
            <w:pPr>
              <w:spacing w:after="0"/>
              <w:rPr>
                <w:sz w:val="18"/>
                <w:szCs w:val="18"/>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Option Entitlement multiplied by (iii)(A) the lesser of the Relevant Price on the Expiration Date of</w:t>
            </w:r>
          </w:p>
        </w:tc>
      </w:tr>
      <w:tr>
        <w:trPr>
          <w:trHeight w:val="218"/>
        </w:trPr>
        <w:tc>
          <w:tcPr>
            <w:tcW w:w="3040" w:type="dxa"/>
            <w:vAlign w:val="bottom"/>
          </w:tcPr>
          <w:p>
            <w:pPr>
              <w:spacing w:after="0"/>
              <w:rPr>
                <w:sz w:val="18"/>
                <w:szCs w:val="18"/>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such Component and the Cap Price, minus (B) the Strike Price on such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w:t>
            </w:r>
          </w:p>
        </w:tc>
      </w:tr>
      <w:tr>
        <w:trPr>
          <w:trHeight w:val="216"/>
        </w:trPr>
        <w:tc>
          <w:tcPr>
            <w:tcW w:w="3040" w:type="dxa"/>
            <w:vAlign w:val="bottom"/>
          </w:tcPr>
          <w:p>
            <w:pPr>
              <w:spacing w:after="0"/>
              <w:rPr>
                <w:sz w:val="18"/>
                <w:szCs w:val="18"/>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calculation contained in clause (iii) above results in a negative number, the Daily Option Value for</w:t>
            </w:r>
          </w:p>
        </w:tc>
      </w:tr>
      <w:tr>
        <w:trPr>
          <w:trHeight w:val="234"/>
        </w:trPr>
        <w:tc>
          <w:tcPr>
            <w:tcW w:w="3040" w:type="dxa"/>
            <w:vAlign w:val="bottom"/>
          </w:tcPr>
          <w:p>
            <w:pPr>
              <w:spacing w:after="0"/>
              <w:rPr>
                <w:sz w:val="20"/>
                <w:szCs w:val="20"/>
                <w:color w:val="auto"/>
              </w:rPr>
            </w:pPr>
          </w:p>
        </w:tc>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such Component shall be deemed to be zero. In no event will the Daily Option Value be less than zero.</w:t>
            </w:r>
          </w:p>
        </w:tc>
      </w:tr>
      <w:tr>
        <w:trPr>
          <w:trHeight w:val="682"/>
        </w:trPr>
        <w:tc>
          <w:tcPr>
            <w:tcW w:w="304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31" w:right="339"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Valid Day:</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day on which (i) there is no Market Disruption Event and (ii) trading in the Shares generally occurs on</w:t>
            </w:r>
          </w:p>
        </w:tc>
      </w:tr>
      <w:tr>
        <w:trPr>
          <w:trHeight w:val="212"/>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Exchange. If the Shares are not listed, quoted or traded on any U.S. securities exchange or any other</w:t>
            </w:r>
          </w:p>
        </w:tc>
      </w:tr>
      <w:tr>
        <w:trPr>
          <w:trHeight w:val="238"/>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 “</w:t>
            </w:r>
            <w:r>
              <w:rPr>
                <w:rFonts w:ascii="Times New Roman" w:cs="Times New Roman" w:eastAsia="Times New Roman" w:hAnsi="Times New Roman"/>
                <w:sz w:val="18"/>
                <w:szCs w:val="18"/>
                <w:b w:val="1"/>
                <w:bCs w:val="1"/>
                <w:color w:val="auto"/>
              </w:rPr>
              <w:t>Valid Day</w:t>
            </w:r>
            <w:r>
              <w:rPr>
                <w:rFonts w:ascii="Times New Roman" w:cs="Times New Roman" w:eastAsia="Times New Roman" w:hAnsi="Times New Roman"/>
                <w:sz w:val="18"/>
                <w:szCs w:val="18"/>
                <w:color w:val="auto"/>
              </w:rPr>
              <w:t>” means a Business Day.</w:t>
            </w:r>
          </w:p>
        </w:tc>
      </w:tr>
      <w:tr>
        <w:trPr>
          <w:trHeight w:val="410"/>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Scheduled Valid Day:</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day that is scheduled to be a Valid Day on the Exchange. If the Shares are not listed, quoted or traded</w:t>
            </w:r>
          </w:p>
        </w:tc>
      </w:tr>
      <w:tr>
        <w:trPr>
          <w:trHeight w:val="238"/>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any U.S. securities exchange or any other market, “</w:t>
            </w:r>
            <w:r>
              <w:rPr>
                <w:rFonts w:ascii="Times New Roman" w:cs="Times New Roman" w:eastAsia="Times New Roman" w:hAnsi="Times New Roman"/>
                <w:sz w:val="18"/>
                <w:szCs w:val="18"/>
                <w:b w:val="1"/>
                <w:bCs w:val="1"/>
                <w:color w:val="auto"/>
              </w:rPr>
              <w:t>Scheduled Valid Day</w:t>
            </w:r>
            <w:r>
              <w:rPr>
                <w:rFonts w:ascii="Times New Roman" w:cs="Times New Roman" w:eastAsia="Times New Roman" w:hAnsi="Times New Roman"/>
                <w:sz w:val="18"/>
                <w:szCs w:val="18"/>
                <w:color w:val="auto"/>
              </w:rPr>
              <w:t>” means a Business Day.</w:t>
            </w:r>
          </w:p>
        </w:tc>
      </w:tr>
      <w:tr>
        <w:trPr>
          <w:trHeight w:val="41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Business Day:</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Any day other than a Saturday, a Sunday or other day on which banking institutions are authorized or</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required by law, regulation or executive order to close or be closed in the State of New York.</w:t>
            </w:r>
          </w:p>
        </w:tc>
      </w:tr>
      <w:tr>
        <w:trPr>
          <w:trHeight w:val="41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Relevant Price:</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any Valid Day, the per Share volume-weighted average price as displayed under the heading</w:t>
            </w:r>
          </w:p>
        </w:tc>
      </w:tr>
      <w:tr>
        <w:trPr>
          <w:trHeight w:val="212"/>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“Bloomberg VWAP” on Bloomberg page “BTDR &lt;equity&gt; AQR” (or its equivalent successor if such</w:t>
            </w:r>
          </w:p>
        </w:tc>
      </w:tr>
      <w:tr>
        <w:trPr>
          <w:trHeight w:val="220"/>
        </w:trPr>
        <w:tc>
          <w:tcPr>
            <w:tcW w:w="3280" w:type="dxa"/>
            <w:vAlign w:val="bottom"/>
          </w:tcPr>
          <w:p>
            <w:pPr>
              <w:spacing w:after="0"/>
              <w:rPr>
                <w:sz w:val="19"/>
                <w:szCs w:val="19"/>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page is not available) (the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in respect of the period from the scheduled open of trading until the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scheduled close of trading of the primary trading session on such Valid Day (or if such volume-weighted</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average price is unavailable at such time, the market value of one Share on such Valid Day, as determined</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 the Calculation Agent in a good faith and commercially reasonable manner using, if practicable, a</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volume-weighted average method substantially similar to the method for determining the VWAP). The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Relevant Price will be determined without regard to after-hours trading or any other trading outside of the</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regular trading session trading hours.</w:t>
            </w:r>
          </w:p>
        </w:tc>
      </w:tr>
      <w:tr>
        <w:trPr>
          <w:trHeight w:val="41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Date:</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all Components of the Transaction, the date that is two Exchange Business Days immediately</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following the Expiration Date for the Component with the latest Expiration Date.</w:t>
            </w:r>
          </w:p>
        </w:tc>
      </w:tr>
      <w:tr>
        <w:trPr>
          <w:trHeight w:val="432"/>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Settlement Currency:</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USD</w:t>
            </w:r>
          </w:p>
        </w:tc>
      </w:tr>
      <w:tr>
        <w:trPr>
          <w:trHeight w:val="41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Applicable Provisions: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provisions of Sections 9.1(c), 9.8, 9.9, 9.11 and 9.12 of the Equity Definitions will be applicable,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except that all references in Section 9.1 to “Physical Settlement” shall be read as references to “Net Share</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or “Combination Settlement”, as applicable.</w:t>
            </w:r>
          </w:p>
        </w:tc>
      </w:tr>
      <w:tr>
        <w:trPr>
          <w:trHeight w:val="414"/>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Representation and Agreement:</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(including, but not limited to, Section</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9.11 thereof), the parties acknowledge that (i) any Shares delivered to Counterparty shall be, upon</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delivery, subject to restrictions, obligations and limitations arising from Counterparty’s status as issuer of</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Shares under applicable securities laws, (ii) Dealer may deliver any Shares required to be delivered</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hereunder in certificated form in lieu of delivery through the Clearance System and (iii) any Shares</w:t>
            </w:r>
          </w:p>
        </w:tc>
      </w:tr>
      <w:tr>
        <w:trPr>
          <w:trHeight w:val="212"/>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delivered to Counterparty may be “restricted securities” (as defined in Rule 144 under the Securities Act</w:t>
            </w:r>
          </w:p>
        </w:tc>
      </w:tr>
      <w:tr>
        <w:trPr>
          <w:trHeight w:val="238"/>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tc>
      </w:tr>
      <w:tr>
        <w:trPr>
          <w:trHeight w:val="682"/>
        </w:trPr>
        <w:tc>
          <w:tcPr>
            <w:tcW w:w="328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31" w:right="33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920" w:type="dxa"/>
            <w:vAlign w:val="bottom"/>
          </w:tcPr>
          <w:p>
            <w:pPr>
              <w:spacing w:after="0"/>
              <w:rPr>
                <w:sz w:val="20"/>
                <w:szCs w:val="20"/>
                <w:color w:val="auto"/>
              </w:rPr>
            </w:pPr>
          </w:p>
        </w:tc>
      </w:tr>
      <w:tr>
        <w:trPr>
          <w:trHeight w:val="414"/>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Method of Adjustment:</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 xml:space="preserve">Calculation Agent Adjustment;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the parties agree that (x) Share repurchases through a dealer</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pursuant to accelerated share repurchases, forward contracts or similar transactions (including, without</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any discount to average VWAP prices) that are entered into at prevailing market prices</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(subject to the immediately preceding parenthetical) and in accordance with customary market terms for</w:t>
            </w:r>
          </w:p>
        </w:tc>
      </w:tr>
      <w:tr>
        <w:trPr>
          <w:trHeight w:val="212"/>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 repurchase transactions of such type and (y) open market Share repurchases at prevailing market</w:t>
            </w:r>
          </w:p>
        </w:tc>
      </w:tr>
      <w:tr>
        <w:trPr>
          <w:trHeight w:val="220"/>
        </w:trPr>
        <w:tc>
          <w:tcPr>
            <w:tcW w:w="3320" w:type="dxa"/>
            <w:vAlign w:val="bottom"/>
          </w:tcPr>
          <w:p>
            <w:pPr>
              <w:spacing w:after="0"/>
              <w:rPr>
                <w:sz w:val="19"/>
                <w:szCs w:val="19"/>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prices pursuant to Rule 10b-18 of the Exchange Act (“</w:t>
            </w:r>
            <w:r>
              <w:rPr>
                <w:rFonts w:ascii="Times New Roman" w:cs="Times New Roman" w:eastAsia="Times New Roman" w:hAnsi="Times New Roman"/>
                <w:sz w:val="18"/>
                <w:szCs w:val="18"/>
                <w:b w:val="1"/>
                <w:bCs w:val="1"/>
                <w:color w:val="auto"/>
              </w:rPr>
              <w:t>Rule 10b-18</w:t>
            </w:r>
            <w:r>
              <w:rPr>
                <w:rFonts w:ascii="Times New Roman" w:cs="Times New Roman" w:eastAsia="Times New Roman" w:hAnsi="Times New Roman"/>
                <w:sz w:val="18"/>
                <w:szCs w:val="18"/>
                <w:color w:val="auto"/>
              </w:rPr>
              <w:t>”) shall not be considered Potential</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Adjustment Events so long as, after giving effect to such transactions, the aggregate number of Shares</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repurchased pursuant to all such transactions described in clauses (x) and (y) during the term of the</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Transaction pursuant to all such transactions would not exceed 20% of the number of Shares outstanding</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 of the Trade Date, as determined by the Calculation Agent and as adjusted by the Calculation Agent in</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commercially reasonable manner to account for any subdivision or combination with respect to the</w:t>
            </w:r>
          </w:p>
        </w:tc>
      </w:tr>
      <w:tr>
        <w:trPr>
          <w:trHeight w:val="234"/>
        </w:trPr>
        <w:tc>
          <w:tcPr>
            <w:tcW w:w="3320" w:type="dxa"/>
            <w:vAlign w:val="bottom"/>
          </w:tcPr>
          <w:p>
            <w:pPr>
              <w:spacing w:after="0"/>
              <w:rPr>
                <w:sz w:val="20"/>
                <w:szCs w:val="20"/>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Events:</w:t>
            </w:r>
          </w:p>
        </w:tc>
        <w:tc>
          <w:tcPr>
            <w:tcW w:w="7920" w:type="dxa"/>
            <w:vAlign w:val="bottom"/>
          </w:tcPr>
          <w:p>
            <w:pPr>
              <w:spacing w:after="0"/>
              <w:rPr>
                <w:sz w:val="24"/>
                <w:szCs w:val="24"/>
                <w:color w:val="auto"/>
              </w:rPr>
            </w:pPr>
          </w:p>
        </w:tc>
      </w:tr>
      <w:tr>
        <w:trPr>
          <w:trHeight w:val="414"/>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New Shares:</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 the definition of New Shares in Section 12.1(i) of the Equity Definitions, the text in clause (i) thereof</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shall be deleted in its entirety and replaced with “publicly quoted, traded or listed on any of The New</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York Stock Exchange, The Nasdaq Global Market, The Nasdaq Global Select Market, The Nasdaq</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Market (or their respective successors) and of a corporation organized under the laws of the</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any State thereof, the District of Columbia or a company organized under the laws of the</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Cayman Islands” (x) also becomes the Counterparty under the Transaction or (y) agrees to be subject to</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Sections 8(d) and 8(e) of the Confirmation governing the Transaction, in either case, following such</w:t>
            </w:r>
          </w:p>
        </w:tc>
      </w:tr>
      <w:tr>
        <w:trPr>
          <w:trHeight w:val="234"/>
        </w:trPr>
        <w:tc>
          <w:tcPr>
            <w:tcW w:w="3320" w:type="dxa"/>
            <w:vAlign w:val="bottom"/>
          </w:tcPr>
          <w:p>
            <w:pPr>
              <w:spacing w:after="0"/>
              <w:rPr>
                <w:sz w:val="20"/>
                <w:szCs w:val="20"/>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Merger Event or Tender Offer.</w:t>
            </w:r>
          </w:p>
        </w:tc>
      </w:tr>
      <w:tr>
        <w:trPr>
          <w:trHeight w:val="432"/>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Merger Events:</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Consequences of Merger Events:</w:t>
            </w:r>
          </w:p>
        </w:tc>
        <w:tc>
          <w:tcPr>
            <w:tcW w:w="7920" w:type="dxa"/>
            <w:vAlign w:val="bottom"/>
          </w:tcPr>
          <w:p>
            <w:pPr>
              <w:spacing w:after="0"/>
              <w:rPr>
                <w:sz w:val="24"/>
                <w:szCs w:val="24"/>
                <w:color w:val="auto"/>
              </w:rPr>
            </w:pPr>
          </w:p>
        </w:tc>
      </w:tr>
      <w:tr>
        <w:trPr>
          <w:trHeight w:val="432"/>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Share-for-Share:</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  Share-for-Other:</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Cancellation and Payment (Calculation Agent Determination)</w:t>
            </w:r>
          </w:p>
        </w:tc>
      </w:tr>
      <w:tr>
        <w:trPr>
          <w:trHeight w:val="414"/>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  Share-for-Combined:</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Calculation Agent may</w:t>
            </w:r>
          </w:p>
        </w:tc>
      </w:tr>
      <w:tr>
        <w:trPr>
          <w:trHeight w:val="234"/>
        </w:trPr>
        <w:tc>
          <w:tcPr>
            <w:tcW w:w="3320" w:type="dxa"/>
            <w:vAlign w:val="bottom"/>
          </w:tcPr>
          <w:p>
            <w:pPr>
              <w:spacing w:after="0"/>
              <w:rPr>
                <w:sz w:val="20"/>
                <w:szCs w:val="20"/>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elect Component Adjustment for all or part of the Transaction</w:t>
            </w:r>
          </w:p>
        </w:tc>
      </w:tr>
      <w:tr>
        <w:trPr>
          <w:trHeight w:val="414"/>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Tender Offer:</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definition of “Tender Offer” in Section 12.1(d) of the Equity Definitions</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will be amended by replacing the phrase “greater than 10% and less than 100% of the outstanding voting</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of the Issuer” in the third and fourth line thereof with “(a) greater than 20% and less than 100% of</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outstanding Shares”. In addition, Section 12.1(e) of the Equity Definitions shall be amended by</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replacing “voting shares” in the first line thereof with “Shares”, and Section 12.1(l) of the Equity</w:t>
            </w:r>
          </w:p>
        </w:tc>
      </w:tr>
      <w:tr>
        <w:trPr>
          <w:trHeight w:val="234"/>
        </w:trPr>
        <w:tc>
          <w:tcPr>
            <w:tcW w:w="3320" w:type="dxa"/>
            <w:vAlign w:val="bottom"/>
          </w:tcPr>
          <w:p>
            <w:pPr>
              <w:spacing w:after="0"/>
              <w:rPr>
                <w:sz w:val="20"/>
                <w:szCs w:val="20"/>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Definitions shall be amended by replacing “voting shares” in the fifth line thereof with “Shares”</w:t>
            </w:r>
          </w:p>
        </w:tc>
      </w:tr>
      <w:tr>
        <w:trPr>
          <w:trHeight w:val="682"/>
        </w:trPr>
        <w:tc>
          <w:tcPr>
            <w:tcW w:w="332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31" w:right="339"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Consequences of Tender Offers:</w:t>
            </w:r>
          </w:p>
        </w:tc>
        <w:tc>
          <w:tcPr>
            <w:tcW w:w="7920" w:type="dxa"/>
            <w:vAlign w:val="bottom"/>
          </w:tcPr>
          <w:p>
            <w:pPr>
              <w:spacing w:after="0"/>
              <w:rPr>
                <w:sz w:val="20"/>
                <w:szCs w:val="20"/>
                <w:color w:val="auto"/>
              </w:rPr>
            </w:pPr>
          </w:p>
        </w:tc>
      </w:tr>
      <w:tr>
        <w:trPr>
          <w:trHeight w:val="432"/>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Share-for-Share:</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  Share-for-Other:</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32"/>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  Share-for-Combined:</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412"/>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Consequences of Announcement</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Modified Calculation Agent Adjustment as set forth in Section 12.3(d) of the Equity Definitions;</w:t>
            </w:r>
          </w:p>
        </w:tc>
      </w:tr>
      <w:tr>
        <w:trPr>
          <w:trHeight w:val="218"/>
        </w:trPr>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Events:</w:t>
            </w: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respect of an Announcement Event, (x) references to “Tender Offer” shall be replaced</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 references to “Announcement Event” and references to “Tender Offer Date” shall be replaced by</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references to “date of such Announcement Event”, (y) the phrase “exercise, settlement, payment or any</w:t>
            </w:r>
          </w:p>
        </w:tc>
      </w:tr>
      <w:tr>
        <w:trPr>
          <w:trHeight w:val="214"/>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terms of the Transaction (including, without limitation, the spread)” shall be replaced with the</w:t>
            </w:r>
          </w:p>
        </w:tc>
      </w:tr>
      <w:tr>
        <w:trPr>
          <w:trHeight w:val="218"/>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phrase “Cap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and the</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words “whether within a commercially reasonable (as determined by the Calculation Agent) period of</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time prior to or after the Announcement Event” shall be inserted prior to the word “which” in the seventh</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line, and (z) for the avoidance of doubt, the Calculation Agent shall, in good faith and a commercially</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reasonable manner, determine whether the relevant Announcement Event has had a material economic</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on the Transaction and, if so, shall adjust the Cap Price accordingly to take into account such</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economic effect on one or more occasions on or after the date of the Announcement Event up to, and</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including, the final Expiration Date, any Early Termination Date and/or any other date of cancellation, it</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being understood that any adjustment in respect of an Announcement Event shall take into account any</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earlier adjustment relating to the same Announcement Event and shall not be duplicative with any other</w:t>
            </w:r>
          </w:p>
        </w:tc>
      </w:tr>
      <w:tr>
        <w:trPr>
          <w:trHeight w:val="214"/>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adjustment or cancellation valuation made pursuant to this Confirmation, the Equity Definitions or the</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adjusted to be less than the Strike Price,</w:t>
            </w:r>
          </w:p>
        </w:tc>
      </w:tr>
      <w:tr>
        <w:trPr>
          <w:trHeight w:val="218"/>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such adjustments may be made to account solely for changes in volatility, expected</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dividends, stock loan rate or liquidity relative to the relevant Shares or such Transaction and assuming</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Dealer maintains a commercially reasonable hedge position. An Announcement Event shall be an</w:t>
            </w:r>
          </w:p>
        </w:tc>
      </w:tr>
      <w:tr>
        <w:trPr>
          <w:trHeight w:val="214"/>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“Extraordinary Event” for purposes of the Equity Definitions, to which Article 12 of the Equity</w:t>
            </w:r>
          </w:p>
        </w:tc>
      </w:tr>
      <w:tr>
        <w:trPr>
          <w:trHeight w:val="218"/>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Definitions is applicable;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upon the Calculation Agent making an adjustment,</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determined in a commercially reasonable manner, to the Cap Price upon any Announcement Event, then</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any subsequent public announcement by a Relevant Party (as defined below) regarding the abandonment</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the event or transaction that gave rise to the original Announcement Event shall be deemed to have a</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material economic effect on the Transaction and the Calculation Agent shall make a commercially</w:t>
            </w:r>
          </w:p>
        </w:tc>
      </w:tr>
      <w:tr>
        <w:trPr>
          <w:trHeight w:val="214"/>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reasonable adjustment to the Cap Price to account for such economic effect in accordance with this</w:t>
            </w:r>
          </w:p>
        </w:tc>
      </w:tr>
      <w:tr>
        <w:trPr>
          <w:trHeight w:val="218"/>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paragraph;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w:t>
            </w:r>
            <w:r>
              <w:rPr>
                <w:rFonts w:ascii="Times New Roman" w:cs="Times New Roman" w:eastAsia="Times New Roman" w:hAnsi="Times New Roman"/>
                <w:sz w:val="18"/>
                <w:szCs w:val="18"/>
                <w:i w:val="1"/>
                <w:iCs w:val="1"/>
                <w:color w:val="auto"/>
              </w:rPr>
              <w:t>provided further</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that such adjustments may be made to account solely for changes in volatility, expected dividends, stock</w:t>
            </w:r>
          </w:p>
        </w:tc>
      </w:tr>
      <w:tr>
        <w:trPr>
          <w:trHeight w:val="216"/>
        </w:trPr>
        <w:tc>
          <w:tcPr>
            <w:tcW w:w="3320" w:type="dxa"/>
            <w:vAlign w:val="bottom"/>
          </w:tcPr>
          <w:p>
            <w:pPr>
              <w:spacing w:after="0"/>
              <w:rPr>
                <w:sz w:val="18"/>
                <w:szCs w:val="18"/>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loan rate or liquidity relevant to the Shares or to such Transaction and assuming Dealer maintains a</w:t>
            </w:r>
          </w:p>
        </w:tc>
      </w:tr>
      <w:tr>
        <w:trPr>
          <w:trHeight w:val="234"/>
        </w:trPr>
        <w:tc>
          <w:tcPr>
            <w:tcW w:w="3320" w:type="dxa"/>
            <w:vAlign w:val="bottom"/>
          </w:tcPr>
          <w:p>
            <w:pPr>
              <w:spacing w:after="0"/>
              <w:rPr>
                <w:sz w:val="20"/>
                <w:szCs w:val="20"/>
                <w:color w:val="auto"/>
              </w:rPr>
            </w:pPr>
          </w:p>
        </w:tc>
        <w:tc>
          <w:tcPr>
            <w:tcW w:w="7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commercially reasonable hedge position.</w:t>
            </w:r>
          </w:p>
        </w:tc>
      </w:tr>
      <w:tr>
        <w:trPr>
          <w:trHeight w:val="682"/>
        </w:trPr>
        <w:tc>
          <w:tcPr>
            <w:tcW w:w="332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931" w:right="339"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Announcement Event:</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 The public announcement by Counterparty, any representative or agent of Counterparty, any affiliate</w:t>
            </w:r>
          </w:p>
        </w:tc>
      </w:tr>
      <w:tr>
        <w:trPr>
          <w:trHeight w:val="220"/>
        </w:trPr>
        <w:tc>
          <w:tcPr>
            <w:tcW w:w="3440" w:type="dxa"/>
            <w:vAlign w:val="bottom"/>
          </w:tcPr>
          <w:p>
            <w:pPr>
              <w:spacing w:after="0"/>
              <w:rPr>
                <w:sz w:val="19"/>
                <w:szCs w:val="19"/>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Counterparty or a Valid Third Party Entity (any such person or entity, a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of any</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or event that, if completed, would constitute a Merger Event or Tender Offer, or the public</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announcement by a Relevant Party of any intention to enter into a Merger Event or Tender Offer, (ii) the</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announcement by a Relevant Party of an intention by Counterparty or other Relevant Party to</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 or enter into, or to explore strategic alternatives or other similar undertaking that may include, a</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Event or Tender Offer, (iii) there occurs a public announcement by a Relevant Party of any</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potential acquisition or disposition by Counterparty and/or its subsidiaries where the consideration</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for the avoidance of doubt, any consideration in the form of earn-outs or bona fide other</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arrangements for consideration payable post-closing of such acquisition or disposition contingent upon</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satisfaction of specified facts or conditions) exceeds 35% of the market capitalization of Counterparty</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the date of such announcement, or (iv) any subsequent public announcement by a Relevant Party of</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change to a transaction or intention that is the subject of an announcement of the type described in</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clause (i), (ii) or (iii) of this sentence (including, without limitation, a new announcement relating to such</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transaction or intention or the announcement of a withdrawal from, or the abandonment or</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discontinuation of, such a transaction or intention); provided that, for the avoidance of doubt, the</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occurrence of an Announcement Event with respect to any transaction or intention shall not preclude the</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occurrence of a later Announcement Event with respect to such transaction or intention. For purposes of</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definition of “Announcement Event,” “Merger Event” shall have the meaning set forth in Section</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12.1(b) of the Equity Definitions; provided that the portion of such definition following the definition of</w:t>
            </w:r>
          </w:p>
        </w:tc>
      </w:tr>
      <w:tr>
        <w:trPr>
          <w:trHeight w:val="234"/>
        </w:trPr>
        <w:tc>
          <w:tcPr>
            <w:tcW w:w="34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Merger” shall be disregarded.</w:t>
            </w:r>
          </w:p>
        </w:tc>
      </w:tr>
      <w:tr>
        <w:trPr>
          <w:trHeight w:val="41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Valid Third Party Entity:</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respect of any transaction or event, any third party or its affiliate that has a bona fide intent to enter</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into or consummate such transaction or event (it being understood and agreed that in determining</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whether such third party has such a bona fide intent, the Calculation Agent shall take into consideration</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effect of the relevant announcement by such third party on the Shares and/or options relating to the</w:t>
            </w:r>
          </w:p>
        </w:tc>
      </w:tr>
      <w:tr>
        <w:trPr>
          <w:trHeight w:val="234"/>
        </w:trPr>
        <w:tc>
          <w:tcPr>
            <w:tcW w:w="34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r>
      <w:tr>
        <w:trPr>
          <w:trHeight w:val="414"/>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Notice of Merger Consideration and</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Upon the occurrence of a Merger Event that causes the Shares to be converted into the right to receive</w:t>
            </w:r>
          </w:p>
        </w:tc>
      </w:tr>
      <w:tr>
        <w:trPr>
          <w:trHeight w:val="216"/>
        </w:trPr>
        <w:tc>
          <w:tcPr>
            <w:tcW w:w="3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Consequences:</w:t>
            </w: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more than a single type of consideration (determined based in part upon any form of stockholder</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election), Counterparty shall reasonably promptly (but in any event prior to the relevant Merger Date)</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notify the Calculation Agent of (i) the type and amount of consideration that a holder of Shares would</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have been entitled to in the case of reclassifications, consolidations, mergers, sales or transfers of assets</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other transactions that cause Shares to be converted into the right to receive more than a single type of</w:t>
            </w:r>
          </w:p>
        </w:tc>
      </w:tr>
      <w:tr>
        <w:trPr>
          <w:trHeight w:val="216"/>
        </w:trPr>
        <w:tc>
          <w:tcPr>
            <w:tcW w:w="344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 and (ii) the weighted average of the types and amounts of consideration to be received by</w:t>
            </w:r>
          </w:p>
        </w:tc>
      </w:tr>
      <w:tr>
        <w:trPr>
          <w:trHeight w:val="234"/>
        </w:trPr>
        <w:tc>
          <w:tcPr>
            <w:tcW w:w="34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holders of Shares that affirmatively make such an election.</w:t>
            </w:r>
          </w:p>
        </w:tc>
      </w:tr>
      <w:tr>
        <w:trPr>
          <w:trHeight w:val="682"/>
        </w:trPr>
        <w:tc>
          <w:tcPr>
            <w:tcW w:w="344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931" w:right="3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Nationalization, Insolvency or</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w:t>
            </w:r>
          </w:p>
        </w:tc>
      </w:tr>
      <w:tr>
        <w:trPr>
          <w:trHeight w:val="216"/>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Delisting:</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Section 12.6(a)(iii) of the Equity Definitions, it will also constitute a Delisting if the Shares are not</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immediately re-listed, re-traded or re-quoted on any of the New York Stock Exchange, The Nasdaq</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Global Select Market or The Nasdaq Global Market (or their respective successors); if the Shares are</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immediately re-listed, re-traded or re-quoted on any such exchange or quotation system, such exchange</w:t>
            </w:r>
          </w:p>
        </w:tc>
      </w:tr>
      <w:tr>
        <w:trPr>
          <w:trHeight w:val="234"/>
        </w:trPr>
        <w:tc>
          <w:tcPr>
            <w:tcW w:w="3240" w:type="dxa"/>
            <w:vAlign w:val="bottom"/>
          </w:tcPr>
          <w:p>
            <w:pPr>
              <w:spacing w:after="0"/>
              <w:rPr>
                <w:sz w:val="20"/>
                <w:szCs w:val="20"/>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 quotation system shall thereafter be deemed to be the Exchange.</w:t>
            </w: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Disruption Events:</w:t>
            </w:r>
          </w:p>
        </w:tc>
        <w:tc>
          <w:tcPr>
            <w:tcW w:w="8000" w:type="dxa"/>
            <w:vAlign w:val="bottom"/>
          </w:tcPr>
          <w:p>
            <w:pPr>
              <w:spacing w:after="0"/>
              <w:rPr>
                <w:sz w:val="24"/>
                <w:szCs w:val="24"/>
                <w:color w:val="auto"/>
              </w:rPr>
            </w:pPr>
          </w:p>
        </w:tc>
      </w:tr>
      <w:tr>
        <w:trPr>
          <w:trHeight w:val="414"/>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Change in Law:</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 replacing</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phrase “the interpretation” in the third line thereof with the phrase “, or public announcement of, the</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formal or informal interpretation”, (ii) adding the phrase “and/or Hedge Position” after the word “Shares”</w:t>
            </w:r>
          </w:p>
        </w:tc>
      </w:tr>
      <w:tr>
        <w:trPr>
          <w:trHeight w:val="214"/>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clause (X) thereof and (iii) immediately following the word “Transaction” in clause (X) thereof,</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adding the phrase “in the manner contemplated by the Hedging Party on the Trade Date”; and </w:t>
            </w:r>
            <w:r>
              <w:rPr>
                <w:rFonts w:ascii="Times New Roman" w:cs="Times New Roman" w:eastAsia="Times New Roman" w:hAnsi="Times New Roman"/>
                <w:sz w:val="18"/>
                <w:szCs w:val="18"/>
                <w:i w:val="1"/>
                <w:iCs w:val="1"/>
                <w:color w:val="auto"/>
              </w:rPr>
              <w:t>provided</w:t>
            </w:r>
          </w:p>
        </w:tc>
      </w:tr>
      <w:tr>
        <w:trPr>
          <w:trHeight w:val="218"/>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Section 12.9(a)(ii) of the Equity Definitions is hereby amended by (i) replacing the</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parenthetical beginning after the word “regulation” in the second line thereof with the words “(including,</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the avoidance of doubt and without limitation, (x) any tax law or (y) adoption or promulgation of new</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regulations authorized or mandated by existing statute)” and (ii) adding the words “, or holding, acquiring</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 disposing of Shares or any Hedge Positions relating to,” after the words “obligations under” in clause</w:t>
            </w:r>
          </w:p>
        </w:tc>
      </w:tr>
      <w:tr>
        <w:trPr>
          <w:trHeight w:val="234"/>
        </w:trPr>
        <w:tc>
          <w:tcPr>
            <w:tcW w:w="3240" w:type="dxa"/>
            <w:vAlign w:val="bottom"/>
          </w:tcPr>
          <w:p>
            <w:pPr>
              <w:spacing w:after="0"/>
              <w:rPr>
                <w:sz w:val="20"/>
                <w:szCs w:val="20"/>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 thereof.</w:t>
            </w:r>
          </w:p>
        </w:tc>
      </w:tr>
      <w:tr>
        <w:trPr>
          <w:trHeight w:val="432"/>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 Failure to Deliver:</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 Insolvency Filing:</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 Hedging Disruption:</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414"/>
        </w:trPr>
        <w:tc>
          <w:tcPr>
            <w:tcW w:w="3240" w:type="dxa"/>
            <w:vAlign w:val="bottom"/>
          </w:tcPr>
          <w:p>
            <w:pPr>
              <w:spacing w:after="0"/>
              <w:rPr>
                <w:sz w:val="24"/>
                <w:szCs w:val="24"/>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(i) Section 12.9(a)(v) of the Equity Definitions is hereby amended by inserting the following at the end of</w:t>
            </w:r>
          </w:p>
        </w:tc>
      </w:tr>
      <w:tr>
        <w:trPr>
          <w:trHeight w:val="234"/>
        </w:trPr>
        <w:tc>
          <w:tcPr>
            <w:tcW w:w="3240" w:type="dxa"/>
            <w:vAlign w:val="bottom"/>
          </w:tcPr>
          <w:p>
            <w:pPr>
              <w:spacing w:after="0"/>
              <w:rPr>
                <w:sz w:val="20"/>
                <w:szCs w:val="20"/>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such Section:</w:t>
            </w:r>
          </w:p>
        </w:tc>
      </w:tr>
      <w:tr>
        <w:trPr>
          <w:trHeight w:val="414"/>
        </w:trPr>
        <w:tc>
          <w:tcPr>
            <w:tcW w:w="3240" w:type="dxa"/>
            <w:vAlign w:val="bottom"/>
          </w:tcPr>
          <w:p>
            <w:pPr>
              <w:spacing w:after="0"/>
              <w:rPr>
                <w:sz w:val="24"/>
                <w:szCs w:val="24"/>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“provided that any such inability that is incurred solely due to the deterioration of the creditworthiness of</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Hedging Party shall not be deemed a Hedging Disruption. “For the avoidance of doubt, (i) the term</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price risk” shall be deemed to include, but shall not be limited to, stock price and volatility risk,</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(ii) the transactions or assets referred to in phrases (A) or (B) above must be available on</w:t>
            </w:r>
          </w:p>
        </w:tc>
      </w:tr>
      <w:tr>
        <w:trPr>
          <w:trHeight w:val="234"/>
        </w:trPr>
        <w:tc>
          <w:tcPr>
            <w:tcW w:w="3240" w:type="dxa"/>
            <w:vAlign w:val="bottom"/>
          </w:tcPr>
          <w:p>
            <w:pPr>
              <w:spacing w:after="0"/>
              <w:rPr>
                <w:sz w:val="20"/>
                <w:szCs w:val="20"/>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commercially reasonable pricing and other terms.”; and</w:t>
            </w:r>
          </w:p>
        </w:tc>
      </w:tr>
      <w:tr>
        <w:trPr>
          <w:trHeight w:val="414"/>
        </w:trPr>
        <w:tc>
          <w:tcPr>
            <w:tcW w:w="3240" w:type="dxa"/>
            <w:vAlign w:val="bottom"/>
          </w:tcPr>
          <w:p>
            <w:pPr>
              <w:spacing w:after="0"/>
              <w:rPr>
                <w:sz w:val="24"/>
                <w:szCs w:val="24"/>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 Section 12.9(b)(iii) of the Equity Definitions is hereby amended by inserting in the third line thereof,</w:t>
            </w:r>
          </w:p>
        </w:tc>
      </w:tr>
      <w:tr>
        <w:trPr>
          <w:trHeight w:val="216"/>
        </w:trPr>
        <w:tc>
          <w:tcPr>
            <w:tcW w:w="324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after the words “to terminate the Transaction”, the words “or a portion of the Transaction affected by</w:t>
            </w:r>
          </w:p>
        </w:tc>
      </w:tr>
      <w:tr>
        <w:trPr>
          <w:trHeight w:val="234"/>
        </w:trPr>
        <w:tc>
          <w:tcPr>
            <w:tcW w:w="3240" w:type="dxa"/>
            <w:vAlign w:val="bottom"/>
          </w:tcPr>
          <w:p>
            <w:pPr>
              <w:spacing w:after="0"/>
              <w:rPr>
                <w:sz w:val="20"/>
                <w:szCs w:val="20"/>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such Hedging Disruption”.</w:t>
            </w:r>
          </w:p>
        </w:tc>
      </w:tr>
      <w:tr>
        <w:trPr>
          <w:trHeight w:val="432"/>
        </w:trPr>
        <w:tc>
          <w:tcPr>
            <w:tcW w:w="3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 Increased Cost of Hedging:</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Hedging Party:</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Dealer</w:t>
            </w:r>
          </w:p>
        </w:tc>
      </w:tr>
      <w:tr>
        <w:trPr>
          <w:trHeight w:val="682"/>
        </w:trPr>
        <w:tc>
          <w:tcPr>
            <w:tcW w:w="32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929"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auto"/>
        </w:rPr>
        <w:t>Determining Party:</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all applicable Extraordinary Events, Dealer; all calculations and determinations made by the Determining Party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receipt of written request from Counterparty, the Determining Party shall 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in a commonly used file format for the storage and manipulation of financial data, but without disclosing Determining Party’s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spacing w:after="0" w:line="192" w:lineRule="exact"/>
        <w:rPr>
          <w:sz w:val="20"/>
          <w:szCs w:val="20"/>
          <w:color w:val="auto"/>
        </w:rPr>
      </w:pPr>
    </w:p>
    <w:p>
      <w:pPr>
        <w:sectPr>
          <w:pgSz w:w="11900" w:h="16838" w:orient="portrait"/>
          <w:cols w:equalWidth="0" w:num="2">
            <w:col w:w="2900" w:space="720"/>
            <w:col w:w="7620"/>
          </w:cols>
          <w:pgMar w:left="320" w:top="93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211" w:lineRule="exact"/>
        <w:rPr>
          <w:sz w:val="20"/>
          <w:szCs w:val="20"/>
          <w:color w:val="auto"/>
        </w:rPr>
      </w:pPr>
    </w:p>
    <w:p>
      <w:pPr>
        <w:sectPr>
          <w:pgSz w:w="11900" w:h="16838" w:orient="portrait"/>
          <w:cols w:equalWidth="0" w:num="2">
            <w:col w:w="2900" w:space="720"/>
            <w:col w:w="7620"/>
          </w:cols>
          <w:pgMar w:left="320" w:top="931"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452" w:lineRule="exact"/>
        <w:rPr>
          <w:sz w:val="20"/>
          <w:szCs w:val="20"/>
          <w:color w:val="auto"/>
        </w:rPr>
      </w:pPr>
    </w:p>
    <w:p>
      <w:pPr>
        <w:sectPr>
          <w:pgSz w:w="11900" w:h="16838" w:orient="portrait"/>
          <w:cols w:equalWidth="0" w:num="2">
            <w:col w:w="3380" w:space="240"/>
            <w:col w:w="7620"/>
          </w:cols>
          <w:pgMar w:left="320" w:top="9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211" w:lineRule="exact"/>
        <w:rPr>
          <w:sz w:val="20"/>
          <w:szCs w:val="20"/>
          <w:color w:val="auto"/>
        </w:rPr>
      </w:pPr>
    </w:p>
    <w:p>
      <w:pPr>
        <w:sectPr>
          <w:pgSz w:w="11900" w:h="16838" w:orient="portrait"/>
          <w:cols w:equalWidth="0" w:num="2">
            <w:col w:w="2900" w:space="720"/>
            <w:col w:w="7620"/>
          </w:cols>
          <w:pgMar w:left="320" w:top="931" w:right="339" w:bottom="1440" w:gutter="0" w:footer="0" w:header="0"/>
          <w:type w:val="continuous"/>
        </w:sectPr>
      </w:pPr>
    </w:p>
    <w:p>
      <w:pPr>
        <w:spacing w:after="0" w:line="23" w:lineRule="exact"/>
        <w:rPr>
          <w:sz w:val="20"/>
          <w:szCs w:val="20"/>
          <w:color w:val="auto"/>
        </w:rPr>
      </w:pPr>
    </w:p>
    <w:p>
      <w:pPr>
        <w:jc w:val="both"/>
        <w:ind w:firstLine="656"/>
        <w:spacing w:after="0" w:line="257" w:lineRule="auto"/>
        <w:tabs>
          <w:tab w:leader="none" w:pos="84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xml:space="preserve">: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(5)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All calculations, adjustments and determinations made by the Calculation Agent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receipt of written request from Counterparty, the Calculation Agent shall 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but without disclosing Dealer’s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spacing w:after="0" w:line="187" w:lineRule="exact"/>
        <w:rPr>
          <w:sz w:val="20"/>
          <w:szCs w:val="20"/>
          <w:color w:val="auto"/>
        </w:rPr>
      </w:pPr>
    </w:p>
    <w:p>
      <w:pPr>
        <w:ind w:left="840" w:hanging="184"/>
        <w:spacing w:after="0"/>
        <w:tabs>
          <w:tab w:leader="none" w:pos="8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 Details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Dealer Payment Instructions:</w:t>
      </w:r>
    </w:p>
    <w:p>
      <w:pPr>
        <w:sectPr>
          <w:pgSz w:w="11900" w:h="16838" w:orient="portrait"/>
          <w:cols w:equalWidth="0" w:num="1">
            <w:col w:w="11240"/>
          </w:cols>
          <w:pgMar w:left="320" w:top="931" w:right="339" w:bottom="1440" w:gutter="0" w:footer="0" w:header="0"/>
          <w:type w:val="continuous"/>
        </w:sect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Bank:</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SWIFT: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Bank Routing: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Acct Name: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Acct 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0" w:lineRule="exact"/>
        <w:rPr>
          <w:sz w:val="20"/>
          <w:szCs w:val="20"/>
          <w:color w:val="auto"/>
        </w:rPr>
      </w:pPr>
    </w:p>
    <w:p>
      <w:pPr>
        <w:sectPr>
          <w:pgSz w:w="11900" w:h="16838" w:orient="portrait"/>
          <w:cols w:equalWidth="0" w:num="2">
            <w:col w:w="2360" w:space="680"/>
            <w:col w:w="8200"/>
          </w:cols>
          <w:pgMar w:left="320" w:top="931"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Counterparty Payment Instructions: To be advised.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65" w:name="page166"/>
    <w:bookmarkEnd w:id="165"/>
    <w:p>
      <w:pPr>
        <w:ind w:left="840" w:hanging="184"/>
        <w:spacing w:after="0"/>
        <w:tabs>
          <w:tab w:leader="none" w:pos="8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Office of Dealer for the Transaction is: [____________]</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Dealer’s Office Address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The Office of Counterparty for the Transaction is: Inapplicable, Counterparty is not a Multibranch Party.</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For purposes of this Confirmation: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Address for notices or communications to Counterparty:</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Telephone No.:</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Bitdeer Technologies Group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08 Kallang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Aperia tower 1, #09-03/04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339509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Jihan Wu,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820" w:space="720"/>
            <w:col w:w="7700"/>
          </w:cols>
          <w:pgMar w:left="320" w:top="904" w:right="33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mandatory copy to: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Address for notices or communications to Dealer:</w:t>
      </w:r>
    </w:p>
    <w:p>
      <w:pPr>
        <w:sectPr>
          <w:pgSz w:w="11900" w:h="16838" w:orient="portrait"/>
          <w:cols w:equalWidth="0" w:num="1">
            <w:col w:w="11240"/>
          </w:cols>
          <w:pgMar w:left="320" w:top="904" w:right="339" w:bottom="1440" w:gutter="0" w:footer="0" w:header="0"/>
          <w:type w:val="continuous"/>
        </w:sect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Telephone:</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200" w:lineRule="exact"/>
        <w:rPr>
          <w:sz w:val="20"/>
          <w:szCs w:val="20"/>
          <w:color w:val="auto"/>
        </w:rPr>
      </w:pPr>
    </w:p>
    <w:p>
      <w:pPr>
        <w:sectPr>
          <w:pgSz w:w="11900" w:h="16838" w:orient="portrait"/>
          <w:cols w:equalWidth="0" w:num="2">
            <w:col w:w="2820" w:space="720"/>
            <w:col w:w="7700"/>
          </w:cols>
          <w:pgMar w:left="320" w:top="904" w:right="339" w:bottom="1440" w:gutter="0" w:footer="0" w:header="0"/>
          <w:type w:val="continuous"/>
        </w:sectPr>
      </w:pPr>
    </w:p>
    <w:p>
      <w:pPr>
        <w:spacing w:after="0" w:line="7" w:lineRule="exact"/>
        <w:rPr>
          <w:sz w:val="20"/>
          <w:szCs w:val="20"/>
          <w:color w:val="auto"/>
        </w:rPr>
      </w:pPr>
    </w:p>
    <w:p>
      <w:pPr>
        <w:ind w:left="840" w:hanging="184"/>
        <w:spacing w:after="0"/>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w:t>
      </w:r>
    </w:p>
    <w:p>
      <w:pPr>
        <w:spacing w:after="0" w:line="225" w:lineRule="exact"/>
        <w:rPr>
          <w:sz w:val="20"/>
          <w:szCs w:val="20"/>
          <w:color w:val="auto"/>
        </w:rPr>
      </w:pPr>
    </w:p>
    <w:p>
      <w:pPr>
        <w:ind w:firstLine="656"/>
        <w:spacing w:after="0" w:line="282" w:lineRule="auto"/>
        <w:tabs>
          <w:tab w:leader="none" w:pos="89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69" w:lineRule="auto"/>
        <w:tabs>
          <w:tab w:leader="none" w:pos="1223"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Trade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2"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7"/>
          <w:szCs w:val="17"/>
          <w:color w:val="auto"/>
        </w:rPr>
      </w:pPr>
    </w:p>
    <w:p>
      <w:pPr>
        <w:jc w:val="both"/>
        <w:ind w:left="660" w:firstLine="320"/>
        <w:spacing w:after="0" w:line="258" w:lineRule="auto"/>
        <w:tabs>
          <w:tab w:leader="none" w:pos="126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Trade Date, Counterparty is not engaged in any “distribution,” as such term is defined in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other than (i) a distribution meeting the requirements of the exceptions set forth in Rule 101(b)(10) and Rule 102(b)(7) or Rule 102(c)(1)(i) of Regulation M and (ii) the distribution of Shares by Counterparty concurrently with the distribution of the Convertible Securities (as defined below). Counterparty shall not, until the second Exchange Business Day immediately following the Trade Date, engage in any such distribution.</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302"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ASC Topic 480,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and ASC</w:t>
      </w:r>
      <w:r>
        <w:rPr>
          <w:rFonts w:ascii="Times New Roman" w:cs="Times New Roman" w:eastAsia="Times New Roman" w:hAnsi="Times New Roman"/>
          <w:sz w:val="18"/>
          <w:szCs w:val="18"/>
          <w:i w:val="1"/>
          <w:iCs w:val="1"/>
          <w:color w:val="auto"/>
        </w:rPr>
        <w:t xml:space="preserve"> 815-40, 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Contracts in Entity’s Own Equity </w:t>
      </w:r>
      <w:r>
        <w:rPr>
          <w:rFonts w:ascii="Times New Roman" w:cs="Times New Roman" w:eastAsia="Times New Roman" w:hAnsi="Times New Roman"/>
          <w:sz w:val="18"/>
          <w:szCs w:val="18"/>
          <w:color w:val="auto"/>
        </w:rPr>
        <w:t>(or any successor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66" w:name="page167"/>
    <w:bookmarkEnd w:id="166"/>
    <w:p>
      <w:pPr>
        <w:ind w:left="660" w:firstLine="320"/>
        <w:spacing w:after="0" w:line="282" w:lineRule="auto"/>
        <w:tabs>
          <w:tab w:leader="none" w:pos="124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3(a)(iii) of the Agreement, the Transaction will not violate Rule 13e-1 or Rule 13e-4 under the Exchange Act.</w:t>
      </w:r>
    </w:p>
    <w:p>
      <w:pPr>
        <w:spacing w:after="0" w:line="161"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313"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Trade Date, Counterparty shall deliver to Dealer a resolution of Counterparty’s board of directors authorizing the Transaction and approving the Transaction.</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343"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w:t>
      </w:r>
    </w:p>
    <w:p>
      <w:pPr>
        <w:spacing w:after="0" w:line="175" w:lineRule="exact"/>
        <w:rPr>
          <w:rFonts w:ascii="Times New Roman" w:cs="Times New Roman" w:eastAsia="Times New Roman" w:hAnsi="Times New Roman"/>
          <w:sz w:val="18"/>
          <w:szCs w:val="18"/>
          <w:color w:val="auto"/>
        </w:rPr>
      </w:pPr>
    </w:p>
    <w:p>
      <w:pPr>
        <w:ind w:left="660" w:firstLine="320"/>
        <w:spacing w:after="0" w:line="282" w:lineRule="auto"/>
        <w:tabs>
          <w:tab w:leader="none" w:pos="140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55" w:lineRule="auto"/>
        <w:tabs>
          <w:tab w:leader="none" w:pos="130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immediately after each of the Trade Date and the Premium Payment Date, (A) the assets of Counterparty at their fair valuation exceed the liabilities of Counterparty, including contingent liabilities,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w:t>
      </w:r>
    </w:p>
    <w:p>
      <w:pPr>
        <w:spacing w:after="0" w:line="2"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6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will not be,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(E) Counterparty would be able to purchase the number of Shares with respect to the Transaction in compliance with the laws of the jurisdiction of Counterparty’s incorporation or organization, and (F) for the purposes of Cayman Islands law, Counterparty is able to pay its debts.</w:t>
      </w:r>
    </w:p>
    <w:p>
      <w:pPr>
        <w:spacing w:after="0" w:line="188"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24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Counterparty’s knowledge,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representation shall be made by Counterparty with respect to any rules and regulations applicable to Dealer (including the Financial Industry Regulatory Authority, Inc.) arising from Dealer’s status as a regulated entity under applicable law.</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57" w:lineRule="auto"/>
        <w:tabs>
          <w:tab w:leader="none" w:pos="132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total assets of at least USD 50 million; and</w:t>
      </w:r>
    </w:p>
    <w:p>
      <w:pPr>
        <w:spacing w:after="0" w:line="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spacing w:after="0" w:line="185"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36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 is suitable for Counterparty, for its commercial benefit and in its best interests, in light of its own investment objectives, financial condition and expertise and (B) has been duly approved and authorized by the Counterparty’s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after due consideration by the Board of the foregoing matters and those referred to Section 7(a)(xi) above.</w:t>
      </w:r>
    </w:p>
    <w:p>
      <w:pPr>
        <w:spacing w:after="0" w:line="176" w:lineRule="exact"/>
        <w:rPr>
          <w:sz w:val="20"/>
          <w:szCs w:val="20"/>
          <w:color w:val="auto"/>
        </w:rPr>
      </w:pPr>
    </w:p>
    <w:p>
      <w:pPr>
        <w:jc w:val="both"/>
        <w:ind w:right="20" w:firstLine="656"/>
        <w:spacing w:after="0" w:line="266" w:lineRule="auto"/>
        <w:tabs>
          <w:tab w:leader="none" w:pos="92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656"/>
        <w:spacing w:after="0" w:line="253" w:lineRule="auto"/>
        <w:tabs>
          <w:tab w:leader="none" w:pos="89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49"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agrees and acknowledges that Dealer is a “financial institution,” “swap participant” and “financial participant” within the meaning of Sections 101(22), 101(53C) and 101(22A) of the Bankruptcy Code. The parties hereto further agree and acknowledge</w:t>
      </w:r>
    </w:p>
    <w:p>
      <w:pPr>
        <w:jc w:val="both"/>
        <w:ind w:firstLine="8"/>
        <w:spacing w:after="0" w:line="252" w:lineRule="auto"/>
        <w:tabs>
          <w:tab w:leader="none" w:pos="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Confirmation is (i)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within the meaning of Section 546 of the Bankruptcy Code, and (B) that Dealer is entitled to the protections afforded by, among other sections, Sections 362(b)(6), 362(b)(17), 362(b)(27), 362(o), 546(e), 546(g), 546(j), 548(d)(2), 555, 560 and 561 of the Bankruptcy Code.</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9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effectiveness of the Transaction, Counterparty shall deliver to Dealer (A) an opinion of U.S. counsel and (B) an opinion of Cayman counsel, each dated as of the Premium Payment Date, with respect to, collectively, the matters set forth in Sections 3(a)(i), (ii), (iii) and (iv) of the Agreement and Section 7(a)(viii) of this Confirmation, it being understood that such opinions of counsel shall be limited to the federal laws of the United States and the laws of the State of New York (in the case of clause (A) above) and the laws of the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73"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understands that notwithstanding any other relationship between Counterparty and Dealer and its affiliates, in connection with the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1"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that it has received, read and understands the OTC Options Risk Disclosure Statement and a copy of the most recent disclosure pamphlet prepared by The Options Clearing Corporation entitled “Characteristics and Risks of Standardized Options”.]</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9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to the extent practicable and permitted by applicable laws, provide a written notice to Dealer prior to the date that Counterparty ceases to qualify as a “foreign private issuer” as defined in Rule 3b-4 under the Exchange Act or the Shares otherwise become subject to the requirements of Section 16 of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left="840" w:hanging="184"/>
        <w:spacing w:after="0"/>
        <w:tabs>
          <w:tab w:leader="none" w:pos="8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5" w:lineRule="auto"/>
        <w:tabs>
          <w:tab w:leader="none" w:pos="89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Extend</w:t>
      </w:r>
      <w:r>
        <w:rPr>
          <w:rFonts w:ascii="Times New Roman" w:cs="Times New Roman" w:eastAsia="Times New Roman" w:hAnsi="Times New Roman"/>
          <w:sz w:val="18"/>
          <w:szCs w:val="18"/>
          <w:color w:val="auto"/>
        </w:rPr>
        <w:t>. Dealer may divide any Component into additional Components and designate the Expiration Date and the Number of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each such Component if Dealer determines, (x) in good faith and a commercially reasonable manner, that such further division is necessary or advisable to preserve Dealer’s hedging or hedge unwind activity, assuming Dealer maintains a commercially reasonable hedge position, hereunder in light of existing liquidity conditions or (y) in good faith, based on the advice of counsel, that such further division is necessary or advisable to enable Dealer to effect purchases of Shares in connection with its commercially reasonable hedging, hedge unwind or settlement activity hereunder in a manner that would, if Dealer were Counterparty or an affiliated purchaser of Counterparty, be compliant and consistent with applicable legal, regulatory or self-regulatory requirements, or with related policies and procedures, generally applicable to transactions of the type of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Expiration Date for any Component be postponed to a date later than the Final Termination Date.</w:t>
      </w:r>
    </w:p>
    <w:p>
      <w:pPr>
        <w:spacing w:after="0" w:line="184" w:lineRule="exact"/>
        <w:rPr>
          <w:rFonts w:ascii="Times New Roman" w:cs="Times New Roman" w:eastAsia="Times New Roman" w:hAnsi="Times New Roman"/>
          <w:sz w:val="18"/>
          <w:szCs w:val="18"/>
          <w:color w:val="auto"/>
        </w:rPr>
      </w:pPr>
    </w:p>
    <w:p>
      <w:pPr>
        <w:jc w:val="both"/>
        <w:ind w:firstLine="656"/>
        <w:spacing w:after="0" w:line="251" w:lineRule="auto"/>
        <w:tabs>
          <w:tab w:leader="none" w:pos="93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Termination Events</w:t>
      </w:r>
      <w:r>
        <w:rPr>
          <w:rFonts w:ascii="Times New Roman" w:cs="Times New Roman" w:eastAsia="Times New Roman" w:hAnsi="Times New Roman"/>
          <w:sz w:val="18"/>
          <w:szCs w:val="18"/>
          <w:color w:val="auto"/>
        </w:rPr>
        <w:t>. Promptly (but in any event within ten Scheduled Trading Days) following any repurchase,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or conversion of any of Counterparty’s [_____]% Convertible Senior Notes due 2031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issued pursuant to Counterparty’s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be dated November [__], 2025, between Counterparty and U.S. Bank Trust Company, National Association, as trustee, Counterparty may, but is not required to, notify Dealer in writing of such repurchase, redemption, exchange or conversion and the number of Convertible Notes so repurchased, redeemed, exchanged or converted, the number of Shares underlying such Convertible Notes and the number of Options as to which Counterparty elects to exercise its termination rights under this Section 8(b) (any such notice, a “</w:t>
      </w:r>
      <w:r>
        <w:rPr>
          <w:rFonts w:ascii="Times New Roman" w:cs="Times New Roman" w:eastAsia="Times New Roman" w:hAnsi="Times New Roman"/>
          <w:sz w:val="18"/>
          <w:szCs w:val="18"/>
          <w:b w:val="1"/>
          <w:bCs w:val="1"/>
          <w:color w:val="auto"/>
        </w:rPr>
        <w:t>Repayment Notice</w:t>
      </w:r>
      <w:r>
        <w:rPr>
          <w:rFonts w:ascii="Times New Roman" w:cs="Times New Roman" w:eastAsia="Times New Roman" w:hAnsi="Times New Roman"/>
          <w:sz w:val="18"/>
          <w:szCs w:val="18"/>
          <w:color w:val="auto"/>
        </w:rPr>
        <w:t>” and any such event, a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Notwithstanding anything to the contrary in this Confirmation, the receipt by Dealer from Counterparty of (x) any Repayment Notice, within the applicable time period set forth in the preceding sentence, (y) a written representation and warranty by Counterparty that, as of the date of such Repayment Notice, Counterparty is not in possession of any material non-public information regarding Counterparty or the Shares, and (z) a written representation and warranty by Counterparty that the aggregate Repayment Options, together with any options being terminated concurrently under other capped call entered into in connection with the issuance of the Convertible Notes, will not exceed the number of Shares underlying the Convertible Notes specified in such Repayment Notice divided by the Option Entitlement, shall constitute an Additional Termination Event as provided in this paragraph. Upon receipt of any such Repayment Notice and the related written representation and warranty, Dealer shall promptly designate an Exchange Business Day following receipt of such Repayment Notice as an Early Termination Date with respect to the portion of the Transaction corresponding to a number of Options (the “</w:t>
      </w:r>
      <w:r>
        <w:rPr>
          <w:rFonts w:ascii="Times New Roman" w:cs="Times New Roman" w:eastAsia="Times New Roman" w:hAnsi="Times New Roman"/>
          <w:sz w:val="18"/>
          <w:szCs w:val="18"/>
          <w:b w:val="1"/>
          <w:bCs w:val="1"/>
          <w:color w:val="auto"/>
        </w:rPr>
        <w:t>Repayment Options</w:t>
      </w:r>
      <w:r>
        <w:rPr>
          <w:rFonts w:ascii="Times New Roman" w:cs="Times New Roman" w:eastAsia="Times New Roman" w:hAnsi="Times New Roman"/>
          <w:sz w:val="18"/>
          <w:szCs w:val="18"/>
          <w:color w:val="auto"/>
        </w:rPr>
        <w:t>”) equal to the lesser of (A) the number of Options that is specified in such Repayment Notice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“Repayment Options” (as defined in the Base Capped Call Transaction Confirmation, dated as of November [__], 2025, between Counterparty and Dealer relating to the Convertible Notes (the “</w:t>
      </w:r>
      <w:r>
        <w:rPr>
          <w:rFonts w:ascii="Times New Roman" w:cs="Times New Roman" w:eastAsia="Times New Roman" w:hAnsi="Times New Roman"/>
          <w:sz w:val="18"/>
          <w:szCs w:val="18"/>
          <w:b w:val="1"/>
          <w:bCs w:val="1"/>
          <w:color w:val="auto"/>
        </w:rPr>
        <w:t>Base Capped Call Transaction Confirmation</w:t>
      </w:r>
      <w:r>
        <w:rPr>
          <w:rFonts w:ascii="Times New Roman" w:cs="Times New Roman" w:eastAsia="Times New Roman" w:hAnsi="Times New Roman"/>
          <w:sz w:val="18"/>
          <w:szCs w:val="18"/>
          <w:color w:val="auto"/>
        </w:rPr>
        <w:t>”)), if any, that relate to such Convertible Notes (and for purposes of determining whether any Options under this Confirmation or under the Base Capped Call Transaction Confirmation shall be among the Repayment Options hereunder or under, and as defined in, the Base Capped Call Transaction Confirmation, such Convertible Notes shall be allocated first to the Base Capped Call Transaction Confirmation until all Options thereunder are exercised or terminated)] and (B) the aggregate Number of Options as of the date Dealer designates such Early Termination Date and, as of such date, the aggregate Number of Options shall be reduced by the number of Repayment Options on a pro rata basis across the Components for the Transaction, as determined by the Calculation Agent in a commercially reasonable manner. Any payment hereunder with respect to such termination shall be calculated pursuant to Section 6 of the Agreement as if (1) an Early Termination Date had been designated in respect of a Transaction having terms identical to the Transaction and an aggregate Number of Options equal to the number of Repayment Options, (2) Counterparty were the sole Affected Party with respect to such Additional Termination Event and (3) the terminated portion of the Transaction were the sole Affected Transaction.</w:t>
      </w:r>
    </w:p>
    <w:p>
      <w:pPr>
        <w:spacing w:after="0" w:line="203"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Alternative Calculations and Payment on Early Termination and on Certain Extraordinary Events</w:t>
      </w:r>
      <w:r>
        <w:rPr>
          <w:rFonts w:ascii="Times New Roman" w:cs="Times New Roman" w:eastAsia="Times New Roman" w:hAnsi="Times New Roman"/>
          <w:sz w:val="18"/>
          <w:szCs w:val="18"/>
          <w:color w:val="auto"/>
        </w:rPr>
        <w:t>. If (a) an Early Termination Date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 (iii) an Event of Default in which Counterparty is the Defaulting Party or a Termination Event in which Counterparty is the Affected Party, which Event of Default or Termination Event resulted from an event or events within Counterparty’s control), and if Dealer would owe any amount to Counterparty pursuant to Section 6(d)(ii) and 6(e)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Obligation”), </w:t>
      </w:r>
      <w:r>
        <w:rPr>
          <w:rFonts w:ascii="Times New Roman" w:cs="Times New Roman" w:eastAsia="Times New Roman" w:hAnsi="Times New Roman"/>
          <w:sz w:val="18"/>
          <w:szCs w:val="18"/>
          <w:color w:val="auto"/>
        </w:rPr>
        <w:t>then Dealer shall satisfy the Payment Obligation by the Share Termination Alternative (as defined below) unless (a) Counterparty gives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is not in possession of any material non-public information regarding Counterparty or the Shares, and that such election is being made in good faith and not as part of a plan or scheme to evade compliance with the federal securities laws, and (c) Dealer agrees, in its sole commercially reasonable discretion, to such election, in which case the provisions of Section 12.7 or Section 12.9 of the Equity Definitions, or the provisions of Section 6(d)(ii) and 6(e) of the Agreement, as the case may be, shall apply.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16"/>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Termination Alternative:</w:t>
            </w: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If applicable, Dealer shall deliver to Counterparty the Share Termination Delivery Property</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on, or within a commercially reasonable period of time after, the date when the relevant</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Payment Obligation would otherwise be due pursuant to Section 12.7 or 12.9 of the Equity</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Definitions or Section 6(d)(ii) and 6(e) of the Agreement, as applicable, in satisfaction of</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such Payment Obligation in the manner reasonably requested by Counterparty free of</w:t>
            </w:r>
          </w:p>
        </w:tc>
      </w:tr>
      <w:tr>
        <w:trPr>
          <w:trHeight w:val="234"/>
        </w:trPr>
        <w:tc>
          <w:tcPr>
            <w:tcW w:w="3660" w:type="dxa"/>
            <w:vAlign w:val="bottom"/>
          </w:tcPr>
          <w:p>
            <w:pPr>
              <w:spacing w:after="0"/>
              <w:rPr>
                <w:sz w:val="20"/>
                <w:szCs w:val="20"/>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payment.</w:t>
            </w:r>
          </w:p>
        </w:tc>
      </w:tr>
      <w:tr>
        <w:trPr>
          <w:trHeight w:val="414"/>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Termination Delivery Property:</w:t>
            </w: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 number of Share Termination Delivery Units, as calculated by the Calculation Agent,</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equal to the Payment Obligation divided by the Share Termination Unit Price. The</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Calculation Agent shall adjust the Share Termination Delivery Property by replacing any</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fractional portion of a security therein with an amount of cash equal to the value of such</w:t>
            </w:r>
          </w:p>
        </w:tc>
      </w:tr>
      <w:tr>
        <w:trPr>
          <w:trHeight w:val="234"/>
        </w:trPr>
        <w:tc>
          <w:tcPr>
            <w:tcW w:w="3660" w:type="dxa"/>
            <w:vAlign w:val="bottom"/>
          </w:tcPr>
          <w:p>
            <w:pPr>
              <w:spacing w:after="0"/>
              <w:rPr>
                <w:sz w:val="20"/>
                <w:szCs w:val="20"/>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fractional security based on the values used to calculate the Share Termination Unit Price.</w:t>
            </w:r>
          </w:p>
        </w:tc>
      </w:tr>
      <w:tr>
        <w:trPr>
          <w:trHeight w:val="414"/>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Termination Unit Price:</w:t>
            </w: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value of property contained in one Share Termination Delivery Unit, as determined by</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Calculation Agent in its discretion by commercially reasonable means and notified by</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Calculation Agent to Dealer at the time of notification of the Payment Obligation. For</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avoidance of doubt, the parties agree that in determining the Share Termination Delivery</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 Price the Calculation Agent may consider a variety of factors, including the market</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price of the Share Termination Delivery Units and/or the purchase price paid in connection</w:t>
            </w:r>
          </w:p>
        </w:tc>
      </w:tr>
      <w:tr>
        <w:trPr>
          <w:trHeight w:val="234"/>
        </w:trPr>
        <w:tc>
          <w:tcPr>
            <w:tcW w:w="3660" w:type="dxa"/>
            <w:vAlign w:val="bottom"/>
          </w:tcPr>
          <w:p>
            <w:pPr>
              <w:spacing w:after="0"/>
              <w:rPr>
                <w:sz w:val="20"/>
                <w:szCs w:val="20"/>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with the commercially reasonable purchase of Share Termination Delivery Property.</w:t>
            </w:r>
          </w:p>
        </w:tc>
      </w:tr>
      <w:tr>
        <w:trPr>
          <w:trHeight w:val="414"/>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Termination Delivery Unit:</w:t>
            </w: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receive cash or any other property as the result of a Nationalization, Insolvency or Merger</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Event (any such cash or other property, the “Exchange Property”), a unit consisting of the</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type and amount of such Exchange Property received by a holder of one Share (without</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consideration of any requirement to pay cash or other consideration in lieu of fractional</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amounts of any securities) in such Nationalization, Insolvency or Merger Event, as</w:t>
            </w:r>
          </w:p>
        </w:tc>
      </w:tr>
      <w:tr>
        <w:trPr>
          <w:trHeight w:val="234"/>
        </w:trPr>
        <w:tc>
          <w:tcPr>
            <w:tcW w:w="3660" w:type="dxa"/>
            <w:vAlign w:val="bottom"/>
          </w:tcPr>
          <w:p>
            <w:pPr>
              <w:spacing w:after="0"/>
              <w:rPr>
                <w:sz w:val="20"/>
                <w:szCs w:val="20"/>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determined by the Calculation Agent.</w:t>
            </w:r>
          </w:p>
        </w:tc>
      </w:tr>
      <w:tr>
        <w:trPr>
          <w:trHeight w:val="432"/>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Failure to Deliver:</w:t>
            </w: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Applicable Provisions:</w:t>
            </w: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(as modified above) of the Equity Definitions and the provisions set forth opposite the</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caption “Representation and Agreement” in Section 2 will be applicable, except that all</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references in such provisions to “Physically-settled” shall be read as references to “Share</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Termination Settled” and all references to “Shares” shall be read as references to “Share</w:t>
            </w:r>
          </w:p>
        </w:tc>
      </w:tr>
      <w:tr>
        <w:trPr>
          <w:trHeight w:val="216"/>
        </w:trPr>
        <w:tc>
          <w:tcPr>
            <w:tcW w:w="366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Termination Delivery Units”.  “Share Termination Settled” in relation to the Transaction</w:t>
            </w:r>
          </w:p>
        </w:tc>
      </w:tr>
      <w:tr>
        <w:trPr>
          <w:trHeight w:val="234"/>
        </w:trPr>
        <w:tc>
          <w:tcPr>
            <w:tcW w:w="3660" w:type="dxa"/>
            <w:vAlign w:val="bottom"/>
          </w:tcPr>
          <w:p>
            <w:pPr>
              <w:spacing w:after="0"/>
              <w:rPr>
                <w:sz w:val="20"/>
                <w:szCs w:val="20"/>
                <w:color w:val="auto"/>
              </w:rPr>
            </w:pPr>
          </w:p>
        </w:tc>
        <w:tc>
          <w:tcPr>
            <w:tcW w:w="75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means that the Share Termination Alternative is applicable to the Transaction.</w:t>
            </w:r>
          </w:p>
        </w:tc>
      </w:tr>
      <w:tr>
        <w:trPr>
          <w:trHeight w:val="655"/>
        </w:trPr>
        <w:tc>
          <w:tcPr>
            <w:tcW w:w="36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904" w:right="339" w:bottom="1440" w:gutter="0" w:footer="0" w:header="0"/>
        </w:sectPr>
      </w:pPr>
    </w:p>
    <w:bookmarkStart w:id="170" w:name="page171"/>
    <w:bookmarkEnd w:id="170"/>
    <w:p>
      <w:pPr>
        <w:jc w:val="both"/>
        <w:ind w:firstLine="656"/>
        <w:spacing w:after="0" w:line="254" w:lineRule="auto"/>
        <w:tabs>
          <w:tab w:leader="none" w:pos="90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Disposition of Hedge Shares</w:t>
      </w:r>
      <w:r>
        <w:rPr>
          <w:rFonts w:ascii="Times New Roman" w:cs="Times New Roman" w:eastAsia="Times New Roman" w:hAnsi="Times New Roman"/>
          <w:sz w:val="18"/>
          <w:szCs w:val="18"/>
          <w:color w:val="auto"/>
        </w:rPr>
        <w:t>. Counterparty hereby agrees that if, in the good faith reasonable judgment of Dealer, based on the advice of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the Shares acquired by Dealer for the purpose of effecting a commercially reasonable hedge of its obligations pursuant to the Transaction (the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cannot be sold in the U.S. public market by Dealer without registration under the Securities Act, Counterparty shall, at its election: (i) in order to allow Dealer to sell the Hedge Shares in a registered offering, use its commercially reasonable efforts to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for companies of a similar size in a similar industry,</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1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accountant’s “comfort” letters in customary form for registered offerings of equity securities for companies of a similar size in a similar industry, (C) provide disclosure opinions of nationally recognized outside counsel to Counterparty in customary form for registered offerings of equity securities for companies of a similar size in a similar industry, (D) provide other customary opinions, certificates and closing documents customary in form for registered offerings of equity securities for companies of a similar size in a similar industry and (E) afford Dealer a reasonable opportunity to conduct a “due diligence” investigation with respect to Counterparty customary in scope for underwritten offerings of equity securities for companies of a similar size in a similar industry;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Counterparty elects clause (i) above but Dealer, in its commercially reasonable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companies of a similar size in a similar industry, in form and substance commercially reasonably satisfactory to Dealer using best efforts to include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of equity securities of companies of a similar size in a similar industry, as is reasonably acceptable to Dealer (in which case, the Calculation Agent shall make any adjustments to the terms of the Transaction that are necessary, in its good faith and commercially reasonable judgment, to compensate Dealer for any customary liquidity discount from the public market price of the Shares incurred on the sale of Hedge Shares in a private placement); or (iii) purchase the Hedge Shares from Dealer at the Relevant Price on such Exchange Business Days, and in the amounts, requested by Dealer. This Section 8(d) shall survive the termination, expiration or early unwind of the Transaction.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1" w:lineRule="auto"/>
        <w:tabs>
          <w:tab w:leader="none" w:pos="90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Notices</w:t>
      </w:r>
      <w:r>
        <w:rPr>
          <w:rFonts w:ascii="Times New Roman" w:cs="Times New Roman" w:eastAsia="Times New Roman" w:hAnsi="Times New Roman"/>
          <w:sz w:val="18"/>
          <w:szCs w:val="18"/>
          <w:color w:val="auto"/>
        </w:rPr>
        <w:t>. Counterparty shall, at least one Scheduled Trading Day prior to any day on which Counterparty intends to effect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of Shares, give Dealer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xml:space="preserve">”) on such day if, following such repurchase, the number of outstanding Shares as determined on such day is (i) less than [_____]million (in the case of the first such notice) and (ii) thereafter, more than [ ] million less than the number of Shares included 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repurchases of Shares pursuant to a plan under Rule 10b5-1 under the Exchange Act,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8(e)). Notwithstanding the foregoing or anything to the contrary, Counterparty agrees that, if Counterparty fails to provide Dealer with a Repurchase Notice on the day and in the manner specified in this Section 8(e) and either (x) Counterparty ceases to qualify as a “foreign private issuer” as defined in Rule 3b-4 under the Exchange Act or (y) the Shares otherwise become subject to Section 16 of the Exchange Act, Counterparty will indemnify and hold harmless Dealer, its affiliates and their respective directors, officers, employees, affiliates and controlling persons (Dealer and each such person being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losses (including losses relating to Dealer’s commercially reasonable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and liabilities (or actions in respect thereof), joint or several, to which such Indemnified Party may become subject under applicable securities laws, including without limitation, Section 16 of the Exchange Act or under any U.S. state or federal law, regulation or regulatory order, in each case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In addition, Counterparty shall not have liability for any settlement of any proceeding contemplated by this paragraph that is effected without its written consent, such consent not to be unreasonably withheld,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such consent not to be unreasonably withheld or delayed, effect any settlement of any such proceeding contemplated by this paragraph that is pending or threatened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proceedings on terms reasonably satisfactory to such Indemnified Person. This indemnity shall survive the completion of the Transaction contemplated by this Confirmation and any assignment and delegation of the Transaction made pursuant to this Confirmation or the Agreement shall inure to the benefit of any permitted assignee of Dealer. Counterparty will not be liable under this indemnity provision to the extent any loss, claim, damage, liability or expense is found in a final and non-appealable judgment by a court of competent jurisdiction to have resulted from Dealer’s gross negligence or willful misconduct.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1" w:name="page172"/>
    <w:bookmarkEnd w:id="171"/>
    <w:p>
      <w:pPr>
        <w:ind w:left="880" w:hanging="224"/>
        <w:spacing w:after="0"/>
        <w:tabs>
          <w:tab w:leader="none" w:pos="8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Assignment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56"/>
        <w:spacing w:after="0" w:line="251" w:lineRule="auto"/>
        <w:tabs>
          <w:tab w:leader="none" w:pos="90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Dealer may transfer or assign any of its rights or obligations under the Transaction with the prior written consent of Counterparty, such consent not to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may transfer or assign its rights and obligations hereunder, in whole or in part, (A) without Counterparty’s consent, to any affiliate or branch of Dealer (1) that has a long-term issuer rating that is equal to or better than Dealer’s credit rating at the time of such transfer or assignment, or (2) whose obligations would be guaranteed by Dealer or Dealer Parent or (B) with Counterparty’s consent (such consent not to be unreasonably withheld or delayed), to any person (including any affiliate or branch of Dealer whose obligations are not guaranteed in the manner described in clause (A)) or any person whose obligations would be guaranteed by a person (a “</w:t>
      </w:r>
      <w:r>
        <w:rPr>
          <w:rFonts w:ascii="Times New Roman" w:cs="Times New Roman" w:eastAsia="Times New Roman" w:hAnsi="Times New Roman"/>
          <w:sz w:val="18"/>
          <w:szCs w:val="18"/>
          <w:b w:val="1"/>
          <w:bCs w:val="1"/>
          <w:color w:val="auto"/>
        </w:rPr>
        <w:t>Designated Transferee</w:t>
      </w:r>
      <w:r>
        <w:rPr>
          <w:rFonts w:ascii="Times New Roman" w:cs="Times New Roman" w:eastAsia="Times New Roman" w:hAnsi="Times New Roman"/>
          <w:sz w:val="18"/>
          <w:szCs w:val="18"/>
          <w:color w:val="auto"/>
        </w:rPr>
        <w:t xml:space="preserve">”), in either case under this clause (B), with a rating for its long-term, unsecured and unsubordinated indebtedness at least equivalent to Dealer’s (or its guarantor’s),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this clause (B), in no event shall the credit rating of the Designated Transferee or of its guarantor (whichever is higher)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lower than A3 from Moody’s Investor Service, Inc. or its successor or A- from S&amp;P Global Ratings, a division of S&amp;P Global, Inc. or its successor;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 Dealer will notify Counterparty in writing promptly following any transfer or assignment to a Designated Transferee, (ii)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such transfer or assignment, Counterparty will not be required to pay the transferee or assignee of such rights or obligations on any payment date an amount under Section 2(d)(i)(4) of the Agreement greater than the amount, if any, that Counterparty would have been required to pay Dealer in the absence of such transfer or assignment, (iii) after such transfer, Counterparty will not, as a result of any withholding or deduction made by the transferee or assignee as a result of any Tax, receive from the transferee or assignee on any payment date or delivery date (after accounting for amounts paid by the transferee or assignee under Section 2(d)(i)(4) of the Agreement as well as such withholding or deduction) an amount or a number of Shares, as applicable, lower than the amount or the number of Shares, as applicable that Dealer would have been required to pay or deliver to Counterparty in the absence of such Transfer, except to the extent such lower amount or number of Shares is due to a change in tax law after the date of such Transfer, (iv) such transfer or assignment does not cause a deemed exchange for Counterparty of the Transactions under Section 1001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(v) prior to becoming a party to the Transaction, the transferee or assignee shall have made the Payee Tax Representations and provided such tax documentation as may be reasonably requested by Counterparty to permit Counterparty to determine that the consequences described in clauses (ii) through (iv) above will not occur upon or after such transfer and assignment. If at any time at which (1) the Equity Percentage exceeds 9.0% or (2) Dealer, Dealer Group (as defined below) or any person whose ownership position would be aggregated with that of Dealer or Dealer Group (Dealer, Dealer Group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federal, state or local (or non-U.S. jurisdiction’s) law, rule, regulation or regulatory order or organizational documents or contracts of Counterparty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1% of the number of Shares outstanding on the date of determination (either such condition described in clause (1) or (2),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if Dealer, in its reasonable discretion, is unable to effect a transfer or assignment to a third party in accordance with the requirements set forth above after its commercially reasonable efforts on pricing and terms and within a time period reasonably acceptable to Dealer such that an Excess Ownership Position no longer exists, Dealer may designate any Scheduled Trading Day as an Early Termination Date with respect to a portion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of the Transaction, such that an Excess Ownership Position no longer exists following such partial termination. In the event that Dealer so designates an Early Termination Date with respect to a portion of the Transaction, a payment or delivery shall be made pursuant to Section 6 of the Agreement and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 w:cs="Times New Roman" w:eastAsia="Times New Roman" w:hAnsi="Times New Roman"/>
          <w:sz w:val="18"/>
          <w:szCs w:val="18"/>
          <w:b w:val="1"/>
          <w:bCs w:val="1"/>
          <w:color w:val="auto"/>
        </w:rPr>
        <w:t>Equity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Times New Roman" w:cs="Times New Roman" w:eastAsia="Times New Roman" w:hAnsi="Times New Roman"/>
          <w:sz w:val="18"/>
          <w:szCs w:val="18"/>
          <w:b w:val="1"/>
          <w:bCs w:val="1"/>
          <w:color w:val="auto"/>
        </w:rPr>
        <w:t>Dealer Group</w:t>
      </w:r>
      <w:r>
        <w:rPr>
          <w:rFonts w:ascii="Times New Roman" w:cs="Times New Roman" w:eastAsia="Times New Roman" w:hAnsi="Times New Roman"/>
          <w:sz w:val="18"/>
          <w:szCs w:val="18"/>
          <w:color w:val="auto"/>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2" w:name="page173"/>
    <w:bookmarkEnd w:id="172"/>
    <w:p>
      <w:pPr>
        <w:jc w:val="both"/>
        <w:ind w:firstLine="656"/>
        <w:spacing w:after="0" w:line="258" w:lineRule="auto"/>
        <w:tabs>
          <w:tab w:leader="none" w:pos="91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transfer or assign any of its rights or obligations under the Transaction with the prior written consent of Dealer, such consent not to be unreasonably withheld or delayed. In the case of a transfer or assignment by Counterparty of its rights and obligations hereunder and under the Agreement, in whole or in part (any such Options so transferred or assigned,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to any party, withholding of such consent by Dealer shall not be considered unreasonable if such transfer or assignment does not meet the reasonable conditions that Dealer may impose including, but not limited to, the following conditions:</w:t>
      </w:r>
    </w:p>
    <w:p>
      <w:pPr>
        <w:spacing w:after="0" w:line="183" w:lineRule="exact"/>
        <w:rPr>
          <w:rFonts w:ascii="Times New Roman" w:cs="Times New Roman" w:eastAsia="Times New Roman" w:hAnsi="Times New Roman"/>
          <w:sz w:val="18"/>
          <w:szCs w:val="18"/>
          <w:color w:val="auto"/>
        </w:rPr>
      </w:pPr>
    </w:p>
    <w:p>
      <w:pPr>
        <w:ind w:left="660" w:firstLine="320"/>
        <w:spacing w:after="0" w:line="282" w:lineRule="auto"/>
        <w:tabs>
          <w:tab w:leader="none" w:pos="130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8(e) or any obligations under Section 2 (regarding Extraordinary Events) or 8(d) of this Confirmation;</w:t>
      </w:r>
    </w:p>
    <w:p>
      <w:pPr>
        <w:spacing w:after="0" w:line="161"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29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customary legal opinions with respect to securities laws and other matters by such third party and Counterparty as are reasonably requested and reasonably satisfactory to Dealer;</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28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and assignment, be required to pay or deliver to the transferee or assignee on any payment date an amount or number of Shares (after accounting for any amounts payable under Section 2(d)(i)(4) of the Agreement as well as any withholding or deduction on such payments or deliveries greater than the amount or number of Shares that Dealer would have been required to pay to Counterparty in the absence of such transfer and assignment, except to the extent such lower amount or number of Shares is due to a change in tax law after the date of such transfer or assignment;</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71"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or assignment, receive from the transferee or assignee any amount or number of Shares less than it would have been entitled to receive (including under Section 2(d)(i)(4) of the Agreement) in the absence of such transfer or assignment, except to the extent such lower amount or number of Shares is due to a change in tax law after the date of such transfer or assignment;</w:t>
      </w:r>
    </w:p>
    <w:p>
      <w:pPr>
        <w:spacing w:after="0" w:line="17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and assignment;</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8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caused the transferee to make such Payee Tax Representations and to provide such tax documentation as may be reasonably requested by Dealer to permit Dealer to determine that the consequences described in clause (D) and (E) will not occur upon or after such transfer and assignment; and</w:t>
      </w:r>
    </w:p>
    <w:p>
      <w:pPr>
        <w:spacing w:after="0" w:line="175" w:lineRule="exact"/>
        <w:rPr>
          <w:rFonts w:ascii="Times New Roman" w:cs="Times New Roman" w:eastAsia="Times New Roman" w:hAnsi="Times New Roman"/>
          <w:sz w:val="18"/>
          <w:szCs w:val="18"/>
          <w:color w:val="auto"/>
        </w:rPr>
      </w:pPr>
    </w:p>
    <w:p>
      <w:pPr>
        <w:ind w:left="660" w:firstLine="320"/>
        <w:spacing w:after="0" w:line="282" w:lineRule="auto"/>
        <w:tabs>
          <w:tab w:leader="none" w:pos="1319"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6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solely to the extent of any such performance</w:t>
      </w:r>
    </w:p>
    <w:p>
      <w:pPr>
        <w:spacing w:after="0" w:line="181" w:lineRule="exact"/>
        <w:rPr>
          <w:sz w:val="20"/>
          <w:szCs w:val="20"/>
          <w:color w:val="auto"/>
        </w:rPr>
      </w:pPr>
    </w:p>
    <w:p>
      <w:pPr>
        <w:jc w:val="both"/>
        <w:ind w:firstLine="656"/>
        <w:spacing w:after="0" w:line="261" w:lineRule="auto"/>
        <w:tabs>
          <w:tab w:leader="none" w:pos="90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Staggered Settlement</w:t>
      </w:r>
      <w:r>
        <w:rPr>
          <w:rFonts w:ascii="Times New Roman" w:cs="Times New Roman" w:eastAsia="Times New Roman" w:hAnsi="Times New Roman"/>
          <w:sz w:val="18"/>
          <w:szCs w:val="18"/>
          <w:color w:val="auto"/>
        </w:rPr>
        <w:t>. If Dealer determines commercially reasonably and in good faith that the number of Shares required to be delivered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hereunder on any Settlement Date would result in an Excess Ownership Position, then Dealer may, by notice to Counterparty prior to such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any Shares due to be delivered on two or more dates (each, a “</w:t>
      </w:r>
      <w:r>
        <w:rPr>
          <w:rFonts w:ascii="Times New Roman" w:cs="Times New Roman" w:eastAsia="Times New Roman" w:hAnsi="Times New Roman"/>
          <w:sz w:val="18"/>
          <w:szCs w:val="18"/>
          <w:b w:val="1"/>
          <w:bCs w:val="1"/>
          <w:color w:val="auto"/>
        </w:rPr>
        <w:t>Staggered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or at two or more times on the Nominal Settlement Date as follows:</w:t>
      </w:r>
    </w:p>
    <w:p>
      <w:pPr>
        <w:spacing w:after="0" w:line="185" w:lineRule="exact"/>
        <w:rPr>
          <w:rFonts w:ascii="Times New Roman" w:cs="Times New Roman" w:eastAsia="Times New Roman" w:hAnsi="Times New Roman"/>
          <w:sz w:val="18"/>
          <w:szCs w:val="18"/>
          <w:color w:val="auto"/>
        </w:rPr>
      </w:pPr>
    </w:p>
    <w:p>
      <w:pPr>
        <w:jc w:val="both"/>
        <w:ind w:left="660" w:firstLine="320"/>
        <w:spacing w:after="0" w:line="225" w:lineRule="auto"/>
        <w:tabs>
          <w:tab w:leader="none" w:pos="121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will be on or prior to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Exchange Business Day after such Nominal Settlement Date) or delivery times and how it will allocate the Shares it is required to deliver under “Delivery Obligation” (above) among the Staggered Settlement Dates or delivery times; and</w:t>
      </w:r>
    </w:p>
    <w:p>
      <w:pPr>
        <w:spacing w:after="0" w:line="200"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6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Shares that Dealer will deliver to Counterparty hereunder on all such Staggered Settlement Dates and delivery times will equal the number of Shares that Dealer would otherwise be required to deliver on such Nominal Settlement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Staggered Settlement Date be a date later than the Final Termination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656"/>
        <w:spacing w:after="0" w:line="267" w:lineRule="auto"/>
        <w:tabs>
          <w:tab w:leader="none" w:pos="91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Effective from the date of commencement of discussions concerning the Transaction, Counterparty and each of its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86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Netting and Set-off. </w:t>
      </w:r>
      <w:r>
        <w:rPr>
          <w:rFonts w:ascii="Times New Roman" w:cs="Times New Roman" w:eastAsia="Times New Roman" w:hAnsi="Times New Roman"/>
          <w:sz w:val="18"/>
          <w:szCs w:val="18"/>
          <w:color w:val="auto"/>
        </w:rPr>
        <w:t>The provisions of Section 2(c) and 6(f) of the Agreement shall not apply to the Transaction. Each party waives 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86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Rights</w:t>
      </w:r>
      <w:r>
        <w:rPr>
          <w:rFonts w:ascii="Times New Roman" w:cs="Times New Roman" w:eastAsia="Times New Roman" w:hAnsi="Times New Roman"/>
          <w:sz w:val="18"/>
          <w:szCs w:val="18"/>
          <w:color w:val="auto"/>
        </w:rPr>
        <w:t>. Dealer acknowledges and agrees that this Confirmation is not intended to convey to it rights with respect to the Transaction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senior to the claims of ordinary shareholders in any United States or Cayman Island bankruptcy or insolvency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the Transaction;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the Transaction.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Unwind</w:t>
      </w:r>
      <w:r>
        <w:rPr>
          <w:rFonts w:ascii="Times New Roman" w:cs="Times New Roman" w:eastAsia="Times New Roman" w:hAnsi="Times New Roman"/>
          <w:sz w:val="18"/>
          <w:szCs w:val="18"/>
          <w:color w:val="auto"/>
        </w:rPr>
        <w:t>. In the event the sale of the [Firm Notes] [Additional Notes] (as defined in the Purchase Agreement, dated as of November [__],</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among Barclays Capital, Inc., as representative of the several initial purchasers thereto, and Counterparty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is not consummated pursuant to the Purchase Agreement for any reason by the close of business in New York on November [__], 2025 (or such later date as agreed upon by the parties which in no event shall be later than the second Scheduled Valid Day following November [__], 2025) (such date or such later date as agreed upon being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w:t>
      </w:r>
    </w:p>
    <w:p>
      <w:pPr>
        <w:spacing w:after="0" w:line="184" w:lineRule="exact"/>
        <w:rPr>
          <w:rFonts w:ascii="Times New Roman" w:cs="Times New Roman" w:eastAsia="Times New Roman" w:hAnsi="Times New Roman"/>
          <w:sz w:val="18"/>
          <w:szCs w:val="18"/>
          <w:color w:val="auto"/>
        </w:rPr>
      </w:pPr>
    </w:p>
    <w:p>
      <w:pPr>
        <w:jc w:val="both"/>
        <w:ind w:firstLine="656"/>
        <w:spacing w:after="0" w:line="257" w:lineRule="auto"/>
        <w:tabs>
          <w:tab w:leader="none" w:pos="87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Illegality</w:t>
      </w:r>
      <w:r>
        <w:rPr>
          <w:rFonts w:ascii="Times New Roman" w:cs="Times New Roman" w:eastAsia="Times New Roman" w:hAnsi="Times New Roman"/>
          <w:sz w:val="18"/>
          <w:szCs w:val="18"/>
          <w:color w:val="auto"/>
        </w:rPr>
        <w:t>. The parties agree that, for the avoidance of doubt, for purposes of Section 5(b)(i) of the Agreement, “any applicable law”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Dodd-Frank Wall Street Reform and Consumer Protection Act of 2010, any rules and regulations promulgated thereunder and any similar law or regulation, without regard to Section 739 of the Dodd-Frank Wall Street Reform and Consumer Protection Act of 2010 or any similar legal certainty provision in any legislation enacted, or rule or regulation promulgated, on or after the Trade Date, and the consequences specified in the Agreement, including without limitation, the consequences specified in Section 6 of the Agreement, shall apply to any Illegality arising from any such act, rule or regulation.</w:t>
      </w:r>
    </w:p>
    <w:p>
      <w:pPr>
        <w:spacing w:after="0" w:line="182"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to Equity Definitions and the Agreement. </w:t>
      </w:r>
      <w:r>
        <w:rPr>
          <w:rFonts w:ascii="Times New Roman" w:cs="Times New Roman" w:eastAsia="Times New Roman" w:hAnsi="Times New Roman"/>
          <w:sz w:val="18"/>
          <w:szCs w:val="18"/>
          <w:color w:val="auto"/>
        </w:rPr>
        <w:t>The following amendments shall be made to the Equity Definitions:</w:t>
      </w:r>
    </w:p>
    <w:p>
      <w:pPr>
        <w:spacing w:after="0" w:line="227"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20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applying the Equity Definitions and for purposes of this Confirmation, any reference in the Equity Definitions to a Strike Price shall be deemed to be a reference to either of the Strike Price or the Cap Price, or both, as appropriate;</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52" w:lineRule="auto"/>
        <w:tabs>
          <w:tab w:leader="none" w:pos="127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adjustment under Section 11.2(c) of the Equity Definitions, 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in the commercially reasonable judgment of the Calculation Agent, a material economic effect on the theoretical value of the relevant Shares or options on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(x) an observable market, other than the market for Counterparty’s own stock or (y) an observable index, other than an index calculated and measured solely by reference to Counterparty’s own operations) and, if so, will (i) make appropriate adjustment(s), if any, determined in a commercially reasonable manner, to any one or more of: and, the portion of such sentence immediately preceding clause (ii) thereof is hereby amended by deleting the words “diluting or concentrative” and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to account solely for changes in volatility, expected dividends, stock loan rate or liquidity relative to the relevant Shares)” and replacing such latter phrase with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in the case of Sections 11.2(e)(i), (ii)(A), and (iv), no adjustments will be made to account solely for changes in volatility, expected dividends, stock loan rate or liquidity relative to the relevant Shares but, for the avoidance of doubt, solely in the case of Sections 11.2(e)(ii)(B) through (D), (iii), (v), (vi) and (vii) adjustments may be made to account solely for changes in volatility, expected dividends, stock loan rate or liquidity relative to the relevant Shares)”;</w:t>
      </w:r>
    </w:p>
    <w:p>
      <w:pPr>
        <w:spacing w:after="0" w:line="197"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30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11.2(a) of the Equity Definitions is hereby amended by (1) deleting the words “in the determination of the Calculation Agent, a diluting or concentrative effect on the theoretical value of the relevant Shares” and replacing these words with “in the commercially reasonable judgment of the Calculation Agent, a material economic effect on the theoretical value of the Shares or options on such Shares”; and (2) adding at the end thereof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(i) an observable market, other than the market for Counterparty’s own stock or (ii) an observable index, other than an index calculated and measured solely by reference to Counterparty’s own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4" w:name="page175"/>
    <w:bookmarkEnd w:id="174"/>
    <w:p>
      <w:pPr>
        <w:jc w:val="both"/>
        <w:ind w:left="4" w:firstLine="320"/>
        <w:spacing w:after="0" w:line="258" w:lineRule="auto"/>
        <w:tabs>
          <w:tab w:leader="none" w:pos="6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11.2(e)(vii) of the Equity Definitions is hereby amended and restated as follows: “any other corporate event involving the Issuer that in the commercially reasonable judgment of the Calculation Agent has a material economic effect on the theoretical value of the Shares or options on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corporate event involving the Issuer is not based on (a) an observable market, other than the market for Counterparty’s own stock or (b) an observable index, other than an index calculated and measured solely by reference to Counterparty’s own operations.”;</w:t>
      </w:r>
    </w:p>
    <w:p>
      <w:pPr>
        <w:spacing w:after="0" w:line="183" w:lineRule="exact"/>
        <w:rPr>
          <w:rFonts w:ascii="Times New Roman" w:cs="Times New Roman" w:eastAsia="Times New Roman" w:hAnsi="Times New Roman"/>
          <w:sz w:val="18"/>
          <w:szCs w:val="18"/>
          <w:color w:val="auto"/>
        </w:rPr>
      </w:pPr>
    </w:p>
    <w:p>
      <w:pPr>
        <w:jc w:val="both"/>
        <w:ind w:left="4" w:firstLine="320"/>
        <w:spacing w:after="0" w:line="253" w:lineRule="auto"/>
        <w:tabs>
          <w:tab w:leader="none" w:pos="58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(1) inserting “(A)” after “means” in the first line thereof and replacing “(A)” and “(B)” in the third and fourth lines thereof with “(1)” and “(2)” respectively, (2) deleting from the fourth line thereof the word “or” after the word “official” and inserting a comma therefor, (3) inserting at the end of renumbered subsection (2) thereof the following wording, “or, under the laws of the Cayman Islands, any other jurisdiction or otherwise, any other impediment to or restriction on the transfer of any Share arises or becomes applicable including, without limitation, where (x) any transfer of a Share or alteration of the status of the members of the Issuer would be void unless a court of the Cayman Islands or any other jurisdiction orders otherwise or (y) any transfer of a Share not being a transfer with the sanction of a liquidator, and any alteration in the status of the Issuer’s members, would be void” and (4) deleting the semi-colon at the end of renumbered subsection (2) thereof and inserting the following words therefor “or (B) at Dealer’s option, the occurrence of any of the events specified in Section 5(a)(vii)(1) through (9) of the ISDA Master Agreement with respect to that Issuer (provided that the period for dismissal, discharge, stay or restraint therein shall be increased from “within 15 days” to “within 30 days)”;</w:t>
      </w:r>
    </w:p>
    <w:p>
      <w:pPr>
        <w:spacing w:after="0" w:line="194" w:lineRule="exact"/>
        <w:rPr>
          <w:rFonts w:ascii="Times New Roman" w:cs="Times New Roman" w:eastAsia="Times New Roman" w:hAnsi="Times New Roman"/>
          <w:sz w:val="18"/>
          <w:szCs w:val="18"/>
          <w:color w:val="auto"/>
        </w:rPr>
      </w:pPr>
    </w:p>
    <w:p>
      <w:pPr>
        <w:ind w:left="4" w:right="20" w:firstLine="320"/>
        <w:spacing w:after="0" w:line="282" w:lineRule="auto"/>
        <w:tabs>
          <w:tab w:leader="none" w:pos="63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61" w:lineRule="exact"/>
        <w:rPr>
          <w:rFonts w:ascii="Times New Roman" w:cs="Times New Roman" w:eastAsia="Times New Roman" w:hAnsi="Times New Roman"/>
          <w:sz w:val="18"/>
          <w:szCs w:val="18"/>
          <w:color w:val="auto"/>
        </w:rPr>
      </w:pPr>
    </w:p>
    <w:p>
      <w:pPr>
        <w:ind w:left="684" w:hanging="360"/>
        <w:spacing w:after="0"/>
        <w:tabs>
          <w:tab w:leader="none" w:pos="68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Dividend” (as such term is used in the Equity Definitions) means any cash dividend on the Shares; and</w:t>
      </w:r>
    </w:p>
    <w:p>
      <w:pPr>
        <w:spacing w:after="0" w:line="225" w:lineRule="exact"/>
        <w:rPr>
          <w:rFonts w:ascii="Times New Roman" w:cs="Times New Roman" w:eastAsia="Times New Roman" w:hAnsi="Times New Roman"/>
          <w:sz w:val="18"/>
          <w:szCs w:val="18"/>
          <w:color w:val="auto"/>
        </w:rPr>
      </w:pPr>
    </w:p>
    <w:p>
      <w:pPr>
        <w:jc w:val="both"/>
        <w:ind w:left="4" w:firstLine="320"/>
        <w:spacing w:after="0" w:line="266" w:lineRule="auto"/>
        <w:tabs>
          <w:tab w:leader="none" w:pos="747"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w:t>
      </w:r>
    </w:p>
    <w:p>
      <w:pPr>
        <w:spacing w:after="0" w:line="17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Exclusive Jurisdiction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left="4" w:firstLine="320"/>
        <w:spacing w:after="0" w:line="262" w:lineRule="auto"/>
        <w:tabs>
          <w:tab w:leader="none" w:pos="551" w:val="left"/>
        </w:tabs>
        <w:numPr>
          <w:ilvl w:val="1"/>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176" w:lineRule="exact"/>
        <w:rPr>
          <w:rFonts w:ascii="Times New Roman" w:cs="Times New Roman" w:eastAsia="Times New Roman" w:hAnsi="Times New Roman"/>
          <w:sz w:val="18"/>
          <w:szCs w:val="18"/>
          <w:b w:val="1"/>
          <w:bCs w:val="1"/>
          <w:color w:val="auto"/>
        </w:rPr>
      </w:pPr>
    </w:p>
    <w:p>
      <w:pPr>
        <w:ind w:left="584" w:hanging="260"/>
        <w:spacing w:after="0"/>
        <w:tabs>
          <w:tab w:leader="none" w:pos="584" w:val="left"/>
        </w:tabs>
        <w:numPr>
          <w:ilvl w:val="1"/>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13(b) of the Agreement is deleted in its entirety and replaced by the following:</w:t>
      </w:r>
    </w:p>
    <w:p>
      <w:pPr>
        <w:spacing w:after="0" w:line="225" w:lineRule="exact"/>
        <w:rPr>
          <w:sz w:val="20"/>
          <w:szCs w:val="20"/>
          <w:color w:val="auto"/>
        </w:rPr>
      </w:pPr>
    </w:p>
    <w:p>
      <w:pPr>
        <w:jc w:val="both"/>
        <w:ind w:left="4"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“Each party hereby irrevocably and unconditionally submits for itself and its property in any suit, legal action or proceeding relating to this Confirmation or the Agreement, or for recognition and enforcement of any judgment in respect thereof, (each, “Proceedings”) to the exclusive jurisdiction of the Supreme Court of the State of New York, sitting in New York County, the courts of the United States of America for the Southern District of New York and appellate courts from any thereof. Nothing in this Confirmation or the Agreement precludes either party from bringing Proceedings in any other jurisdiction if (A) the courts of the State of New York or the United States of America for the Southern District of New York lack jurisdiction over the parties or the subject matter of the Proceedings or decline to accept the Proceedings on the grounds of lacking such jurisdiction; (B) the Proceedings are commenced by a party for the purpose of enforcing against the other party’s property, assets or estate any decision or judgment rendered by any court in which Proceedings may be brought as provided hereunder; (C) the Proceedings are commenced to appeal any such court’s decision or judgment to any higher court with competent appellate jurisdiction over that court’s decisions or judgments if that higher court is located outside the State of New York or Borough of Manhattan, such as a federal court of appeals or the U.S. Supreme Court; or (D) any suit, action or proceeding has been commenced in another jurisdiction by or against the other party or against its property, assets or estate and, in order to exercise or protect its rights, interests or remedies under this Confirmation or the Agreement, the party (1) joins, files a claim, or takes any other action, in any such suit, action or proceeding, or (2) otherwise commences any Proceeding in that other jurisdiction as the result of that other suit, action or proceeding having commenced in that other jurisdiction.”</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5" w:name="page176"/>
    <w:bookmarkEnd w:id="175"/>
    <w:p>
      <w:pPr>
        <w:jc w:val="both"/>
        <w:ind w:firstLine="656"/>
        <w:spacing w:after="0" w:line="261" w:lineRule="auto"/>
        <w:tabs>
          <w:tab w:leader="none" w:pos="90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For the avoidance of doubt, whenever Dealer, the Calculation Agent or Determining Party is called upon to make any calculation,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determination or adjustment pursuant to the terms of this Confirmation or the Equity Definitions to take into account the effect of an event, Dealer, the Calculation Agent or Determining Party shall make such calculation, determination or adjustment by reference to the effect of such event on the Hedging Party, assuming that the Hedging Party maintains a commercially reasonable hedge position.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or Receipt of Cash</w:t>
      </w:r>
      <w:r>
        <w:rPr>
          <w:rFonts w:ascii="Times New Roman" w:cs="Times New Roman" w:eastAsia="Times New Roman" w:hAnsi="Times New Roman"/>
          <w:sz w:val="18"/>
          <w:szCs w:val="18"/>
          <w:color w:val="auto"/>
        </w:rPr>
        <w:t>. For the avoidance of doubt, other than payment of the Premium by Counterparty, nothing in this Confirmation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interpreted as requiring Counterparty to cash settle the Transaction, except in circumstances where cash settlement is within Counterparty’s control (including, without limitation, where Counterparty elects to deliver or receive cash) or in those circumstances in which holders of Shares would also receive cash.</w:t>
      </w:r>
    </w:p>
    <w:p>
      <w:pPr>
        <w:spacing w:after="0" w:line="17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EACH PARTY HEREBY IRREVOCABLY WAIVES ANY AND ALL RIGHTS TO TRIAL BY JURY WITH</w:t>
      </w:r>
    </w:p>
    <w:p>
      <w:pPr>
        <w:spacing w:after="0" w:line="3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RESPECT TO ANY LEGAL PROCEEDING ARISING OUT OF OR RELATING TO THE AGREEMENT, THIS CONFIRMATION OR ANY TRANSACTIONS CONTEMPLATED HEREBY.</w:t>
      </w:r>
    </w:p>
    <w:p>
      <w:pPr>
        <w:spacing w:after="0" w:line="179" w:lineRule="exact"/>
        <w:rPr>
          <w:rFonts w:ascii="Times New Roman" w:cs="Times New Roman" w:eastAsia="Times New Roman" w:hAnsi="Times New Roman"/>
          <w:sz w:val="18"/>
          <w:szCs w:val="18"/>
          <w:color w:val="auto"/>
        </w:rPr>
      </w:pPr>
    </w:p>
    <w:p>
      <w:pPr>
        <w:ind w:right="20" w:firstLine="656"/>
        <w:spacing w:after="0" w:line="284" w:lineRule="auto"/>
        <w:tabs>
          <w:tab w:leader="none" w:pos="8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This Confirmation and the Agreement may not be modified, amended or supplemented, except in a written instrument signed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and Dealer.</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88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Confirmation may be executed in several counterparts, each of which shall be deemed an original but all of which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constitute one and the same instrument.</w:t>
      </w:r>
    </w:p>
    <w:p>
      <w:pPr>
        <w:spacing w:after="0" w:line="158"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Matters.</w:t>
      </w:r>
    </w:p>
    <w:p>
      <w:pPr>
        <w:spacing w:after="0" w:line="225" w:lineRule="exact"/>
        <w:rPr>
          <w:sz w:val="20"/>
          <w:szCs w:val="20"/>
          <w:color w:val="auto"/>
        </w:rPr>
      </w:pPr>
    </w:p>
    <w:p>
      <w:pPr>
        <w:ind w:left="1200" w:hanging="220"/>
        <w:spacing w:after="0"/>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Payee Tax Representations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purpose of Section 3(f) of the Agreement, Counterparty makes the following representation to Dealer:</w:t>
      </w:r>
    </w:p>
    <w:p>
      <w:pPr>
        <w:spacing w:after="0" w:line="225"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18"/>
          <w:szCs w:val="18"/>
          <w:color w:val="auto"/>
        </w:rPr>
        <w:t>Counterparty is an exempted company incorporated with limited liability under the laws of the Cayman Islands. Counterparty is classified as a corporation for the U.S. federal income tax purposes. No income received or to be received under the Agreement will be effectively connected with the conduct of a trade or business by Counterparty in the United States. Counterparty is a “non-U.S. branch of a foreign person” as that term is used in Section 1.1441-4(a)(3)(ii) of the United States Treasury Regulations (the “Regulations”), and it is a “foreign Person” as that term is used in Section 1.6041-4(a)(4) of the Regulations.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purpose of Section 3(f) of the Agreement, Dealer makes the following representation to Counterparty:</w:t>
      </w:r>
    </w:p>
    <w:p>
      <w:pPr>
        <w:spacing w:after="0" w:line="225" w:lineRule="exact"/>
        <w:rPr>
          <w:sz w:val="20"/>
          <w:szCs w:val="20"/>
          <w:color w:val="auto"/>
        </w:rPr>
      </w:pPr>
    </w:p>
    <w:p>
      <w:pPr>
        <w:jc w:val="both"/>
        <w:ind w:left="1140"/>
        <w:spacing w:after="0" w:line="282" w:lineRule="auto"/>
        <w:rPr>
          <w:sz w:val="20"/>
          <w:szCs w:val="20"/>
          <w:color w:val="auto"/>
        </w:rPr>
      </w:pPr>
      <w:r>
        <w:rPr>
          <w:rFonts w:ascii="Times New Roman" w:cs="Times New Roman" w:eastAsia="Times New Roman" w:hAnsi="Times New Roman"/>
          <w:sz w:val="18"/>
          <w:szCs w:val="18"/>
          <w:color w:val="auto"/>
        </w:rPr>
        <w:t>[Dealer is a U.S. person (as that term is defined in Section 7701(a)(30) of the Code and used in Section 1.1441-4(a)(3)(ii) of the Treasury Regulations) for U.S. federal income tax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6" w:name="page177"/>
    <w:bookmarkEnd w:id="176"/>
    <w:p>
      <w:pPr>
        <w:jc w:val="both"/>
        <w:ind w:left="660" w:firstLine="320"/>
        <w:spacing w:after="0" w:line="258" w:lineRule="auto"/>
        <w:tabs>
          <w:tab w:leader="none" w:pos="1262"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Documentation. </w:t>
      </w:r>
      <w:r>
        <w:rPr>
          <w:rFonts w:ascii="Times New Roman" w:cs="Times New Roman" w:eastAsia="Times New Roman" w:hAnsi="Times New Roman"/>
          <w:sz w:val="18"/>
          <w:szCs w:val="18"/>
          <w:color w:val="auto"/>
        </w:rPr>
        <w:t>For the purpose of Sections 4(a)(i) and (ii) of the Agreement, Counterparty agrees to deliver to Dealer one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and completed United States Internal Revenue Service Form W-8BEN-E (or successor thereto) and Dealer agrees to deliver to Counterparty a U.S. Internal Revenue Service [Form W-9][Form W-8ECI] (or successor thereto). Such forms or documents shall be delivered upon (i) execution of this Confirmation, (ii) Counterparty or Dealer, as applicable, learning that any such tax form previously provided by it has become obsolete or incorrect, and (iii) reasonable request of the other party.</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90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 imposed on payments to non-US counterparties under the United States Foreign Account Tax Compliance Act</w:t>
      </w:r>
      <w:r>
        <w:rPr>
          <w:rFonts w:ascii="Times New Roman" w:cs="Times New Roman" w:eastAsia="Times New Roman" w:hAnsi="Times New Roman"/>
          <w:sz w:val="18"/>
          <w:szCs w:val="18"/>
          <w:color w:val="auto"/>
        </w:rPr>
        <w:t>. “Indemnifiable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919" w:val="left"/>
        </w:tabs>
        <w:numPr>
          <w:ilvl w:val="0"/>
          <w:numId w:val="1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HIRE Act.</w:t>
      </w:r>
      <w:r>
        <w:rPr>
          <w:rFonts w:ascii="Times New Roman" w:cs="Times New Roman" w:eastAsia="Times New Roman" w:hAnsi="Times New Roman"/>
          <w:sz w:val="18"/>
          <w:szCs w:val="18"/>
          <w:color w:val="auto"/>
        </w:rPr>
        <w:t xml:space="preserve"> “Indemnifiable Tax”, as defined in Section 14 of the Agreement, shall not include any tax imposed on payments treated as dividends from sources within the United States under Section 871(m) of the Code or any regulations issued thereunder. For the avoidance of doubt, any such tax imposed under Section 871(m) of the Code is a Tax the deduction or withholding of which is required by applicable law for the purposes of Section 2(d) of the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i w:val="1"/>
          <w:iCs w:val="1"/>
          <w:color w:val="auto"/>
        </w:rPr>
      </w:pPr>
    </w:p>
    <w:p>
      <w:pPr>
        <w:jc w:val="both"/>
        <w:ind w:firstLine="656"/>
        <w:spacing w:after="0" w:line="257" w:lineRule="auto"/>
        <w:tabs>
          <w:tab w:leader="none" w:pos="942" w:val="left"/>
        </w:tabs>
        <w:numPr>
          <w:ilvl w:val="0"/>
          <w:numId w:val="1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82" w:lineRule="exact"/>
        <w:rPr>
          <w:rFonts w:ascii="Times New Roman" w:cs="Times New Roman" w:eastAsia="Times New Roman" w:hAnsi="Times New Roman"/>
          <w:sz w:val="18"/>
          <w:szCs w:val="18"/>
          <w:i w:val="1"/>
          <w:iCs w:val="1"/>
          <w:color w:val="auto"/>
        </w:rPr>
      </w:pPr>
    </w:p>
    <w:p>
      <w:pPr>
        <w:jc w:val="both"/>
        <w:ind w:firstLine="656"/>
        <w:spacing w:after="0" w:line="252" w:lineRule="auto"/>
        <w:tabs>
          <w:tab w:leader="none" w:pos="93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[QFC Stay Rules</w:t>
      </w:r>
      <w:r>
        <w:rPr>
          <w:rFonts w:ascii="Times New Roman" w:cs="Times New Roman" w:eastAsia="Times New Roman" w:hAnsi="Times New Roman"/>
          <w:sz w:val="18"/>
          <w:szCs w:val="18"/>
          <w:color w:val="auto"/>
        </w:rPr>
        <w:t>. The parties agree that (i) to the extent that prior to the date hereof both parties have adhered to the 2018 ISDA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 Stay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b w:val="1"/>
          <w:bCs w:val="1"/>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 w:cs="Times New Roman" w:eastAsia="Times New Roman" w:hAnsi="Times New Roman"/>
          <w:sz w:val="18"/>
          <w:szCs w:val="18"/>
          <w:b w:val="1"/>
          <w:bCs w:val="1"/>
          <w:color w:val="auto"/>
        </w:rPr>
        <w:t>Bilateral Terms</w:t>
      </w:r>
      <w:r>
        <w:rPr>
          <w:rFonts w:ascii="Times New Roman" w:cs="Times New Roman" w:eastAsia="Times New Roman" w:hAnsi="Times New Roman"/>
          <w:sz w:val="18"/>
          <w:szCs w:val="18"/>
          <w:color w:val="auto"/>
        </w:rPr>
        <w:t xml:space="preserve">”) of the form of bilateral template entitled “Full-Length Omnibus (for use between U.S. G-SIBs and Corporate Groups)” published by ISDA on November 2, 2018 (currently available on the 2018 ISDA U.S. Resolution Stay Protocol page at </w:t>
      </w:r>
      <w:r>
        <w:rPr>
          <w:rFonts w:ascii="Times New Roman" w:cs="Times New Roman" w:eastAsia="Times New Roman" w:hAnsi="Times New Roman"/>
          <w:sz w:val="18"/>
          <w:szCs w:val="18"/>
          <w:i w:val="1"/>
          <w:iCs w:val="1"/>
          <w:color w:val="auto"/>
        </w:rPr>
        <w:t>www.isda.org</w:t>
      </w:r>
      <w:r>
        <w:rPr>
          <w:rFonts w:ascii="Times New Roman" w:cs="Times New Roman" w:eastAsia="Times New Roman" w:hAnsi="Times New Roman"/>
          <w:sz w:val="18"/>
          <w:szCs w:val="18"/>
          <w:color w:val="auto"/>
        </w:rPr>
        <w:t xml:space="preserve">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Times New Roman" w:cs="Times New Roman" w:eastAsia="Times New Roman" w:hAnsi="Times New Roman"/>
          <w:sz w:val="18"/>
          <w:szCs w:val="18"/>
          <w:b w:val="1"/>
          <w:bCs w:val="1"/>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7" w:name="page178"/>
    <w:bookmarkEnd w:id="17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“QFC Stay Rules”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81" w:lineRule="exact"/>
        <w:rPr>
          <w:sz w:val="20"/>
          <w:szCs w:val="20"/>
          <w:color w:val="auto"/>
        </w:rPr>
      </w:pPr>
    </w:p>
    <w:p>
      <w:pPr>
        <w:jc w:val="both"/>
        <w:ind w:firstLine="656"/>
        <w:spacing w:after="0" w:line="252" w:lineRule="auto"/>
        <w:tabs>
          <w:tab w:leader="none" w:pos="90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CARES Act</w:t>
      </w:r>
      <w:r>
        <w:rPr>
          <w:rFonts w:ascii="Times New Roman" w:cs="Times New Roman" w:eastAsia="Times New Roman" w:hAnsi="Times New Roman"/>
          <w:sz w:val="18"/>
          <w:szCs w:val="18"/>
          <w:color w:val="auto"/>
        </w:rPr>
        <w:t>. Counterparty represents and warrants that it and any of its subsidiaries has not applied, and shall not, until after the first date on 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or other investment, or to receive any financial assistance or relief under any program or facility (collectively “</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 that (a) is established under applicable law (whether in existence as of the Trade Date or subsequently enacted, adopted or amended), including without limitation the CARES Act and the Federal Reserve Act, as amended, and (b) (i) requires under applicable law (or any regulation, guidance, interpretation or other pronouncement of a governmental authority with jurisdiction for such program or facility) as a condition of such Financial Assistance, that Counterparty comply with any requirement not to, or otherwise agree, attest, certify or warrant that it has not, as of the date specified in such condition, repurchased, or will not repurchase, any equity security of Counterparty, and that Counterparty has not, as of the date specified in the condition, made a capital distribution or will not make a capital distribution, or (ii) where the terms of the Transaction would cause Counterparty to fail to satisfy any condition for application for or receipt or retention of the Financial Assistance (collectively “</w:t>
      </w:r>
      <w:r>
        <w:rPr>
          <w:rFonts w:ascii="Times New Roman" w:cs="Times New Roman" w:eastAsia="Times New Roman" w:hAnsi="Times New Roman"/>
          <w:sz w:val="18"/>
          <w:szCs w:val="18"/>
          <w:b w:val="1"/>
          <w:bCs w:val="1"/>
          <w:color w:val="auto"/>
        </w:rPr>
        <w:t>Restricted Financial Assistance</w:t>
      </w:r>
      <w:r>
        <w:rPr>
          <w:rFonts w:ascii="Times New Roman" w:cs="Times New Roman" w:eastAsia="Times New Roman" w:hAnsi="Times New Roman"/>
          <w:sz w:val="18"/>
          <w:szCs w:val="18"/>
          <w:color w:val="auto"/>
        </w:rPr>
        <w:t>”); provided that Counterparty or any of its subsidiaries may apply for Restricted Financial Assistance if Counterparty either (a) determines based on the advice of outside counsel of national standing that the terms of the Transaction would not cause Counterparty or any of its subsidiaries to fail to satisfy any condition for application for or receipt or retention of such Financial Assistance based on the terms of the program or facility as of the date of such advice or (b) delivers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186" w:lineRule="exact"/>
        <w:rPr>
          <w:rFonts w:ascii="Times New Roman" w:cs="Times New Roman" w:eastAsia="Times New Roman" w:hAnsi="Times New Roman"/>
          <w:sz w:val="18"/>
          <w:szCs w:val="18"/>
          <w:color w:val="auto"/>
        </w:rPr>
      </w:pPr>
    </w:p>
    <w:p>
      <w:pPr>
        <w:jc w:val="both"/>
        <w:ind w:firstLine="656"/>
        <w:spacing w:after="0" w:line="254" w:lineRule="auto"/>
        <w:tabs>
          <w:tab w:leader="none" w:pos="90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of Process</w:t>
      </w:r>
      <w:r>
        <w:rPr>
          <w:rFonts w:ascii="Times New Roman" w:cs="Times New Roman" w:eastAsia="Times New Roman" w:hAnsi="Times New Roman"/>
          <w:sz w:val="18"/>
          <w:szCs w:val="18"/>
          <w:color w:val="auto"/>
        </w:rPr>
        <w:t>. Counterparty irrevocably appoints Cogency Global Inc., located 122 E. 42nd Street, 18th Floor, New York,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10168, as its authorized agent upon which process may be served in any suit, action or proceeding 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six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Agency and other Dealer Boilerplate, If Applicable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sending to us a letter or telex substantially similar to this facsimile, which letter or telex sets forth the material terms of the Transaction to which this Confirmation relates and indicates your agreement to those terms.</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264033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color w:val="auto"/>
        </w:rPr>
        <w:t>Schedule 1</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[Form of Guarantee]</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Annex A</w:t>
            </w:r>
          </w:p>
        </w:tc>
        <w:tc>
          <w:tcPr>
            <w:tcW w:w="3700" w:type="dxa"/>
            <w:vAlign w:val="bottom"/>
          </w:tcPr>
          <w:p>
            <w:pPr>
              <w:spacing w:after="0"/>
              <w:rPr>
                <w:sz w:val="20"/>
                <w:szCs w:val="20"/>
                <w:color w:val="auto"/>
              </w:rPr>
            </w:pPr>
          </w:p>
        </w:tc>
      </w:tr>
      <w:tr>
        <w:trPr>
          <w:trHeight w:val="432"/>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 each Component of the Transaction, the Number of Options and Expiration Date is set forth below.</w:t>
            </w:r>
          </w:p>
        </w:tc>
        <w:tc>
          <w:tcPr>
            <w:tcW w:w="3700" w:type="dxa"/>
            <w:vAlign w:val="bottom"/>
          </w:tcPr>
          <w:p>
            <w:pPr>
              <w:spacing w:after="0"/>
              <w:rPr>
                <w:sz w:val="24"/>
                <w:szCs w:val="24"/>
                <w:color w:val="auto"/>
              </w:rPr>
            </w:pPr>
          </w:p>
        </w:tc>
      </w:tr>
      <w:tr>
        <w:trPr>
          <w:trHeight w:val="459"/>
        </w:trPr>
        <w:tc>
          <w:tcPr>
            <w:tcW w:w="38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Component Number</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 Options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Expiration Date</w:t>
            </w:r>
          </w:p>
        </w:tc>
      </w:tr>
      <w:tr>
        <w:trPr>
          <w:trHeight w:val="209"/>
        </w:trPr>
        <w:tc>
          <w:tcPr>
            <w:tcW w:w="3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637"/>
        </w:trPr>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168275</wp:posOffset>
            </wp:positionV>
            <wp:extent cx="1011555" cy="4114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10115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 +852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3656 6054</w:t>
            </w:r>
          </w:p>
        </w:tc>
      </w:tr>
      <w:tr>
        <w:trPr>
          <w:trHeight w:val="238"/>
        </w:trPr>
        <w:tc>
          <w:tcPr>
            <w:tcW w:w="502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3656 6073</w:t>
            </w:r>
          </w:p>
        </w:tc>
      </w:tr>
    </w:tbl>
    <w:p>
      <w:pPr>
        <w:ind w:left="7880"/>
        <w:spacing w:after="0"/>
        <w:rPr>
          <w:sz w:val="20"/>
          <w:szCs w:val="20"/>
          <w:color w:val="auto"/>
        </w:rPr>
      </w:pPr>
      <w:r>
        <w:rPr>
          <w:rFonts w:ascii="Times New Roman" w:cs="Times New Roman" w:eastAsia="Times New Roman" w:hAnsi="Times New Roman"/>
          <w:sz w:val="18"/>
          <w:szCs w:val="18"/>
          <w:b w:val="1"/>
          <w:bCs w:val="1"/>
          <w:color w:val="auto"/>
        </w:rPr>
        <w:t>E: nathan.powell@ogier.com</w:t>
      </w:r>
    </w:p>
    <w:p>
      <w:pPr>
        <w:spacing w:after="0" w:line="9"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rachel.huang@ogier.com</w:t>
      </w:r>
    </w:p>
    <w:p>
      <w:pPr>
        <w:spacing w:after="0" w:line="20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Ref: NMP/RYH/181962.00002</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19 November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Technologies Group (the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been requested to provide you with an opinion on matters of Cayman Islands law in connection with the documents listed in Part A of Schedule 1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xml:space="preserve">) relating to the Company’s direct offering and sale of 10,661,140 class A ordinary shares of a par value of US$0.0000001 each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pursuant to the Securities Purchase Agreements (as defined in Part A of Schedule 1) and the Company’s registration statement on Form F-3 (File No. 333-283732) as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under the United States Securities Act of 1933, as amended and declared effective by the Commission on 18 December 2024 (including its exhibits,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the base prospectus contained therein, and the prospectus supplement dated 12 November 2025, forming a part of such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with the Commission under the United States Securities Act of 1933, as amended.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are furnishing this opinion as Exhibit 5.1 to the Company’s current report on Form 6-K which will be incorporated by reference into the Registration Statement and the Prospectus Supplement (the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58"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purposes of giving this opinion, we have examined originals or copies of the Documents. In addition, we have examined the corporate and other documents and conducted the searches listed in Part B of Schedule 1. We have not made any searches or enquiries concerning, and have not examined any documents entered into by or affecting the Company or any other person, save for the searches, enquiries and examinations expressly referred to in Schedule 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Ogier</w:t>
            </w:r>
          </w:p>
        </w:tc>
        <w:tc>
          <w:tcPr>
            <w:tcW w:w="2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Providing advice on British Virgin Islands,</w:t>
            </w:r>
          </w:p>
        </w:tc>
        <w:tc>
          <w:tcPr>
            <w:tcW w:w="24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 and Guernsey laws</w:t>
            </w:r>
          </w:p>
        </w:tc>
        <w:tc>
          <w:tcPr>
            <w:tcW w:w="24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Floor 11 Central Tower</w:t>
            </w:r>
          </w:p>
        </w:tc>
        <w:tc>
          <w:tcPr>
            <w:tcW w:w="24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Nicholas Plowman</w:t>
            </w:r>
          </w:p>
        </w:tc>
        <w:tc>
          <w:tcPr>
            <w:tcW w:w="1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Cecilia Li</w:t>
            </w:r>
          </w:p>
        </w:tc>
        <w:tc>
          <w:tcPr>
            <w:tcW w:w="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vMerge w:val="continue"/>
          </w:tcPr>
          <w:p>
            <w:pPr>
              <w:spacing w:after="0"/>
              <w:rPr>
                <w:sz w:val="12"/>
                <w:szCs w:val="12"/>
                <w:color w:val="auto"/>
              </w:rPr>
            </w:pPr>
          </w:p>
        </w:tc>
        <w:tc>
          <w:tcPr>
            <w:tcW w:w="2480" w:type="dxa"/>
            <w:vAlign w:val="bottom"/>
          </w:tcPr>
          <w:p>
            <w:pPr>
              <w:ind w:left="1080"/>
              <w:spacing w:after="0" w:line="142" w:lineRule="exact"/>
              <w:rPr>
                <w:sz w:val="20"/>
                <w:szCs w:val="20"/>
                <w:color w:val="auto"/>
              </w:rPr>
            </w:pPr>
            <w:r>
              <w:rPr>
                <w:rFonts w:ascii="Times New Roman" w:cs="Times New Roman" w:eastAsia="Times New Roman" w:hAnsi="Times New Roman"/>
                <w:sz w:val="14"/>
                <w:szCs w:val="14"/>
                <w:color w:val="auto"/>
              </w:rPr>
              <w:t>Nathan Powell</w:t>
            </w:r>
          </w:p>
        </w:tc>
        <w:tc>
          <w:tcPr>
            <w:tcW w:w="12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Yuki Yan</w:t>
            </w:r>
          </w:p>
        </w:tc>
        <w:tc>
          <w:tcPr>
            <w:tcW w:w="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28 Queen’s Road Central</w:t>
            </w:r>
          </w:p>
        </w:tc>
        <w:tc>
          <w:tcPr>
            <w:tcW w:w="2480" w:type="dxa"/>
            <w:vAlign w:val="bottom"/>
          </w:tcPr>
          <w:p>
            <w:pPr>
              <w:ind w:left="1080"/>
              <w:spacing w:after="0" w:line="155" w:lineRule="exact"/>
              <w:rPr>
                <w:sz w:val="20"/>
                <w:szCs w:val="20"/>
                <w:color w:val="auto"/>
              </w:rPr>
            </w:pPr>
            <w:r>
              <w:rPr>
                <w:rFonts w:ascii="Times New Roman" w:cs="Times New Roman" w:eastAsia="Times New Roman" w:hAnsi="Times New Roman"/>
                <w:sz w:val="14"/>
                <w:szCs w:val="14"/>
                <w:color w:val="auto"/>
              </w:rPr>
              <w:t>Anthony Oakes</w:t>
            </w:r>
          </w:p>
        </w:tc>
        <w:tc>
          <w:tcPr>
            <w:tcW w:w="120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color w:val="auto"/>
              </w:rPr>
              <w:t>David Lin</w:t>
            </w:r>
          </w:p>
        </w:tc>
        <w:tc>
          <w:tcPr>
            <w:tcW w:w="5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Central</w:t>
            </w:r>
          </w:p>
        </w:tc>
        <w:tc>
          <w:tcPr>
            <w:tcW w:w="2480" w:type="dxa"/>
            <w:vAlign w:val="bottom"/>
          </w:tcPr>
          <w:p>
            <w:pPr>
              <w:ind w:left="1080"/>
              <w:spacing w:after="0" w:line="142" w:lineRule="exact"/>
              <w:rPr>
                <w:sz w:val="20"/>
                <w:szCs w:val="20"/>
                <w:color w:val="auto"/>
              </w:rPr>
            </w:pPr>
            <w:r>
              <w:rPr>
                <w:rFonts w:ascii="Times New Roman" w:cs="Times New Roman" w:eastAsia="Times New Roman" w:hAnsi="Times New Roman"/>
                <w:sz w:val="14"/>
                <w:szCs w:val="14"/>
                <w:color w:val="auto"/>
              </w:rPr>
              <w:t>Oliver Payne</w:t>
            </w:r>
          </w:p>
        </w:tc>
        <w:tc>
          <w:tcPr>
            <w:tcW w:w="12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Alan Wong</w:t>
            </w:r>
          </w:p>
        </w:tc>
        <w:tc>
          <w:tcPr>
            <w:tcW w:w="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Hong Kong</w:t>
            </w:r>
          </w:p>
        </w:tc>
        <w:tc>
          <w:tcPr>
            <w:tcW w:w="2480" w:type="dxa"/>
            <w:vAlign w:val="bottom"/>
          </w:tcPr>
          <w:p>
            <w:pPr>
              <w:ind w:left="1080"/>
              <w:spacing w:after="0" w:line="155" w:lineRule="exact"/>
              <w:rPr>
                <w:sz w:val="20"/>
                <w:szCs w:val="20"/>
                <w:color w:val="auto"/>
              </w:rPr>
            </w:pPr>
            <w:r>
              <w:rPr>
                <w:rFonts w:ascii="Times New Roman" w:cs="Times New Roman" w:eastAsia="Times New Roman" w:hAnsi="Times New Roman"/>
                <w:sz w:val="14"/>
                <w:szCs w:val="14"/>
                <w:color w:val="auto"/>
              </w:rPr>
              <w:t>Kate Hodson</w:t>
            </w:r>
          </w:p>
        </w:tc>
        <w:tc>
          <w:tcPr>
            <w:tcW w:w="1700" w:type="dxa"/>
            <w:vAlign w:val="bottom"/>
            <w:gridSpan w:val="2"/>
          </w:tcPr>
          <w:p>
            <w:pPr>
              <w:ind w:left="300"/>
              <w:spacing w:after="0" w:line="155" w:lineRule="exact"/>
              <w:rPr>
                <w:sz w:val="20"/>
                <w:szCs w:val="20"/>
                <w:color w:val="auto"/>
              </w:rPr>
            </w:pPr>
            <w:r>
              <w:rPr>
                <w:rFonts w:ascii="Times New Roman" w:cs="Times New Roman" w:eastAsia="Times New Roman" w:hAnsi="Times New Roman"/>
                <w:sz w:val="14"/>
                <w:szCs w:val="14"/>
                <w:color w:val="auto"/>
              </w:rPr>
              <w:t>Rachel Huang**</w:t>
            </w: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 +852 3656 6000</w:t>
            </w:r>
          </w:p>
        </w:tc>
        <w:tc>
          <w:tcPr>
            <w:tcW w:w="2480" w:type="dxa"/>
            <w:vAlign w:val="bottom"/>
          </w:tcPr>
          <w:p>
            <w:pPr>
              <w:ind w:left="1080"/>
              <w:spacing w:after="0" w:line="126" w:lineRule="exact"/>
              <w:rPr>
                <w:sz w:val="20"/>
                <w:szCs w:val="20"/>
                <w:color w:val="auto"/>
              </w:rPr>
            </w:pPr>
            <w:r>
              <w:rPr>
                <w:rFonts w:ascii="Times New Roman" w:cs="Times New Roman" w:eastAsia="Times New Roman" w:hAnsi="Times New Roman"/>
                <w:sz w:val="14"/>
                <w:szCs w:val="14"/>
                <w:color w:val="auto"/>
              </w:rPr>
              <w:t>David Nelson</w:t>
            </w:r>
          </w:p>
        </w:tc>
        <w:tc>
          <w:tcPr>
            <w:tcW w:w="12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98"/>
              </w:rPr>
              <w:t>Florence Chan*</w:t>
            </w:r>
          </w:p>
        </w:tc>
        <w:tc>
          <w:tcPr>
            <w:tcW w:w="5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w:t>
            </w:r>
          </w:p>
        </w:tc>
        <w:tc>
          <w:tcPr>
            <w:tcW w:w="3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 admitted in New Zealand</w:t>
            </w:r>
          </w:p>
        </w:tc>
        <w:tc>
          <w:tcPr>
            <w:tcW w:w="0" w:type="dxa"/>
            <w:vAlign w:val="bottom"/>
          </w:tcPr>
          <w:p>
            <w:pPr>
              <w:spacing w:after="0"/>
              <w:rPr>
                <w:sz w:val="1"/>
                <w:szCs w:val="1"/>
                <w:color w:val="auto"/>
              </w:rPr>
            </w:pPr>
          </w:p>
        </w:tc>
      </w:tr>
      <w:tr>
        <w:trPr>
          <w:trHeight w:val="144"/>
        </w:trPr>
        <w:tc>
          <w:tcPr>
            <w:tcW w:w="3540" w:type="dxa"/>
            <w:vAlign w:val="bottom"/>
            <w:vMerge w:val="continue"/>
          </w:tcPr>
          <w:p>
            <w:pPr>
              <w:spacing w:after="0"/>
              <w:rPr>
                <w:sz w:val="12"/>
                <w:szCs w:val="12"/>
                <w:color w:val="auto"/>
              </w:rPr>
            </w:pPr>
          </w:p>
        </w:tc>
        <w:tc>
          <w:tcPr>
            <w:tcW w:w="2480" w:type="dxa"/>
            <w:vAlign w:val="bottom"/>
          </w:tcPr>
          <w:p>
            <w:pPr>
              <w:ind w:left="1080"/>
              <w:spacing w:after="0" w:line="145" w:lineRule="exact"/>
              <w:rPr>
                <w:sz w:val="20"/>
                <w:szCs w:val="20"/>
                <w:color w:val="auto"/>
              </w:rPr>
            </w:pPr>
            <w:r>
              <w:rPr>
                <w:rFonts w:ascii="Times New Roman" w:cs="Times New Roman" w:eastAsia="Times New Roman" w:hAnsi="Times New Roman"/>
                <w:sz w:val="14"/>
                <w:szCs w:val="14"/>
                <w:color w:val="auto"/>
              </w:rPr>
              <w:t>Justin Davis</w:t>
            </w:r>
          </w:p>
        </w:tc>
        <w:tc>
          <w:tcPr>
            <w:tcW w:w="12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 +852 3656 6001</w:t>
            </w:r>
          </w:p>
        </w:tc>
        <w:tc>
          <w:tcPr>
            <w:tcW w:w="2480" w:type="dxa"/>
            <w:vAlign w:val="bottom"/>
          </w:tcPr>
          <w:p>
            <w:pPr>
              <w:ind w:left="1080"/>
              <w:spacing w:after="0" w:line="149" w:lineRule="exact"/>
              <w:rPr>
                <w:sz w:val="20"/>
                <w:szCs w:val="20"/>
                <w:color w:val="auto"/>
              </w:rPr>
            </w:pPr>
            <w:r>
              <w:rPr>
                <w:rFonts w:ascii="Times New Roman" w:cs="Times New Roman" w:eastAsia="Times New Roman" w:hAnsi="Times New Roman"/>
                <w:sz w:val="14"/>
                <w:szCs w:val="14"/>
                <w:color w:val="auto"/>
              </w:rPr>
              <w:t>Joanne Collett</w:t>
            </w:r>
          </w:p>
        </w:tc>
        <w:tc>
          <w:tcPr>
            <w:tcW w:w="17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1"/>
                <w:szCs w:val="11"/>
                <w:color w:val="auto"/>
              </w:rPr>
              <w:t>Richard Bennett**</w:t>
            </w:r>
            <w:r>
              <w:rPr>
                <w:rFonts w:ascii="Times New Roman" w:cs="Times New Roman" w:eastAsia="Times New Roman" w:hAnsi="Times New Roman"/>
                <w:sz w:val="17"/>
                <w:szCs w:val="17"/>
                <w:color w:val="auto"/>
                <w:vertAlign w:val="superscript"/>
              </w:rPr>
              <w:t>‡</w:t>
            </w:r>
          </w:p>
        </w:tc>
        <w:tc>
          <w:tcPr>
            <w:tcW w:w="35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 admitted in England and Wales</w:t>
            </w:r>
          </w:p>
        </w:tc>
        <w:tc>
          <w:tcPr>
            <w:tcW w:w="0" w:type="dxa"/>
            <w:vAlign w:val="bottom"/>
          </w:tcPr>
          <w:p>
            <w:pPr>
              <w:spacing w:after="0"/>
              <w:rPr>
                <w:sz w:val="1"/>
                <w:szCs w:val="1"/>
                <w:color w:val="auto"/>
              </w:rPr>
            </w:pPr>
          </w:p>
        </w:tc>
      </w:tr>
      <w:tr>
        <w:trPr>
          <w:trHeight w:val="315"/>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ogier.com</w:t>
            </w:r>
          </w:p>
        </w:tc>
        <w:tc>
          <w:tcPr>
            <w:tcW w:w="248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Dennis Li</w:t>
            </w: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James Bergstrom</w:t>
            </w:r>
            <w:r>
              <w:rPr>
                <w:rFonts w:ascii="Times New Roman" w:cs="Times New Roman" w:eastAsia="Times New Roman" w:hAnsi="Times New Roman"/>
                <w:sz w:val="23"/>
                <w:szCs w:val="23"/>
                <w:color w:val="auto"/>
                <w:vertAlign w:val="superscript"/>
              </w:rPr>
              <w:t>‡</w:t>
            </w:r>
          </w:p>
        </w:tc>
        <w:tc>
          <w:tcPr>
            <w:tcW w:w="3520" w:type="dxa"/>
            <w:vAlign w:val="bottom"/>
          </w:tcPr>
          <w:p>
            <w:pPr>
              <w:ind w:left="260"/>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not ordinarily resident in Hong Kong</w:t>
            </w:r>
          </w:p>
        </w:tc>
        <w:tc>
          <w:tcPr>
            <w:tcW w:w="0" w:type="dxa"/>
            <w:vAlign w:val="bottom"/>
          </w:tcPr>
          <w:p>
            <w:pPr>
              <w:spacing w:after="0"/>
              <w:rPr>
                <w:sz w:val="1"/>
                <w:szCs w:val="1"/>
                <w:color w:val="auto"/>
              </w:rPr>
            </w:pPr>
          </w:p>
        </w:tc>
      </w:tr>
      <w:tr>
        <w:trPr>
          <w:trHeight w:val="542"/>
        </w:trPr>
        <w:tc>
          <w:tcPr>
            <w:tcW w:w="3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83" w:name="page184"/>
    <w:bookmarkEnd w:id="183"/>
    <w:p>
      <w:pPr>
        <w:ind w:left="660" w:hanging="652"/>
        <w:spacing w:after="0"/>
        <w:tabs>
          <w:tab w:leader="none" w:pos="6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Schedule 2 without having carried out any independent investigation or verification in respect of those assumptions.</w:t>
      </w:r>
    </w:p>
    <w:p>
      <w:pPr>
        <w:spacing w:after="0" w:line="158"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the examinations and assumptions referred to above and subject to the qualifications set forth in Schedule 3 and the limitations set forth below, we are of the opinion that:</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status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been duly incorporated as an exempted company and is validly existing and in good standing with the Registrar of Companies of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The Company is a separate legal entity and is subject to suit in its own name and has the capacity to sue in its own name.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1300" w:hanging="644"/>
        <w:spacing w:after="0" w:line="282" w:lineRule="auto"/>
        <w:tabs>
          <w:tab w:leader="none" w:pos="13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US$50,000 divided into 500,000,000,000 shares of a par value of US$0.0000001 each comprising:</w:t>
      </w:r>
    </w:p>
    <w:p>
      <w:pPr>
        <w:spacing w:after="0" w:line="15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499,600,000,000 class A ordinary shares of a par value of US$0.0000001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class V ordinary shares of a par value of US$0.0000001 each; and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undesignated shares of a par value of US$0.0000001 each, of such class or classes (however designated) as the board of directors may determine in accordance with the Memorandum and Articles.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Issuance of Shares</w:t>
      </w:r>
    </w:p>
    <w:p>
      <w:pPr>
        <w:spacing w:after="0" w:line="229" w:lineRule="exact"/>
        <w:rPr>
          <w:sz w:val="20"/>
          <w:szCs w:val="20"/>
          <w:color w:val="auto"/>
        </w:rPr>
      </w:pPr>
    </w:p>
    <w:p>
      <w:pPr>
        <w:ind w:left="1300" w:hanging="644"/>
        <w:spacing w:after="0" w:line="282" w:lineRule="auto"/>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Shares in accordance with the Documents has been duly authorised by the Company, and when the Shares are issued by the Company upon:</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the consideration as set out in the Documents and in accordance with the terms set out in the Documents and in accordance with the Board Resolutions and the Memorandum and Articles;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those Shares as fully paid on the register of members of the Company,</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shall be validly issued, fully paid and non-assessable.</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Registration statement - taxation</w:t>
      </w:r>
    </w:p>
    <w:p>
      <w:pPr>
        <w:spacing w:after="0" w:line="227" w:lineRule="exact"/>
        <w:rPr>
          <w:sz w:val="20"/>
          <w:szCs w:val="20"/>
          <w:color w:val="auto"/>
        </w:rPr>
      </w:pPr>
    </w:p>
    <w:p>
      <w:pPr>
        <w:jc w:val="both"/>
        <w:ind w:left="1300" w:hanging="644"/>
        <w:spacing w:after="0" w:line="267"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contained in the Prospectus Supplement forming part of the Registration Statement in the section headed “</w:t>
      </w:r>
      <w:r>
        <w:rPr>
          <w:rFonts w:ascii="Times New Roman" w:cs="Times New Roman" w:eastAsia="Times New Roman" w:hAnsi="Times New Roman"/>
          <w:sz w:val="18"/>
          <w:szCs w:val="18"/>
          <w:i w:val="1"/>
          <w:iCs w:val="1"/>
          <w:color w:val="auto"/>
        </w:rPr>
        <w:t>Cayman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Islands Tax Considerations</w:t>
      </w:r>
      <w:r>
        <w:rPr>
          <w:rFonts w:ascii="Times New Roman" w:cs="Times New Roman" w:eastAsia="Times New Roman" w:hAnsi="Times New Roman"/>
          <w:sz w:val="18"/>
          <w:szCs w:val="18"/>
          <w:color w:val="auto"/>
        </w:rPr>
        <w:t>”, insofar as they purport to summarise the laws or regulations of the Cayman Islands, are accurate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respects and that such statements constitute our opinion.</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4" w:name="page185"/>
    <w:bookmarkEnd w:id="184"/>
    <w:p>
      <w:pPr>
        <w:jc w:val="both"/>
        <w:ind w:left="660" w:right="9040" w:hanging="652"/>
        <w:spacing w:after="0" w:line="532" w:lineRule="auto"/>
        <w:tabs>
          <w:tab w:leader="none" w:pos="660"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Matters not covered </w:t>
      </w:r>
      <w:r>
        <w:rPr>
          <w:rFonts w:ascii="Times New Roman" w:cs="Times New Roman" w:eastAsia="Times New Roman" w:hAnsi="Times New Roman"/>
          <w:sz w:val="17"/>
          <w:szCs w:val="17"/>
          <w:color w:val="auto"/>
        </w:rPr>
        <w:t>We offer no opinion:</w:t>
      </w:r>
    </w:p>
    <w:p>
      <w:pPr>
        <w:spacing w:after="0" w:line="1" w:lineRule="exact"/>
        <w:rPr>
          <w:rFonts w:ascii="Times New Roman" w:cs="Times New Roman" w:eastAsia="Times New Roman" w:hAnsi="Times New Roman"/>
          <w:sz w:val="17"/>
          <w:szCs w:val="17"/>
          <w:b w:val="1"/>
          <w:bCs w:val="1"/>
          <w:color w:val="auto"/>
        </w:rPr>
      </w:pPr>
    </w:p>
    <w:p>
      <w:pPr>
        <w:jc w:val="both"/>
        <w:ind w:left="1300" w:hanging="644"/>
        <w:spacing w:after="0" w:line="266" w:lineRule="auto"/>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opinion expressly provides otherwise, as to the commercial terms of, or the validity, enforceability or effect of the Documents (or as to how the commercial terms of the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whether the acceptance, execution or performance of the Company’s obligations under the Documents will result in the breach of or infringe any other agreement, deed or document (other than the Memorandum and Articles) entered into by or binding on the Company.</w:t>
      </w:r>
    </w:p>
    <w:p>
      <w:pPr>
        <w:spacing w:after="0" w:line="158" w:lineRule="exact"/>
        <w:rPr>
          <w:sz w:val="20"/>
          <w:szCs w:val="20"/>
          <w:color w:val="auto"/>
        </w:rPr>
      </w:pPr>
    </w:p>
    <w:p>
      <w:pPr>
        <w:ind w:left="660" w:hanging="652"/>
        <w:spacing w:after="0"/>
        <w:tabs>
          <w:tab w:leader="none" w:pos="6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Cayman Islands;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Cayman Islands legislation is a reference to that legislation as amended to, and as in force at, the date of this opinion.</w:t>
      </w:r>
    </w:p>
    <w:p>
      <w:pPr>
        <w:spacing w:after="0" w:line="158"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rely on this opinion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We hereby consent to the filing of this opinion as an exhibit to the Form 6-K to the reference to our firm under the heading “Legal Matters” of the Prospectus Supplement. In giving such consent, we do not thereby admit that we come within the category of persons whose consent is required under Section 7 of the Act, or the Rules and Regulations of the Commission thereunder.</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This opinion may be used only in connection with the Shares by the Company while the Registration Statement and the Prospectus Supplement are effective. With the exception of your professional advisers (acting only in that capacity), it may not be relied upon by any person, other than persons entitled to rely upon it pursuant to the provisions of the Act, without our prior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examined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Documents</w:t>
      </w:r>
    </w:p>
    <w:p>
      <w:pPr>
        <w:spacing w:after="0" w:line="225" w:lineRule="exact"/>
        <w:rPr>
          <w:sz w:val="20"/>
          <w:szCs w:val="20"/>
          <w:color w:val="auto"/>
        </w:rPr>
      </w:pPr>
    </w:p>
    <w:p>
      <w:pPr>
        <w:ind w:left="660" w:hanging="652"/>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York law governed placement agency agreement dated 12 November 2025 between Barclays Capital Inc. and the Company.</w:t>
      </w:r>
    </w:p>
    <w:p>
      <w:pPr>
        <w:spacing w:after="0" w:line="221" w:lineRule="exact"/>
        <w:rPr>
          <w:sz w:val="20"/>
          <w:szCs w:val="20"/>
          <w:color w:val="auto"/>
        </w:rPr>
      </w:pPr>
    </w:p>
    <w:p>
      <w:pPr>
        <w:ind w:left="660" w:hanging="652"/>
        <w:spacing w:after="0" w:line="286"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securities purchase agreements dated 12 November 2025, each between the Company and a purchaser named therein (together,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Agreements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and other documents</w:t>
      </w:r>
    </w:p>
    <w:p>
      <w:pPr>
        <w:spacing w:after="0" w:line="225" w:lineRule="exact"/>
        <w:rPr>
          <w:sz w:val="20"/>
          <w:szCs w:val="20"/>
          <w:color w:val="auto"/>
        </w:rPr>
      </w:pPr>
    </w:p>
    <w:p>
      <w:pPr>
        <w:ind w:left="660" w:hanging="652"/>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dated 8 December 2021 issued by the Registrar.</w:t>
      </w:r>
    </w:p>
    <w:p>
      <w:pPr>
        <w:spacing w:after="0" w:line="225" w:lineRule="exact"/>
        <w:rPr>
          <w:sz w:val="20"/>
          <w:szCs w:val="20"/>
          <w:color w:val="auto"/>
        </w:rPr>
      </w:pPr>
    </w:p>
    <w:p>
      <w:pPr>
        <w:jc w:val="both"/>
        <w:ind w:left="660" w:hanging="652"/>
        <w:spacing w:after="0" w:line="289" w:lineRule="auto"/>
        <w:tabs>
          <w:tab w:leader="none" w:pos="66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amended and restated memorandum and articles of association of the Company adopted by a special resolution passed on 8 March 2023 and effective at the Acquisition Merger Effective Time (as defined therein) and filed with the Registrar on 13 April 2023 and the written resolutions by all the directors of the Company passed on 9 June 2023 and filed with the Registrar on 9 June 2023 (together, the </w:t>
      </w:r>
      <w:r>
        <w:rPr>
          <w:rFonts w:ascii="Times New Roman" w:cs="Times New Roman" w:eastAsia="Times New Roman" w:hAnsi="Times New Roman"/>
          <w:sz w:val="17"/>
          <w:szCs w:val="17"/>
          <w:b w:val="1"/>
          <w:bCs w:val="1"/>
          <w:color w:val="auto"/>
        </w:rPr>
        <w:t>Memorandum and Articles</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660" w:hanging="652"/>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19 November 2025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issued by the Registrar in respect of the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 xml:space="preserve">The register of directors and officers of the Company dated 20 June 2025 (the </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hanging="652"/>
        <w:spacing w:after="0" w:line="282"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unanimously written resolutions of the board of directors of the Company passed on 10 November 2025 and the unanimously written resolutions of the pricing committee to the board of directors of the Company dated 12 November 2025 (together,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2"/>
        <w:spacing w:after="0"/>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from a director of the Company dated the same date as this opinion as to certain matters of facts (the </w:t>
      </w:r>
      <w:r>
        <w:rPr>
          <w:rFonts w:ascii="Times New Roman" w:cs="Times New Roman" w:eastAsia="Times New Roman" w:hAnsi="Times New Roman"/>
          <w:sz w:val="18"/>
          <w:szCs w:val="18"/>
          <w:b w:val="1"/>
          <w:bCs w:val="1"/>
          <w:color w:val="auto"/>
        </w:rPr>
        <w:t>Director’s Certificate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hanging="652"/>
        <w:spacing w:after="0" w:line="282" w:lineRule="auto"/>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 of Writs and Other Originating Process maintained by the office of the Clerk of Courts in the Cayman Islands as inspected by us on 18 November 2025 (the </w:t>
      </w:r>
      <w:r>
        <w:rPr>
          <w:rFonts w:ascii="Times New Roman" w:cs="Times New Roman" w:eastAsia="Times New Roman" w:hAnsi="Times New Roman"/>
          <w:sz w:val="18"/>
          <w:szCs w:val="18"/>
          <w:b w:val="1"/>
          <w:bCs w:val="1"/>
          <w:color w:val="auto"/>
        </w:rPr>
        <w:t>Register of Writs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2"/>
        <w:spacing w:after="0" w:line="286"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search on the Cayman Online Registry Information Service conducted against the Company at the Registrar on 18 November 2025 (the </w:t>
      </w:r>
      <w:r>
        <w:rPr>
          <w:rFonts w:ascii="Times New Roman" w:cs="Times New Roman" w:eastAsia="Times New Roman" w:hAnsi="Times New Roman"/>
          <w:sz w:val="18"/>
          <w:szCs w:val="18"/>
          <w:b w:val="1"/>
          <w:bCs w:val="1"/>
          <w:color w:val="auto"/>
        </w:rPr>
        <w:t>CORIS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Search</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Form 6-K.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10The Prospectus Supplement.</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Assumptions</w:t>
      </w:r>
    </w:p>
    <w:p>
      <w:pPr>
        <w:spacing w:after="0" w:line="225" w:lineRule="exact"/>
        <w:rPr>
          <w:sz w:val="20"/>
          <w:szCs w:val="20"/>
          <w:color w:val="auto"/>
        </w:rPr>
      </w:pPr>
    </w:p>
    <w:p>
      <w:pPr>
        <w:ind w:left="660" w:hanging="652"/>
        <w:spacing w:after="0"/>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25" w:lineRule="exact"/>
        <w:rPr>
          <w:sz w:val="20"/>
          <w:szCs w:val="20"/>
          <w:color w:val="auto"/>
        </w:rPr>
      </w:pPr>
    </w:p>
    <w:p>
      <w:pPr>
        <w:ind w:left="660" w:right="20" w:hanging="652"/>
        <w:spacing w:after="0" w:line="282" w:lineRule="auto"/>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copies of documents examined by us (whether in facsimile, electronic or other form) conform to the originals and those originals are authentic and complete.</w:t>
      </w:r>
    </w:p>
    <w:p>
      <w:pPr>
        <w:spacing w:after="0" w:line="162" w:lineRule="exact"/>
        <w:rPr>
          <w:sz w:val="20"/>
          <w:szCs w:val="20"/>
          <w:color w:val="auto"/>
        </w:rPr>
      </w:pPr>
    </w:p>
    <w:p>
      <w:pPr>
        <w:ind w:left="660" w:hanging="652"/>
        <w:spacing w:after="0"/>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25" w:lineRule="exact"/>
        <w:rPr>
          <w:sz w:val="20"/>
          <w:szCs w:val="20"/>
          <w:color w:val="auto"/>
        </w:rPr>
      </w:pPr>
    </w:p>
    <w:p>
      <w:pPr>
        <w:ind w:left="660" w:hanging="652"/>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the Register and the Director’s Certificate is accurate and complete as at the date of this opinion.</w:t>
      </w:r>
    </w:p>
    <w:p>
      <w:pPr>
        <w:spacing w:after="0" w:line="225" w:lineRule="exact"/>
        <w:rPr>
          <w:sz w:val="20"/>
          <w:szCs w:val="20"/>
          <w:color w:val="auto"/>
        </w:rPr>
      </w:pPr>
    </w:p>
    <w:p>
      <w:pPr>
        <w:ind w:left="660" w:hanging="652"/>
        <w:spacing w:after="0" w:line="282"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CORIS Search which we have examined is accurate and that the information disclosed by the CORIS Search is true and complete and that such information has not since been altered.</w:t>
      </w:r>
    </w:p>
    <w:p>
      <w:pPr>
        <w:spacing w:after="0" w:line="162" w:lineRule="exact"/>
        <w:rPr>
          <w:sz w:val="20"/>
          <w:szCs w:val="20"/>
          <w:color w:val="auto"/>
        </w:rPr>
      </w:pPr>
    </w:p>
    <w:p>
      <w:pPr>
        <w:jc w:val="both"/>
        <w:ind w:left="660" w:hanging="652"/>
        <w:spacing w:after="0" w:line="261"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copies of the Registration Statement, the Prospectus Supplement and the Documents are true and correct copies and the Registration Statement, the Prospectus Supplement and the Documents conform in every material respect to the latest drafts of the same produced to us and, where the Registration Statement, the Prospectus Supplement or the Documents have been provided to us in successive drafts marked-up to indicate changes to such documents, all such changes have been so indicated.</w:t>
      </w:r>
    </w:p>
    <w:p>
      <w:pPr>
        <w:spacing w:after="0" w:line="180" w:lineRule="exact"/>
        <w:rPr>
          <w:sz w:val="20"/>
          <w:szCs w:val="20"/>
          <w:color w:val="auto"/>
        </w:rPr>
      </w:pPr>
    </w:p>
    <w:p>
      <w:pPr>
        <w:jc w:val="both"/>
        <w:ind w:left="660" w:hanging="652"/>
        <w:spacing w:after="0" w:line="258"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Resolutions remain in full force and effect and each of the directors of the Company has acted in good faith with a view to the best interests of the Company and has exercised the standard of care, diligence and skill that is required of him or her in approving the Registration Statement, the Prospectus Supplement and the Documents, and no director has a financial interest in or other relationship to a party of the transactions contemplated by the Registration Statement, the Prospectus Supplement and the Documents which has not been properly disclosed in the Board Resolutions;</w:t>
      </w:r>
    </w:p>
    <w:p>
      <w:pPr>
        <w:spacing w:after="0" w:line="183" w:lineRule="exact"/>
        <w:rPr>
          <w:sz w:val="20"/>
          <w:szCs w:val="20"/>
          <w:color w:val="auto"/>
        </w:rPr>
      </w:pPr>
    </w:p>
    <w:p>
      <w:pPr>
        <w:ind w:left="660" w:hanging="652"/>
        <w:spacing w:after="0" w:line="282"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Documents other than the Company is duly incorporated, formed or organised (as applicable), validly existing and in good standing under all relevant laws.</w:t>
      </w:r>
    </w:p>
    <w:p>
      <w:pPr>
        <w:spacing w:after="0" w:line="162" w:lineRule="exact"/>
        <w:rPr>
          <w:sz w:val="20"/>
          <w:szCs w:val="20"/>
          <w:color w:val="auto"/>
        </w:rPr>
      </w:pPr>
    </w:p>
    <w:p>
      <w:pPr>
        <w:ind w:left="660" w:hanging="652"/>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Documents has been authorised and duly executed and unconditionally delivered by or on behalf of all parties to it in accordance with all applicable laws (other than, in the case of the Company, the laws of the Cayman Islands).</w:t>
      </w:r>
    </w:p>
    <w:p>
      <w:pPr>
        <w:spacing w:after="0" w:line="162" w:lineRule="exact"/>
        <w:rPr>
          <w:sz w:val="20"/>
          <w:szCs w:val="20"/>
          <w:color w:val="auto"/>
        </w:rPr>
      </w:pPr>
    </w:p>
    <w:p>
      <w:pPr>
        <w:ind w:left="660" w:hanging="652"/>
        <w:spacing w:after="0" w:line="282"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Documents is legal, valid and binding and enforceable against all relevant parties in accordance with its terms under relevant law (other than, in the case of the Company, the laws of the Cayman Islands).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7" w:name="page188"/>
    <w:bookmarkEnd w:id="187"/>
    <w:p>
      <w:pPr>
        <w:ind w:left="660" w:hanging="652"/>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opinions expressed herein will be adversely affected by the laws or public policies of any jurisdiction other than the Cayman Islands. In particular, but without limitation to the previous sentence: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or public policies of any jurisdiction other than the Cayman Islands will not adversely affect the capacity or authority of the Company;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or delivery of the Registration Statement, the Prospectus Supplement or the Documents nor the exercise by any party to the Registration Statement, the Prospectus Supplement, or the Documents of its rights or the performance of its obligations under them contravene those laws or public policies;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agreements, documents or arrangements (other than the documents expressly referred to in this opinion as having been examined by us) that materially affect or modify the Registration Statement, the Prospectus Supplement, the Documents or the transactions contemplated by them or restrict the powers and authority of the Company in any way.</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monies paid to or for the account of any party under the Registration Statement, the Prospectus Supplement, and the Documents represent or will represent criminal property or terrorist property (as defined in the Proceeds of Crime Act (as revised) and the Terrorism Act (as revised), respectively).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or will receive, money or money’s worth in consideration for the issue of the Shares, and none of the Shares have, or will be, issued for less than their par value.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directors nor the shareholders of the Company have taken any steps to appoint a liquidator of the Company and no receiver or restructuring officer has been appointed over any of the Company’s property or assets.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circumstances or matters of fact existing which may properly form the basis for an application for an order for rectification of the register of members of the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provision of the law of any jurisdiction, other than the Cayman Islands, which would have any implication in relation to the opinions expressed herein.</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Writs (as defined in Schedule 1) constitutes a complete and accurate record of the proceedings affecting the Company before the Grand Court as at the time we conducted our investigation of such Register.</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Qualifications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 standing</w:t>
      </w:r>
    </w:p>
    <w:p>
      <w:pPr>
        <w:spacing w:after="0" w:line="225" w:lineRule="exact"/>
        <w:rPr>
          <w:sz w:val="20"/>
          <w:szCs w:val="20"/>
          <w:color w:val="auto"/>
        </w:rPr>
      </w:pPr>
    </w:p>
    <w:p>
      <w:pPr>
        <w:jc w:val="both"/>
        <w:ind w:left="660" w:hanging="652"/>
        <w:spacing w:after="0" w:line="262"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the Companies Act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76" w:lineRule="exact"/>
        <w:rPr>
          <w:sz w:val="20"/>
          <w:szCs w:val="20"/>
          <w:color w:val="auto"/>
        </w:rPr>
      </w:pPr>
    </w:p>
    <w:p>
      <w:pPr>
        <w:jc w:val="both"/>
        <w:ind w:left="660" w:hanging="652"/>
        <w:spacing w:after="0" w:line="268"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good standing </w:t>
      </w:r>
      <w:r>
        <w:rPr>
          <w:rFonts w:ascii="Times New Roman" w:cs="Times New Roman" w:eastAsia="Times New Roman" w:hAnsi="Times New Roman"/>
          <w:sz w:val="18"/>
          <w:szCs w:val="18"/>
          <w:color w:val="auto"/>
        </w:rPr>
        <w:t>means only that as of the date of the Good Standing Certificate the Company is up-to-date with the filing of its annual returns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payment of annual fees with the Registrar. We have made no enquiries into the Company’s good standing with respect to any filings or payment of fees, or both, that it may be required to make under the laws of the Cayman Islands other than the Companies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7" w:lineRule="exact"/>
        <w:rPr>
          <w:sz w:val="20"/>
          <w:szCs w:val="20"/>
          <w:color w:val="auto"/>
        </w:rPr>
      </w:pPr>
    </w:p>
    <w:p>
      <w:pPr>
        <w:jc w:val="both"/>
        <w:ind w:left="660" w:hanging="652"/>
        <w:spacing w:after="0" w:line="267"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the Companies Act, the register of members of a Cayman Islands company is by statute regarded as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Non-assessable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opinion, the phrase “non-assessable” means, with respect to the Shares,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p>
      <w:pPr>
        <w:spacing w:after="0" w:line="180" w:lineRule="exact"/>
        <w:rPr>
          <w:sz w:val="20"/>
          <w:szCs w:val="20"/>
          <w:color w:val="auto"/>
        </w:rPr>
      </w:pPr>
    </w:p>
    <w:p>
      <w:pPr>
        <w:jc w:val="both"/>
        <w:ind w:left="660" w:hanging="652"/>
        <w:spacing w:after="0" w:line="255"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Writs</w:t>
      </w:r>
    </w:p>
    <w:p>
      <w:pPr>
        <w:spacing w:after="0" w:line="229" w:lineRule="exact"/>
        <w:rPr>
          <w:sz w:val="20"/>
          <w:szCs w:val="20"/>
          <w:color w:val="auto"/>
        </w:rPr>
      </w:pPr>
    </w:p>
    <w:p>
      <w:pPr>
        <w:ind w:left="660" w:hanging="652"/>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examination of the Register of Writs cannot conclusively reveal whether or not there is: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or pending litigation in the Cayman Islands against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application for the winding up or dissolution of the Company or the appointment of any liquidator, trustee in bankruptcy or restructuring officer in respect of the Company or any of its assets,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1)"/>
      <w:numFmt w:val="lowerLetter"/>
      <w:start w:val="1"/>
    </w:lvl>
  </w:abstractNum>
  <w:abstractNum w:abstractNumId="2">
    <w:nsid w:val="5092CA79"/>
    <w:multiLevelType w:val="hybridMultilevel"/>
    <w:lvl w:ilvl="0">
      <w:lvlJc w:val="left"/>
      <w:lvlText w:val="(%1)"/>
      <w:numFmt w:val="lowerLetter"/>
      <w:start w:val="2"/>
    </w:lvl>
  </w:abstractNum>
  <w:abstractNum w:abstractNumId="3">
    <w:nsid w:val="1D545C4D"/>
    <w:multiLevelType w:val="hybridMultilevel"/>
    <w:lvl w:ilvl="0">
      <w:lvlJc w:val="left"/>
      <w:lvlText w:val="%1."/>
      <w:numFmt w:val="decimal"/>
      <w:start w:val="3"/>
    </w:lvl>
  </w:abstractNum>
  <w:abstractNum w:abstractNumId="4">
    <w:nsid w:val="59ADEA3D"/>
    <w:multiLevelType w:val="hybridMultilevel"/>
    <w:lvl w:ilvl="0">
      <w:lvlJc w:val="left"/>
      <w:lvlText w:val="(%1)"/>
      <w:numFmt w:val="lowerLetter"/>
      <w:start w:val="1"/>
    </w:lvl>
  </w:abstractNum>
  <w:abstractNum w:abstractNumId="5">
    <w:nsid w:val="288F1A34"/>
    <w:multiLevelType w:val="hybridMultilevel"/>
    <w:lvl w:ilvl="0">
      <w:lvlJc w:val="left"/>
      <w:lvlText w:val="(%1)"/>
      <w:numFmt w:val="lowerLetter"/>
      <w:start w:val="6"/>
    </w:lvl>
  </w:abstractNum>
  <w:abstractNum w:abstractNumId="6">
    <w:nsid w:val="2A155DBC"/>
    <w:multiLevelType w:val="hybridMultilevel"/>
    <w:lvl w:ilvl="0">
      <w:lvlJc w:val="left"/>
      <w:lvlText w:val="(%1)"/>
      <w:numFmt w:val="lowerLetter"/>
      <w:start w:val="9"/>
    </w:lvl>
  </w:abstractNum>
  <w:abstractNum w:abstractNumId="7">
    <w:nsid w:val="1D9F6E5F"/>
    <w:multiLevelType w:val="hybridMultilevel"/>
    <w:lvl w:ilvl="0">
      <w:lvlJc w:val="left"/>
      <w:lvlText w:val="%1"/>
      <w:numFmt w:val="lowerLetter"/>
      <w:start w:val="1"/>
    </w:lvl>
    <w:lvl w:ilvl="1">
      <w:lvlJc w:val="left"/>
      <w:lvlText w:val="(%2)"/>
      <w:numFmt w:val="lowerLetter"/>
      <w:start w:val="15"/>
    </w:lvl>
  </w:abstractNum>
  <w:abstractNum w:abstractNumId="8">
    <w:nsid w:val="97E1B4E"/>
    <w:multiLevelType w:val="hybridMultilevel"/>
    <w:lvl w:ilvl="0">
      <w:lvlJc w:val="left"/>
      <w:lvlText w:val="(%1)"/>
      <w:numFmt w:val="lowerLetter"/>
      <w:start w:val="9"/>
    </w:lvl>
    <w:lvl w:ilvl="1">
      <w:lvlJc w:val="left"/>
      <w:lvlText w:val="(%2)"/>
      <w:numFmt w:val="lowerLetter"/>
      <w:start w:val="19"/>
    </w:lvl>
  </w:abstractNum>
  <w:abstractNum w:abstractNumId="9">
    <w:nsid w:val="51088277"/>
    <w:multiLevelType w:val="hybridMultilevel"/>
    <w:lvl w:ilvl="0">
      <w:lvlJc w:val="left"/>
      <w:lvlText w:val="(%1)"/>
      <w:numFmt w:val="lowerLetter"/>
      <w:start w:val="22"/>
    </w:lvl>
  </w:abstractNum>
  <w:abstractNum w:abstractNumId="10">
    <w:nsid w:val="1CA0C5FA"/>
    <w:multiLevelType w:val="hybridMultilevel"/>
    <w:lvl w:ilvl="0">
      <w:lvlJc w:val="left"/>
      <w:lvlText w:val="(%1)"/>
      <w:numFmt w:val="lowerLetter"/>
      <w:start w:val="26"/>
    </w:lvl>
  </w:abstractNum>
  <w:abstractNum w:abstractNumId="11">
    <w:nsid w:val="53584BCB"/>
    <w:multiLevelType w:val="hybridMultilevel"/>
    <w:lvl w:ilvl="0">
      <w:lvlJc w:val="left"/>
      <w:lvlText w:val="%1"/>
      <w:numFmt w:val="lowerRoman"/>
      <w:start w:val="1"/>
    </w:lvl>
    <w:lvl w:ilvl="1">
      <w:lvlJc w:val="left"/>
      <w:lvlText w:val="(%2)"/>
      <w:numFmt w:val="lowerLetter"/>
      <w:start w:val="27"/>
    </w:lvl>
  </w:abstractNum>
  <w:abstractNum w:abstractNumId="12">
    <w:nsid w:val="415E286C"/>
    <w:multiLevelType w:val="hybridMultilevel"/>
    <w:lvl w:ilvl="0">
      <w:lvlJc w:val="left"/>
      <w:lvlText w:val="(%1)"/>
      <w:numFmt w:val="lowerRoman"/>
      <w:start w:val="6"/>
    </w:lvl>
    <w:lvl w:ilvl="1">
      <w:lvlJc w:val="left"/>
      <w:lvlText w:val="%2"/>
      <w:numFmt w:val="lowerLetter"/>
      <w:start w:val="1"/>
    </w:lvl>
  </w:abstractNum>
  <w:abstractNum w:abstractNumId="13">
    <w:nsid w:val="7C58FD05"/>
    <w:multiLevelType w:val="hybridMultilevel"/>
    <w:lvl w:ilvl="0">
      <w:lvlJc w:val="left"/>
      <w:lvlText w:val="(%1)"/>
      <w:numFmt w:val="lowerLetter"/>
      <w:start w:val="29"/>
    </w:lvl>
  </w:abstractNum>
  <w:abstractNum w:abstractNumId="14">
    <w:nsid w:val="23D86AAC"/>
    <w:multiLevelType w:val="hybridMultilevel"/>
    <w:lvl w:ilvl="0">
      <w:lvlJc w:val="left"/>
      <w:lvlText w:val="(%1)"/>
      <w:numFmt w:val="lowerLetter"/>
      <w:start w:val="34"/>
    </w:lvl>
  </w:abstractNum>
  <w:abstractNum w:abstractNumId="15">
    <w:nsid w:val="45E6D486"/>
    <w:multiLevelType w:val="hybridMultilevel"/>
    <w:lvl w:ilvl="0">
      <w:lvlJc w:val="left"/>
      <w:lvlText w:val="%1"/>
      <w:numFmt w:val="lowerLetter"/>
      <w:start w:val="1"/>
    </w:lvl>
    <w:lvl w:ilvl="1">
      <w:lvlJc w:val="left"/>
      <w:lvlText w:val="(%2)"/>
      <w:numFmt w:val="lowerLetter"/>
      <w:start w:val="37"/>
    </w:lvl>
  </w:abstractNum>
  <w:abstractNum w:abstractNumId="16">
    <w:nsid w:val="5C10FE21"/>
    <w:multiLevelType w:val="hybridMultilevel"/>
    <w:lvl w:ilvl="0">
      <w:lvlJc w:val="left"/>
      <w:lvlText w:val="(%1)"/>
      <w:numFmt w:val="lowerLetter"/>
      <w:start w:val="35"/>
    </w:lvl>
    <w:lvl w:ilvl="1">
      <w:lvlJc w:val="left"/>
      <w:lvlText w:val="(%2)"/>
      <w:numFmt w:val="lowerLetter"/>
      <w:start w:val="39"/>
    </w:lvl>
  </w:abstractNum>
  <w:abstractNum w:abstractNumId="17">
    <w:nsid w:val="E7FFA2B"/>
    <w:multiLevelType w:val="hybridMultilevel"/>
    <w:lvl w:ilvl="0">
      <w:lvlJc w:val="left"/>
      <w:lvlText w:val="(%1)"/>
      <w:numFmt w:val="lowerLetter"/>
      <w:start w:val="41"/>
    </w:lvl>
  </w:abstractNum>
  <w:abstractNum w:abstractNumId="18">
    <w:nsid w:val="3C5991AA"/>
    <w:multiLevelType w:val="hybridMultilevel"/>
    <w:lvl w:ilvl="0">
      <w:lvlJc w:val="left"/>
      <w:lvlText w:val="(%1)"/>
      <w:numFmt w:val="lowerLetter"/>
      <w:start w:val="47"/>
    </w:lvl>
  </w:abstractNum>
  <w:abstractNum w:abstractNumId="19">
    <w:nsid w:val="4BD8591A"/>
    <w:multiLevelType w:val="hybridMultilevel"/>
    <w:lvl w:ilvl="0">
      <w:lvlJc w:val="left"/>
      <w:lvlText w:val="%1"/>
      <w:numFmt w:val="upperLetter"/>
      <w:start w:val="1"/>
    </w:lvl>
    <w:lvl w:ilvl="1">
      <w:lvlJc w:val="left"/>
      <w:lvlText w:val="(%2)"/>
      <w:numFmt w:val="lowerLetter"/>
      <w:start w:val="53"/>
    </w:lvl>
  </w:abstractNum>
  <w:abstractNum w:abstractNumId="20">
    <w:nsid w:val="78DF6A55"/>
    <w:multiLevelType w:val="hybridMultilevel"/>
    <w:lvl w:ilvl="0">
      <w:lvlJc w:val="left"/>
      <w:lvlText w:val="(%1)"/>
      <w:numFmt w:val="lowerLetter"/>
      <w:start w:val="57"/>
    </w:lvl>
  </w:abstractNum>
  <w:abstractNum w:abstractNumId="21">
    <w:nsid w:val="39B7AAA2"/>
    <w:multiLevelType w:val="hybridMultilevel"/>
    <w:lvl w:ilvl="0">
      <w:lvlJc w:val="left"/>
      <w:lvlText w:val="(%1)"/>
      <w:numFmt w:val="lowerLetter"/>
      <w:start w:val="65"/>
    </w:lvl>
  </w:abstractNum>
  <w:abstractNum w:abstractNumId="22">
    <w:nsid w:val="2B0D8DBE"/>
    <w:multiLevelType w:val="hybridMultilevel"/>
    <w:lvl w:ilvl="0">
      <w:lvlJc w:val="left"/>
      <w:lvlText w:val="(%1)"/>
      <w:numFmt w:val="lowerLetter"/>
      <w:start w:val="1"/>
    </w:lvl>
  </w:abstractNum>
  <w:abstractNum w:abstractNumId="23">
    <w:nsid w:val="6C80EC70"/>
    <w:multiLevelType w:val="hybridMultilevel"/>
    <w:lvl w:ilvl="0">
      <w:lvlJc w:val="left"/>
      <w:lvlText w:val="(%1)"/>
      <w:numFmt w:val="lowerLetter"/>
      <w:start w:val="4"/>
    </w:lvl>
  </w:abstractNum>
  <w:abstractNum w:abstractNumId="24">
    <w:nsid w:val="379E21B5"/>
    <w:multiLevelType w:val="hybridMultilevel"/>
    <w:lvl w:ilvl="0">
      <w:lvlJc w:val="left"/>
      <w:lvlText w:val="(%1)"/>
      <w:numFmt w:val="lowerLetter"/>
      <w:start w:val="10"/>
    </w:lvl>
  </w:abstractNum>
  <w:abstractNum w:abstractNumId="25">
    <w:nsid w:val="69E373"/>
    <w:multiLevelType w:val="hybridMultilevel"/>
    <w:lvl w:ilvl="0">
      <w:lvlJc w:val="left"/>
      <w:lvlText w:val="(%1)"/>
      <w:numFmt w:val="lowerLetter"/>
      <w:start w:val="1"/>
    </w:lvl>
  </w:abstractNum>
  <w:abstractNum w:abstractNumId="26">
    <w:nsid w:val="2C27173B"/>
    <w:multiLevelType w:val="hybridMultilevel"/>
    <w:lvl w:ilvl="0">
      <w:lvlJc w:val="left"/>
      <w:lvlText w:val="%1."/>
      <w:numFmt w:val="decimal"/>
      <w:start w:val="7"/>
    </w:lvl>
  </w:abstractNum>
  <w:abstractNum w:abstractNumId="27">
    <w:nsid w:val="4C9B0904"/>
    <w:multiLevelType w:val="hybridMultilevel"/>
    <w:lvl w:ilvl="0">
      <w:lvlJc w:val="left"/>
      <w:lvlText w:val="(%1)"/>
      <w:numFmt w:val="lowerLetter"/>
      <w:start w:val="1"/>
    </w:lvl>
  </w:abstractNum>
  <w:abstractNum w:abstractNumId="28">
    <w:nsid w:val="6AA7B75C"/>
    <w:multiLevelType w:val="hybridMultilevel"/>
    <w:lvl w:ilvl="0">
      <w:lvlJc w:val="left"/>
      <w:lvlText w:val="%1."/>
      <w:numFmt w:val="decimal"/>
      <w:start w:val="10"/>
    </w:lvl>
    <w:lvl w:ilvl="1">
      <w:lvlJc w:val="left"/>
      <w:lvlText w:val="(%2)"/>
      <w:numFmt w:val="lowerLetter"/>
      <w:start w:val="1"/>
    </w:lvl>
  </w:abstractNum>
  <w:abstractNum w:abstractNumId="29">
    <w:nsid w:val="1DF029D3"/>
    <w:multiLevelType w:val="hybridMultilevel"/>
    <w:lvl w:ilvl="0">
      <w:lvlJc w:val="left"/>
      <w:lvlText w:val="(%1)"/>
      <w:numFmt w:val="lowerLetter"/>
      <w:start w:val="2"/>
    </w:lvl>
  </w:abstractNum>
  <w:abstractNum w:abstractNumId="30">
    <w:nsid w:val="5675FF36"/>
    <w:multiLevelType w:val="hybridMultilevel"/>
    <w:lvl w:ilvl="0">
      <w:lvlJc w:val="left"/>
      <w:lvlText w:val="(%1)"/>
      <w:numFmt w:val="lowerLetter"/>
      <w:start w:val="4"/>
    </w:lvl>
  </w:abstractNum>
  <w:abstractNum w:abstractNumId="31">
    <w:nsid w:val="3DD15094"/>
    <w:multiLevelType w:val="hybridMultilevel"/>
    <w:lvl w:ilvl="0">
      <w:lvlJc w:val="left"/>
      <w:lvlText w:val="%1."/>
      <w:numFmt w:val="decimal"/>
      <w:start w:val="23"/>
    </w:lvl>
  </w:abstractNum>
  <w:abstractNum w:abstractNumId="32">
    <w:nsid w:val="3DB012B3"/>
    <w:multiLevelType w:val="hybridMultilevel"/>
    <w:lvl w:ilvl="0">
      <w:lvlJc w:val="left"/>
      <w:lvlText w:val="%1"/>
      <w:numFmt w:val="decimal"/>
      <w:start w:val="1"/>
    </w:lvl>
    <w:lvl w:ilvl="1">
      <w:lvlJc w:val="left"/>
      <w:lvlText w:val="(%2)"/>
      <w:numFmt w:val="lowerLetter"/>
      <w:start w:val="1"/>
    </w:lvl>
  </w:abstractNum>
  <w:abstractNum w:abstractNumId="33">
    <w:nsid w:val="2708C9AF"/>
    <w:multiLevelType w:val="hybridMultilevel"/>
    <w:lvl w:ilvl="0">
      <w:lvlJc w:val="left"/>
      <w:lvlText w:val="%1."/>
      <w:numFmt w:val="decimal"/>
      <w:start w:val="24"/>
    </w:lvl>
    <w:lvl w:ilvl="1">
      <w:lvlJc w:val="left"/>
      <w:lvlText w:val="(%2)"/>
      <w:numFmt w:val="lowerLetter"/>
      <w:start w:val="1"/>
    </w:lvl>
  </w:abstractNum>
  <w:abstractNum w:abstractNumId="34">
    <w:nsid w:val="5B25ACE2"/>
    <w:multiLevelType w:val="hybridMultilevel"/>
    <w:lvl w:ilvl="0">
      <w:lvlJc w:val="left"/>
      <w:lvlText w:val="(%1)"/>
      <w:numFmt w:val="lowerRoman"/>
      <w:start w:val="1"/>
    </w:lvl>
  </w:abstractNum>
  <w:abstractNum w:abstractNumId="35">
    <w:nsid w:val="175DFCF0"/>
    <w:multiLevelType w:val="hybridMultilevel"/>
    <w:lvl w:ilvl="0">
      <w:lvlJc w:val="left"/>
      <w:lvlText w:val="1"/>
      <w:numFmt w:val="bullet"/>
      <w:start w:val="1"/>
    </w:lvl>
  </w:abstractNum>
  <w:abstractNum w:abstractNumId="36">
    <w:nsid w:val="4F97E3E4"/>
    <w:multiLevelType w:val="hybridMultilevel"/>
    <w:lvl w:ilvl="0">
      <w:lvlJc w:val="left"/>
      <w:lvlText w:val="%1."/>
      <w:numFmt w:val="decimal"/>
      <w:start w:val="1"/>
    </w:lvl>
  </w:abstractNum>
  <w:abstractNum w:abstractNumId="37">
    <w:nsid w:val="53B0A9E"/>
    <w:multiLevelType w:val="hybridMultilevel"/>
    <w:lvl w:ilvl="0">
      <w:lvlJc w:val="left"/>
      <w:lvlText w:val="(%1)"/>
      <w:numFmt w:val="lowerLetter"/>
      <w:start w:val="1"/>
    </w:lvl>
  </w:abstractNum>
  <w:abstractNum w:abstractNumId="38">
    <w:nsid w:val="34FD6B4F"/>
    <w:multiLevelType w:val="hybridMultilevel"/>
    <w:lvl w:ilvl="0">
      <w:lvlJc w:val="left"/>
      <w:lvlText w:val="(%1)"/>
      <w:numFmt w:val="lowerLetter"/>
      <w:start w:val="1"/>
    </w:lvl>
  </w:abstractNum>
  <w:abstractNum w:abstractNumId="39">
    <w:nsid w:val="5915FF32"/>
    <w:multiLevelType w:val="hybridMultilevel"/>
    <w:lvl w:ilvl="0">
      <w:lvlJc w:val="left"/>
      <w:lvlText w:val="(%1)"/>
      <w:numFmt w:val="lowerLetter"/>
      <w:start w:val="1"/>
    </w:lvl>
  </w:abstractNum>
  <w:abstractNum w:abstractNumId="40">
    <w:nsid w:val="56438D15"/>
    <w:multiLevelType w:val="hybridMultilevel"/>
    <w:lvl w:ilvl="0">
      <w:lvlJc w:val="left"/>
      <w:lvlText w:val="(%1)"/>
      <w:numFmt w:val="lowerLetter"/>
      <w:start w:val="2"/>
    </w:lvl>
  </w:abstractNum>
  <w:abstractNum w:abstractNumId="41">
    <w:nsid w:val="519E3149"/>
    <w:multiLevelType w:val="hybridMultilevel"/>
    <w:lvl w:ilvl="0">
      <w:lvlJc w:val="left"/>
      <w:lvlText w:val="(%1)"/>
      <w:numFmt w:val="lowerRoman"/>
      <w:start w:val="10"/>
    </w:lvl>
  </w:abstractNum>
  <w:abstractNum w:abstractNumId="42">
    <w:nsid w:val="2C6E4AFD"/>
    <w:multiLevelType w:val="hybridMultilevel"/>
    <w:lvl w:ilvl="0">
      <w:lvlJc w:val="left"/>
      <w:lvlText w:val="(%1)"/>
      <w:numFmt w:val="lowerLetter"/>
      <w:start w:val="1"/>
    </w:lvl>
  </w:abstractNum>
  <w:abstractNum w:abstractNumId="43">
    <w:nsid w:val="17A1B582"/>
    <w:multiLevelType w:val="hybridMultilevel"/>
    <w:lvl w:ilvl="0">
      <w:lvlJc w:val="left"/>
      <w:lvlText w:val="(%1)"/>
      <w:numFmt w:val="lowerRoman"/>
      <w:start w:val="1"/>
    </w:lvl>
  </w:abstractNum>
  <w:abstractNum w:abstractNumId="44">
    <w:nsid w:val="4DF72E4E"/>
    <w:multiLevelType w:val="hybridMultilevel"/>
    <w:lvl w:ilvl="0">
      <w:lvlJc w:val="left"/>
      <w:lvlText w:val="(%1)"/>
      <w:numFmt w:val="lowerLetter"/>
      <w:start w:val="1"/>
    </w:lvl>
  </w:abstractNum>
  <w:abstractNum w:abstractNumId="45">
    <w:nsid w:val="5046B5A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6">
    <w:nsid w:val="5D888A08"/>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47">
    <w:nsid w:val="2A082C70"/>
    <w:multiLevelType w:val="hybridMultilevel"/>
    <w:lvl w:ilvl="0">
      <w:lvlJc w:val="left"/>
      <w:lvlText w:val="(%1)"/>
      <w:numFmt w:val="lowerLetter"/>
      <w:start w:val="1"/>
    </w:lvl>
  </w:abstractNum>
  <w:abstractNum w:abstractNumId="48">
    <w:nsid w:val="5EC6AFD4"/>
    <w:multiLevelType w:val="hybridMultilevel"/>
    <w:lvl w:ilvl="0">
      <w:lvlJc w:val="left"/>
      <w:lvlText w:val="(%1)"/>
      <w:numFmt w:val="lowerLetter"/>
      <w:start w:val="2"/>
    </w:lvl>
  </w:abstractNum>
  <w:abstractNum w:abstractNumId="49">
    <w:nsid w:val="19E21BB2"/>
    <w:multiLevelType w:val="hybridMultilevel"/>
    <w:lvl w:ilvl="0">
      <w:lvlJc w:val="left"/>
      <w:lvlText w:val="(%1)"/>
      <w:numFmt w:val="decimal"/>
      <w:start w:val="1"/>
    </w:lvl>
    <w:lvl w:ilvl="1">
      <w:lvlJc w:val="left"/>
      <w:lvlText w:val="(%2)"/>
      <w:numFmt w:val="upperLetter"/>
      <w:start w:val="1"/>
    </w:lvl>
  </w:abstractNum>
  <w:abstractNum w:abstractNumId="50">
    <w:nsid w:val="75E0858A"/>
    <w:multiLevelType w:val="hybridMultilevel"/>
    <w:lvl w:ilvl="0">
      <w:lvlJc w:val="left"/>
      <w:lvlText w:val="(%1)"/>
      <w:numFmt w:val="lowerLetter"/>
      <w:start w:val="4"/>
    </w:lvl>
  </w:abstractNum>
  <w:abstractNum w:abstractNumId="51">
    <w:nsid w:val="57A61A29"/>
    <w:multiLevelType w:val="hybridMultilevel"/>
    <w:lvl w:ilvl="0">
      <w:lvlJc w:val="left"/>
      <w:lvlText w:val="(%1)"/>
      <w:numFmt w:val="decimal"/>
      <w:start w:val="1"/>
    </w:lvl>
    <w:lvl w:ilvl="1">
      <w:lvlJc w:val="left"/>
      <w:lvlText w:val="(%2)"/>
      <w:numFmt w:val="upperLetter"/>
      <w:start w:val="1"/>
    </w:lvl>
  </w:abstractNum>
  <w:abstractNum w:abstractNumId="52">
    <w:nsid w:val="5399C654"/>
    <w:multiLevelType w:val="hybridMultilevel"/>
    <w:lvl w:ilvl="0">
      <w:lvlJc w:val="left"/>
      <w:lvlText w:val="(%1)"/>
      <w:numFmt w:val="lowerRoman"/>
      <w:start w:val="1"/>
    </w:lvl>
  </w:abstractNum>
  <w:abstractNum w:abstractNumId="53">
    <w:nsid w:val="20EE1348"/>
    <w:multiLevelType w:val="hybridMultilevel"/>
    <w:lvl w:ilvl="0">
      <w:lvlJc w:val="left"/>
      <w:lvlText w:val="(%1)"/>
      <w:numFmt w:val="lowerLetter"/>
      <w:start w:val="2"/>
    </w:lvl>
  </w:abstractNum>
  <w:abstractNum w:abstractNumId="54">
    <w:nsid w:val="4427069A"/>
    <w:multiLevelType w:val="hybridMultilevel"/>
    <w:lvl w:ilvl="0">
      <w:lvlJc w:val="left"/>
      <w:lvlText w:val="(%1)"/>
      <w:numFmt w:val="lowerLetter"/>
      <w:start w:val="1"/>
    </w:lvl>
  </w:abstractNum>
  <w:abstractNum w:abstractNumId="55">
    <w:nsid w:val="B37E80A"/>
    <w:multiLevelType w:val="hybridMultilevel"/>
    <w:lvl w:ilvl="0">
      <w:lvlJc w:val="left"/>
      <w:lvlText w:val="(%1)"/>
      <w:numFmt w:val="lowerLetter"/>
      <w:start w:val="4"/>
    </w:lvl>
  </w:abstractNum>
  <w:abstractNum w:abstractNumId="56">
    <w:nsid w:val="2157F6BC"/>
    <w:multiLevelType w:val="hybridMultilevel"/>
    <w:lvl w:ilvl="0">
      <w:lvlJc w:val="left"/>
      <w:lvlText w:val="(%1)"/>
      <w:numFmt w:val="lowerLetter"/>
      <w:start w:val="9"/>
    </w:lvl>
  </w:abstractNum>
  <w:abstractNum w:abstractNumId="57">
    <w:nsid w:val="704E1DD5"/>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58">
    <w:nsid w:val="57D2F10E"/>
    <w:multiLevelType w:val="hybridMultilevel"/>
    <w:lvl w:ilvl="0">
      <w:lvlJc w:val="left"/>
      <w:lvlText w:val="%1"/>
      <w:numFmt w:val="decimal"/>
      <w:start w:val="1"/>
    </w:lvl>
    <w:lvl w:ilvl="1">
      <w:lvlJc w:val="left"/>
      <w:lvlText w:val="(%2)"/>
      <w:numFmt w:val="upperLetter"/>
      <w:start w:val="2"/>
    </w:lvl>
  </w:abstractNum>
  <w:abstractNum w:abstractNumId="59">
    <w:nsid w:val="BFFAE18"/>
    <w:multiLevelType w:val="hybridMultilevel"/>
    <w:lvl w:ilvl="0">
      <w:lvlJc w:val="left"/>
      <w:lvlText w:val="(%1)"/>
      <w:numFmt w:val="decimal"/>
      <w:start w:val="2"/>
    </w:lvl>
    <w:lvl w:ilvl="1">
      <w:lvlJc w:val="left"/>
      <w:lvlText w:val="%2"/>
      <w:numFmt w:val="upperLetter"/>
      <w:start w:val="1"/>
    </w:lvl>
  </w:abstractNum>
  <w:abstractNum w:abstractNumId="60">
    <w:nsid w:val="E3E47A8"/>
    <w:multiLevelType w:val="hybridMultilevel"/>
    <w:lvl w:ilvl="0">
      <w:lvlJc w:val="left"/>
      <w:lvlText w:val="%1"/>
      <w:numFmt w:val="lowerRoman"/>
      <w:start w:val="1"/>
    </w:lvl>
    <w:lvl w:ilvl="1">
      <w:lvlJc w:val="left"/>
      <w:lvlText w:val="(%2)"/>
      <w:numFmt w:val="decimal"/>
      <w:start w:val="5"/>
    </w:lvl>
  </w:abstractNum>
  <w:abstractNum w:abstractNumId="61">
    <w:nsid w:val="2E48F044"/>
    <w:multiLevelType w:val="hybridMultilevel"/>
    <w:lvl w:ilvl="0">
      <w:lvlJc w:val="left"/>
      <w:lvlText w:val="(%1)"/>
      <w:numFmt w:val="lowerRoman"/>
      <w:start w:val="2"/>
    </w:lvl>
    <w:lvl w:ilvl="1">
      <w:lvlJc w:val="left"/>
      <w:lvlText w:val="%2"/>
      <w:numFmt w:val="decimal"/>
      <w:start w:val="1"/>
    </w:lvl>
  </w:abstractNum>
  <w:abstractNum w:abstractNumId="62">
    <w:nsid w:val="49D0FEAC"/>
    <w:multiLevelType w:val="hybridMultilevel"/>
    <w:lvl w:ilvl="0">
      <w:lvlJc w:val="left"/>
      <w:lvlText w:val="(%1)"/>
      <w:numFmt w:val="lowerLetter"/>
      <w:start w:val="2"/>
    </w:lvl>
  </w:abstractNum>
  <w:abstractNum w:abstractNumId="63">
    <w:nsid w:val="4BEE5A5B"/>
    <w:multiLevelType w:val="hybridMultilevel"/>
    <w:lvl w:ilvl="0">
      <w:lvlJc w:val="left"/>
      <w:lvlText w:val="(%1)"/>
      <w:numFmt w:val="lowerLetter"/>
      <w:start w:val="1"/>
    </w:lvl>
  </w:abstractNum>
  <w:abstractNum w:abstractNumId="64">
    <w:nsid w:val="5551B9F3"/>
    <w:multiLevelType w:val="hybridMultilevel"/>
    <w:lvl w:ilvl="0">
      <w:lvlJc w:val="left"/>
      <w:lvlText w:val="(%1)"/>
      <w:numFmt w:val="lowerLetter"/>
      <w:start w:val="4"/>
    </w:lvl>
  </w:abstractNum>
  <w:abstractNum w:abstractNumId="65">
    <w:nsid w:val="24F6AB8E"/>
    <w:multiLevelType w:val="hybridMultilevel"/>
    <w:lvl w:ilvl="0">
      <w:lvlJc w:val="left"/>
      <w:lvlText w:val="(%1)"/>
      <w:numFmt w:val="lowerLetter"/>
      <w:start w:val="1"/>
    </w:lvl>
  </w:abstractNum>
  <w:abstractNum w:abstractNumId="66">
    <w:nsid w:val="634C574C"/>
    <w:multiLevelType w:val="hybridMultilevel"/>
    <w:lvl w:ilvl="0">
      <w:lvlJc w:val="left"/>
      <w:lvlText w:val="(%1)"/>
      <w:numFmt w:val="lowerLetter"/>
      <w:start w:val="1"/>
    </w:lvl>
    <w:lvl w:ilvl="1">
      <w:lvlJc w:val="left"/>
      <w:lvlText w:val="(%2)"/>
      <w:numFmt w:val="lowerRoman"/>
      <w:start w:val="1"/>
    </w:lvl>
  </w:abstractNum>
  <w:abstractNum w:abstractNumId="67">
    <w:nsid w:val="24E99DD7"/>
    <w:multiLevelType w:val="hybridMultilevel"/>
    <w:lvl w:ilvl="0">
      <w:lvlJc w:val="left"/>
      <w:lvlText w:val="(%1)"/>
      <w:numFmt w:val="lowerLetter"/>
      <w:start w:val="3"/>
    </w:lvl>
  </w:abstractNum>
  <w:abstractNum w:abstractNumId="68">
    <w:nsid w:val="2A31B62D"/>
    <w:multiLevelType w:val="hybridMultilevel"/>
    <w:lvl w:ilvl="0">
      <w:lvlJc w:val="left"/>
      <w:lvlText w:val="(%1)"/>
      <w:numFmt w:val="lowerLetter"/>
      <w:start w:val="1"/>
    </w:lvl>
  </w:abstractNum>
  <w:abstractNum w:abstractNumId="69">
    <w:nsid w:val="1849C29B"/>
    <w:multiLevelType w:val="hybridMultilevel"/>
    <w:lvl w:ilvl="0">
      <w:lvlJc w:val="left"/>
      <w:lvlText w:val="(%1)"/>
      <w:numFmt w:val="lowerRoman"/>
      <w:start w:val="1"/>
    </w:lvl>
  </w:abstractNum>
  <w:abstractNum w:abstractNumId="70">
    <w:nsid w:val="7DFF9D09"/>
    <w:multiLevelType w:val="hybridMultilevel"/>
    <w:lvl w:ilvl="0">
      <w:lvlJc w:val="left"/>
      <w:lvlText w:val="(%1)"/>
      <w:numFmt w:val="lowerLetter"/>
      <w:start w:val="1"/>
    </w:lvl>
    <w:lvl w:ilvl="1">
      <w:lvlJc w:val="left"/>
      <w:lvlText w:val="(%2)"/>
      <w:numFmt w:val="lowerRoman"/>
      <w:start w:val="1"/>
    </w:lvl>
  </w:abstractNum>
  <w:abstractNum w:abstractNumId="71">
    <w:nsid w:val="754342"/>
    <w:multiLevelType w:val="hybridMultilevel"/>
    <w:lvl w:ilvl="0">
      <w:lvlJc w:val="left"/>
      <w:lvlText w:val="(%1)"/>
      <w:numFmt w:val="lowerLetter"/>
      <w:start w:val="3"/>
    </w:lvl>
  </w:abstractNum>
  <w:abstractNum w:abstractNumId="72">
    <w:nsid w:val="69E7F3E5"/>
    <w:multiLevelType w:val="hybridMultilevel"/>
    <w:lvl w:ilvl="0">
      <w:lvlJc w:val="left"/>
      <w:lvlText w:val="(%1)"/>
      <w:numFmt w:val="lowerLetter"/>
      <w:start w:val="1"/>
    </w:lvl>
  </w:abstractNum>
  <w:abstractNum w:abstractNumId="73">
    <w:nsid w:val="2A6DE806"/>
    <w:multiLevelType w:val="hybridMultilevel"/>
    <w:lvl w:ilvl="0">
      <w:lvlJc w:val="left"/>
      <w:lvlText w:val="(%1)"/>
      <w:numFmt w:val="lowerLetter"/>
      <w:start w:val="1"/>
    </w:lvl>
  </w:abstractNum>
  <w:abstractNum w:abstractNumId="74">
    <w:nsid w:val="1816F8C4"/>
    <w:multiLevelType w:val="hybridMultilevel"/>
    <w:lvl w:ilvl="0">
      <w:lvlJc w:val="left"/>
      <w:lvlText w:val="(%1)"/>
      <w:numFmt w:val="lowerLetter"/>
      <w:start w:val="10"/>
    </w:lvl>
  </w:abstractNum>
  <w:abstractNum w:abstractNumId="75">
    <w:nsid w:val="37DF2233"/>
    <w:multiLevelType w:val="hybridMultilevel"/>
    <w:lvl w:ilvl="0">
      <w:lvlJc w:val="left"/>
      <w:lvlText w:val="(%1)"/>
      <w:numFmt w:val="lowerLetter"/>
      <w:start w:val="2"/>
    </w:lvl>
  </w:abstractNum>
  <w:abstractNum w:abstractNumId="76">
    <w:nsid w:val="7AB49DAF"/>
    <w:multiLevelType w:val="hybridMultilevel"/>
    <w:lvl w:ilvl="0">
      <w:lvlJc w:val="left"/>
      <w:lvlText w:val="(%1)"/>
      <w:numFmt w:val="lowerLetter"/>
      <w:start w:val="1"/>
    </w:lvl>
  </w:abstractNum>
  <w:abstractNum w:abstractNumId="77">
    <w:nsid w:val="759F82CD"/>
    <w:multiLevelType w:val="hybridMultilevel"/>
    <w:lvl w:ilvl="0">
      <w:lvlJc w:val="left"/>
      <w:lvlText w:val="(%1)"/>
      <w:numFmt w:val="lowerLetter"/>
      <w:start w:val="1"/>
    </w:lvl>
  </w:abstractNum>
  <w:abstractNum w:abstractNumId="78">
    <w:nsid w:val="61E74EA3"/>
    <w:multiLevelType w:val="hybridMultilevel"/>
    <w:lvl w:ilvl="0">
      <w:lvlJc w:val="left"/>
      <w:lvlText w:val="%1"/>
      <w:numFmt w:val="lowerLetter"/>
      <w:start w:val="1"/>
    </w:lvl>
    <w:lvl w:ilvl="1">
      <w:lvlJc w:val="left"/>
      <w:lvlText w:val="(%2)"/>
      <w:numFmt w:val="lowerLetter"/>
      <w:start w:val="9"/>
    </w:lvl>
  </w:abstractNum>
  <w:abstractNum w:abstractNumId="79">
    <w:nsid w:val="597B4D84"/>
    <w:multiLevelType w:val="hybridMultilevel"/>
    <w:lvl w:ilvl="0">
      <w:lvlJc w:val="left"/>
      <w:lvlText w:val="(%1)"/>
      <w:numFmt w:val="lowerLetter"/>
      <w:start w:val="25"/>
    </w:lvl>
    <w:lvl w:ilvl="1">
      <w:lvlJc w:val="left"/>
      <w:lvlText w:val="%2"/>
      <w:numFmt w:val="lowerLetter"/>
      <w:start w:val="1"/>
    </w:lvl>
  </w:abstractNum>
  <w:abstractNum w:abstractNumId="80">
    <w:nsid w:val="F819E7F"/>
    <w:multiLevelType w:val="hybridMultilevel"/>
    <w:lvl w:ilvl="0">
      <w:lvlJc w:val="left"/>
      <w:lvlText w:val="(%1)"/>
      <w:numFmt w:val="lowerRoman"/>
      <w:start w:val="2"/>
    </w:lvl>
    <w:lvl w:ilvl="1">
      <w:lvlJc w:val="left"/>
      <w:lvlText w:val="(%2)"/>
      <w:numFmt w:val="upperLetter"/>
      <w:start w:val="1"/>
    </w:lvl>
  </w:abstractNum>
  <w:abstractNum w:abstractNumId="81">
    <w:nsid w:val="57C7D42D"/>
    <w:multiLevelType w:val="hybridMultilevel"/>
    <w:lvl w:ilvl="0">
      <w:lvlJc w:val="left"/>
      <w:lvlText w:val="(%1)"/>
      <w:numFmt w:val="lowerRoman"/>
      <w:start w:val="3"/>
    </w:lvl>
  </w:abstractNum>
  <w:abstractNum w:abstractNumId="82">
    <w:nsid w:val="312167AD"/>
    <w:multiLevelType w:val="hybridMultilevel"/>
    <w:lvl w:ilvl="0">
      <w:lvlJc w:val="left"/>
      <w:lvlText w:val="(%1)"/>
      <w:numFmt w:val="lowerRoman"/>
      <w:start w:val="4"/>
    </w:lvl>
  </w:abstractNum>
  <w:abstractNum w:abstractNumId="83">
    <w:nsid w:val="631B64D4"/>
    <w:multiLevelType w:val="hybridMultilevel"/>
    <w:lvl w:ilvl="0">
      <w:lvlJc w:val="left"/>
      <w:lvlText w:val="(%1)"/>
      <w:numFmt w:val="lowerLetter"/>
      <w:start w:val="1"/>
    </w:lvl>
    <w:lvl w:ilvl="1">
      <w:lvlJc w:val="left"/>
      <w:lvlText w:val="(%2)"/>
      <w:numFmt w:val="lowerRoman"/>
      <w:start w:val="1"/>
    </w:lvl>
  </w:abstractNum>
  <w:abstractNum w:abstractNumId="84">
    <w:nsid w:val="78B5E776"/>
    <w:multiLevelType w:val="hybridMultilevel"/>
    <w:lvl w:ilvl="0">
      <w:lvlJc w:val="left"/>
      <w:lvlText w:val="(%1)"/>
      <w:numFmt w:val="lowerRoman"/>
      <w:start w:val="4"/>
    </w:lvl>
    <w:lvl w:ilvl="1">
      <w:lvlJc w:val="left"/>
      <w:lvlText w:val="(%2)"/>
      <w:numFmt w:val="upperLetter"/>
      <w:start w:val="1"/>
    </w:lvl>
  </w:abstractNum>
  <w:abstractNum w:abstractNumId="85">
    <w:nsid w:val="75486E47"/>
    <w:multiLevelType w:val="hybridMultilevel"/>
    <w:lvl w:ilvl="0">
      <w:lvlJc w:val="left"/>
      <w:lvlText w:val="%1"/>
      <w:numFmt w:val="lowerLetter"/>
      <w:start w:val="1"/>
    </w:lvl>
    <w:lvl w:ilvl="1">
      <w:lvlJc w:val="left"/>
      <w:lvlText w:val="(%2)"/>
      <w:numFmt w:val="upperLetter"/>
      <w:start w:val="3"/>
    </w:lvl>
  </w:abstractNum>
  <w:abstractNum w:abstractNumId="86">
    <w:nsid w:val="6E534CDE"/>
    <w:multiLevelType w:val="hybridMultilevel"/>
    <w:lvl w:ilvl="0">
      <w:lvlJc w:val="left"/>
      <w:lvlText w:val="(%1)"/>
      <w:numFmt w:val="lowerLetter"/>
      <w:start w:val="2"/>
    </w:lvl>
    <w:lvl w:ilvl="1">
      <w:lvlJc w:val="left"/>
      <w:lvlText w:val="%2"/>
      <w:numFmt w:val="upperLetter"/>
      <w:start w:val="1"/>
    </w:lvl>
  </w:abstractNum>
  <w:abstractNum w:abstractNumId="87">
    <w:nsid w:val="1A0DDE32"/>
    <w:multiLevelType w:val="hybridMultilevel"/>
    <w:lvl w:ilvl="0">
      <w:lvlJc w:val="left"/>
      <w:lvlText w:val="(%1)"/>
      <w:numFmt w:val="lowerLetter"/>
      <w:start w:val="4"/>
    </w:lvl>
  </w:abstractNum>
  <w:abstractNum w:abstractNumId="88">
    <w:nsid w:val="65968C1C"/>
    <w:multiLevelType w:val="hybridMultilevel"/>
    <w:lvl w:ilvl="0">
      <w:lvlJc w:val="left"/>
      <w:lvlText w:val="(%1)"/>
      <w:numFmt w:val="lowerLetter"/>
      <w:start w:val="6"/>
    </w:lvl>
  </w:abstractNum>
  <w:abstractNum w:abstractNumId="89">
    <w:nsid w:val="46263DEC"/>
    <w:multiLevelType w:val="hybridMultilevel"/>
    <w:lvl w:ilvl="0">
      <w:lvlJc w:val="left"/>
      <w:lvlText w:val="%1"/>
      <w:numFmt w:val="lowerLetter"/>
      <w:start w:val="1"/>
    </w:lvl>
    <w:lvl w:ilvl="1">
      <w:lvlJc w:val="left"/>
      <w:lvlText w:val="(%2)"/>
      <w:numFmt w:val="lowerLetter"/>
      <w:start w:val="9"/>
    </w:lvl>
  </w:abstractNum>
  <w:abstractNum w:abstractNumId="90">
    <w:nsid w:val="260D8C4A"/>
    <w:multiLevelType w:val="hybridMultilevel"/>
    <w:lvl w:ilvl="0">
      <w:lvlJc w:val="left"/>
      <w:lvlText w:val="(%1)"/>
      <w:numFmt w:val="lowerLetter"/>
      <w:start w:val="8"/>
    </w:lvl>
    <w:lvl w:ilvl="1">
      <w:lvlJc w:val="left"/>
      <w:lvlText w:val="(%2)"/>
      <w:numFmt w:val="lowerLetter"/>
      <w:start w:val="10"/>
    </w:lvl>
  </w:abstractNum>
  <w:abstractNum w:abstractNumId="91">
    <w:nsid w:val="73D4D3C4"/>
    <w:multiLevelType w:val="hybridMultilevel"/>
    <w:lvl w:ilvl="0">
      <w:lvlJc w:val="left"/>
      <w:lvlText w:val="(%1)"/>
      <w:numFmt w:val="lowerLetter"/>
      <w:start w:val="1"/>
    </w:lvl>
  </w:abstractNum>
  <w:abstractNum w:abstractNumId="92">
    <w:nsid w:val="746F2E30"/>
    <w:multiLevelType w:val="hybridMultilevel"/>
    <w:lvl w:ilvl="0">
      <w:lvlJc w:val="left"/>
      <w:lvlText w:val="(%1)"/>
      <w:numFmt w:val="lowerLetter"/>
      <w:start w:val="2"/>
    </w:lvl>
  </w:abstractNum>
  <w:abstractNum w:abstractNumId="93">
    <w:nsid w:val="6FDE8AF6"/>
    <w:multiLevelType w:val="hybridMultilevel"/>
    <w:lvl w:ilvl="0">
      <w:lvlJc w:val="left"/>
      <w:lvlText w:val="(%1)"/>
      <w:numFmt w:val="lowerLetter"/>
      <w:start w:val="5"/>
    </w:lvl>
  </w:abstractNum>
  <w:abstractNum w:abstractNumId="94">
    <w:nsid w:val="3FC32E20"/>
    <w:multiLevelType w:val="hybridMultilevel"/>
    <w:lvl w:ilvl="0">
      <w:lvlJc w:val="left"/>
      <w:lvlText w:val="(%1)"/>
      <w:numFmt w:val="lowerRoman"/>
      <w:start w:val="1"/>
    </w:lvl>
  </w:abstractNum>
  <w:abstractNum w:abstractNumId="95">
    <w:nsid w:val="49C0E823"/>
    <w:multiLevelType w:val="hybridMultilevel"/>
    <w:lvl w:ilvl="0">
      <w:lvlJc w:val="left"/>
      <w:lvlText w:val="(%1)"/>
      <w:numFmt w:val="lowerLetter"/>
      <w:start w:val="6"/>
    </w:lvl>
  </w:abstractNum>
  <w:abstractNum w:abstractNumId="96">
    <w:nsid w:val="14D53685"/>
    <w:multiLevelType w:val="hybridMultilevel"/>
    <w:lvl w:ilvl="0">
      <w:lvlJc w:val="left"/>
      <w:lvlText w:val="(%1)"/>
      <w:numFmt w:val="lowerLetter"/>
      <w:start w:val="1"/>
    </w:lvl>
  </w:abstractNum>
  <w:abstractNum w:abstractNumId="97">
    <w:nsid w:val="230F856C"/>
    <w:multiLevelType w:val="hybridMultilevel"/>
    <w:lvl w:ilvl="0">
      <w:lvlJc w:val="left"/>
      <w:lvlText w:val="(%1)"/>
      <w:numFmt w:val="lowerLetter"/>
      <w:start w:val="2"/>
    </w:lvl>
  </w:abstractNum>
  <w:abstractNum w:abstractNumId="98">
    <w:nsid w:val="6EAA85FB"/>
    <w:multiLevelType w:val="hybridMultilevel"/>
    <w:lvl w:ilvl="0">
      <w:lvlJc w:val="left"/>
      <w:lvlText w:val="X"/>
      <w:numFmt w:val="bullet"/>
      <w:start w:val="1"/>
    </w:lvl>
  </w:abstractNum>
  <w:abstractNum w:abstractNumId="99">
    <w:nsid w:val="3F06ECB2"/>
    <w:multiLevelType w:val="hybridMultilevel"/>
    <w:lvl w:ilvl="0">
      <w:lvlJc w:val="left"/>
      <w:lvlText w:val="Y"/>
      <w:numFmt w:val="bullet"/>
      <w:start w:val="1"/>
    </w:lvl>
  </w:abstractNum>
  <w:abstractNum w:abstractNumId="100">
    <w:nsid w:val="3B594807"/>
    <w:multiLevelType w:val="hybridMultilevel"/>
    <w:lvl w:ilvl="0">
      <w:lvlJc w:val="left"/>
      <w:lvlText w:val="(%1)"/>
      <w:numFmt w:val="lowerLetter"/>
      <w:start w:val="3"/>
    </w:lvl>
  </w:abstractNum>
  <w:abstractNum w:abstractNumId="101">
    <w:nsid w:val="6CAA2304"/>
    <w:multiLevelType w:val="hybridMultilevel"/>
    <w:lvl w:ilvl="0">
      <w:lvlJc w:val="left"/>
      <w:lvlText w:val="(%1)"/>
      <w:numFmt w:val="upperLetter"/>
      <w:start w:val="1"/>
    </w:lvl>
  </w:abstractNum>
  <w:abstractNum w:abstractNumId="102">
    <w:nsid w:val="3F7C2FF4"/>
    <w:multiLevelType w:val="hybridMultilevel"/>
    <w:lvl w:ilvl="0">
      <w:lvlJc w:val="left"/>
      <w:lvlText w:val="(%1)"/>
      <w:numFmt w:val="lowerLetter"/>
      <w:start w:val="4"/>
    </w:lvl>
  </w:abstractNum>
  <w:abstractNum w:abstractNumId="103">
    <w:nsid w:val="25413BEC"/>
    <w:multiLevelType w:val="hybridMultilevel"/>
    <w:lvl w:ilvl="0">
      <w:lvlJc w:val="left"/>
      <w:lvlText w:val="C"/>
      <w:numFmt w:val="bullet"/>
      <w:start w:val="1"/>
    </w:lvl>
  </w:abstractNum>
  <w:abstractNum w:abstractNumId="104">
    <w:nsid w:val="17180B0B"/>
    <w:multiLevelType w:val="hybridMultilevel"/>
    <w:lvl w:ilvl="0">
      <w:lvlJc w:val="left"/>
      <w:lvlText w:val="(%1)"/>
      <w:numFmt w:val="lowerLetter"/>
      <w:start w:val="5"/>
    </w:lvl>
  </w:abstractNum>
  <w:abstractNum w:abstractNumId="105">
    <w:nsid w:val="579328B9"/>
    <w:multiLevelType w:val="hybridMultilevel"/>
    <w:lvl w:ilvl="0">
      <w:lvlJc w:val="left"/>
      <w:lvlText w:val="(%1)"/>
      <w:numFmt w:val="lowerLetter"/>
      <w:start w:val="6"/>
    </w:lvl>
  </w:abstractNum>
  <w:abstractNum w:abstractNumId="106">
    <w:nsid w:val="5D205E20"/>
    <w:multiLevelType w:val="hybridMultilevel"/>
    <w:lvl w:ilvl="0">
      <w:lvlJc w:val="left"/>
      <w:lvlText w:val="(%1)"/>
      <w:numFmt w:val="lowerLetter"/>
      <w:start w:val="7"/>
    </w:lvl>
  </w:abstractNum>
  <w:abstractNum w:abstractNumId="107">
    <w:nsid w:val="11CCA8BA"/>
    <w:multiLevelType w:val="hybridMultilevel"/>
    <w:lvl w:ilvl="0">
      <w:lvlJc w:val="left"/>
      <w:lvlText w:val="(%1)"/>
      <w:numFmt w:val="lowerLetter"/>
      <w:start w:val="8"/>
    </w:lvl>
    <w:lvl w:ilvl="1">
      <w:lvlJc w:val="left"/>
      <w:lvlText w:val="(%2)"/>
      <w:numFmt w:val="lowerRoman"/>
      <w:start w:val="1"/>
    </w:lvl>
  </w:abstractNum>
  <w:abstractNum w:abstractNumId="108">
    <w:nsid w:val="4D32AB86"/>
    <w:multiLevelType w:val="hybridMultilevel"/>
    <w:lvl w:ilvl="0">
      <w:lvlJc w:val="left"/>
      <w:lvlText w:val="(%1)"/>
      <w:numFmt w:val="lowerLetter"/>
      <w:start w:val="10"/>
    </w:lvl>
  </w:abstractNum>
  <w:abstractNum w:abstractNumId="109">
    <w:nsid w:val="3F07ACC3"/>
    <w:multiLevelType w:val="hybridMultilevel"/>
    <w:lvl w:ilvl="0">
      <w:lvlJc w:val="left"/>
      <w:lvlText w:val="(%1)"/>
      <w:numFmt w:val="lowerLetter"/>
      <w:start w:val="1"/>
    </w:lvl>
    <w:lvl w:ilvl="1">
      <w:lvlJc w:val="left"/>
      <w:lvlText w:val="(%2)"/>
      <w:numFmt w:val="lowerRoman"/>
      <w:start w:val="1"/>
    </w:lvl>
  </w:abstractNum>
  <w:abstractNum w:abstractNumId="110">
    <w:nsid w:val="6B47F63E"/>
    <w:multiLevelType w:val="hybridMultilevel"/>
    <w:lvl w:ilvl="0">
      <w:lvlJc w:val="left"/>
      <w:lvlText w:val="(%1)"/>
      <w:numFmt w:val="upperLetter"/>
      <w:start w:val="1"/>
    </w:lvl>
  </w:abstractNum>
  <w:abstractNum w:abstractNumId="111">
    <w:nsid w:val="5CB44A05"/>
    <w:multiLevelType w:val="hybridMultilevel"/>
    <w:lvl w:ilvl="0">
      <w:lvlJc w:val="left"/>
      <w:lvlText w:val="(%1)"/>
      <w:numFmt w:val="lowerLetter"/>
      <w:start w:val="2"/>
    </w:lvl>
  </w:abstractNum>
  <w:abstractNum w:abstractNumId="112">
    <w:nsid w:val="16CF80F1"/>
    <w:multiLevelType w:val="hybridMultilevel"/>
    <w:lvl w:ilvl="0">
      <w:lvlJc w:val="left"/>
      <w:lvlText w:val="(%1)"/>
      <w:numFmt w:val="lowerLetter"/>
      <w:start w:val="1"/>
    </w:lvl>
  </w:abstractNum>
  <w:abstractNum w:abstractNumId="113">
    <w:nsid w:val="1C695DEC"/>
    <w:multiLevelType w:val="hybridMultilevel"/>
    <w:lvl w:ilvl="0">
      <w:lvlJc w:val="left"/>
      <w:lvlText w:val="(%1)"/>
      <w:numFmt w:val="lowerLetter"/>
      <w:start w:val="1"/>
    </w:lvl>
  </w:abstractNum>
  <w:abstractNum w:abstractNumId="114">
    <w:nsid w:val="3FCFAED9"/>
    <w:multiLevelType w:val="hybridMultilevel"/>
    <w:lvl w:ilvl="0">
      <w:lvlJc w:val="left"/>
      <w:lvlText w:val="(%1)"/>
      <w:numFmt w:val="lowerLetter"/>
      <w:start w:val="1"/>
    </w:lvl>
    <w:lvl w:ilvl="1">
      <w:lvlJc w:val="left"/>
      <w:lvlText w:val="(%2)"/>
      <w:numFmt w:val="lowerRoman"/>
      <w:start w:val="1"/>
    </w:lvl>
  </w:abstractNum>
  <w:abstractNum w:abstractNumId="115">
    <w:nsid w:val="F856867"/>
    <w:multiLevelType w:val="hybridMultilevel"/>
    <w:lvl w:ilvl="0">
      <w:lvlJc w:val="left"/>
      <w:lvlText w:val="(%1)"/>
      <w:numFmt w:val="lowerRoman"/>
      <w:start w:val="1"/>
    </w:lvl>
  </w:abstractNum>
  <w:abstractNum w:abstractNumId="116">
    <w:nsid w:val="11B1CC33"/>
    <w:multiLevelType w:val="hybridMultilevel"/>
    <w:lvl w:ilvl="0">
      <w:lvlJc w:val="left"/>
      <w:lvlText w:val="(%1)"/>
      <w:numFmt w:val="lowerLetter"/>
      <w:start w:val="3"/>
    </w:lvl>
    <w:lvl w:ilvl="1">
      <w:lvlJc w:val="left"/>
      <w:lvlText w:val="(%2)"/>
      <w:numFmt w:val="lowerRoman"/>
      <w:start w:val="1"/>
    </w:lvl>
  </w:abstractNum>
  <w:abstractNum w:abstractNumId="117">
    <w:nsid w:val="2E22FBB7"/>
    <w:multiLevelType w:val="hybridMultilevel"/>
    <w:lvl w:ilvl="0">
      <w:lvlJc w:val="left"/>
      <w:lvlText w:val="(%1)"/>
      <w:numFmt w:val="lowerLetter"/>
      <w:start w:val="1"/>
    </w:lvl>
    <w:lvl w:ilvl="1">
      <w:lvlJc w:val="left"/>
      <w:lvlText w:val="(%2)"/>
      <w:numFmt w:val="lowerRoman"/>
      <w:start w:val="1"/>
    </w:lvl>
  </w:abstractNum>
  <w:abstractNum w:abstractNumId="118">
    <w:nsid w:val="29934699"/>
    <w:multiLevelType w:val="hybridMultilevel"/>
    <w:lvl w:ilvl="0">
      <w:lvlJc w:val="left"/>
      <w:lvlText w:val="(%1)"/>
      <w:numFmt w:val="lowerRoman"/>
      <w:start w:val="1"/>
    </w:lvl>
  </w:abstractNum>
  <w:abstractNum w:abstractNumId="119">
    <w:nsid w:val="77485850"/>
    <w:multiLevelType w:val="hybridMultilevel"/>
    <w:lvl w:ilvl="0">
      <w:lvlJc w:val="left"/>
      <w:lvlText w:val="(%1)"/>
      <w:numFmt w:val="lowerLetter"/>
      <w:start w:val="3"/>
    </w:lvl>
    <w:lvl w:ilvl="1">
      <w:lvlJc w:val="left"/>
      <w:lvlText w:val="(%2)"/>
      <w:numFmt w:val="lowerRoman"/>
      <w:start w:val="1"/>
    </w:lvl>
  </w:abstractNum>
  <w:abstractNum w:abstractNumId="120">
    <w:nsid w:val="744939A3"/>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121">
    <w:nsid w:val="4FA0D2E3"/>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22">
    <w:nsid w:val="6B1D2C14"/>
    <w:multiLevelType w:val="hybridMultilevel"/>
    <w:lvl w:ilvl="0">
      <w:lvlJc w:val="left"/>
      <w:lvlText w:val="(%1)"/>
      <w:numFmt w:val="lowerLetter"/>
      <w:start w:val="5"/>
    </w:lvl>
  </w:abstractNum>
  <w:abstractNum w:abstractNumId="123">
    <w:nsid w:val="68B867D3"/>
    <w:multiLevelType w:val="hybridMultilevel"/>
    <w:lvl w:ilvl="0">
      <w:lvlJc w:val="left"/>
      <w:lvlText w:val="(%1)"/>
      <w:numFmt w:val="lowerRoman"/>
      <w:start w:val="1"/>
    </w:lvl>
  </w:abstractNum>
  <w:abstractNum w:abstractNumId="124">
    <w:nsid w:val="3F7F5DD9"/>
    <w:multiLevelType w:val="hybridMultilevel"/>
    <w:lvl w:ilvl="0">
      <w:lvlJc w:val="left"/>
      <w:lvlText w:val="(%1)"/>
      <w:numFmt w:val="lowerLetter"/>
      <w:start w:val="1"/>
    </w:lvl>
  </w:abstractNum>
  <w:abstractNum w:abstractNumId="125">
    <w:nsid w:val="2AE05A34"/>
    <w:multiLevelType w:val="hybridMultilevel"/>
    <w:lvl w:ilvl="0">
      <w:lvlJc w:val="left"/>
      <w:lvlText w:val="(%1)"/>
      <w:numFmt w:val="lowerLetter"/>
      <w:start w:val="1"/>
    </w:lvl>
  </w:abstractNum>
  <w:abstractNum w:abstractNumId="126">
    <w:nsid w:val="32794FF7"/>
    <w:multiLevelType w:val="hybridMultilevel"/>
    <w:lvl w:ilvl="0">
      <w:lvlJc w:val="left"/>
      <w:lvlText w:val="(%1)"/>
      <w:numFmt w:val="lowerLetter"/>
      <w:start w:val="1"/>
    </w:lvl>
    <w:lvl w:ilvl="1">
      <w:lvlJc w:val="left"/>
      <w:lvlText w:val="(%2)"/>
      <w:numFmt w:val="lowerRoman"/>
      <w:start w:val="1"/>
    </w:lvl>
  </w:abstractNum>
  <w:abstractNum w:abstractNumId="127">
    <w:nsid w:val="5454945E"/>
    <w:multiLevelType w:val="hybridMultilevel"/>
    <w:lvl w:ilvl="0">
      <w:lvlJc w:val="left"/>
      <w:lvlText w:val="(%1)"/>
      <w:numFmt w:val="lowerRoman"/>
      <w:start w:val="5"/>
    </w:lvl>
  </w:abstractNum>
  <w:abstractNum w:abstractNumId="128">
    <w:nsid w:val="4DEFDFA0"/>
    <w:multiLevelType w:val="hybridMultilevel"/>
    <w:lvl w:ilvl="0">
      <w:lvlJc w:val="left"/>
      <w:lvlText w:val="(%1)"/>
      <w:numFmt w:val="lowerLetter"/>
      <w:start w:val="1"/>
    </w:lvl>
  </w:abstractNum>
  <w:abstractNum w:abstractNumId="129">
    <w:nsid w:val="2123D5F2"/>
    <w:multiLevelType w:val="hybridMultilevel"/>
    <w:lvl w:ilvl="0">
      <w:lvlJc w:val="left"/>
      <w:lvlText w:val="(%1)"/>
      <w:numFmt w:val="lowerLetter"/>
      <w:start w:val="4"/>
    </w:lvl>
    <w:lvl w:ilvl="1">
      <w:lvlJc w:val="left"/>
      <w:lvlText w:val="(%2)"/>
      <w:numFmt w:val="lowerRoman"/>
      <w:start w:val="1"/>
    </w:lvl>
  </w:abstractNum>
  <w:abstractNum w:abstractNumId="130">
    <w:nsid w:val="135B8110"/>
    <w:multiLevelType w:val="hybridMultilevel"/>
    <w:lvl w:ilvl="0">
      <w:lvlJc w:val="left"/>
      <w:lvlText w:val="(%1)"/>
      <w:numFmt w:val="lowerRoman"/>
      <w:start w:val="1"/>
    </w:lvl>
  </w:abstractNum>
  <w:abstractNum w:abstractNumId="131">
    <w:nsid w:val="94927A8"/>
    <w:multiLevelType w:val="hybridMultilevel"/>
    <w:lvl w:ilvl="0">
      <w:lvlJc w:val="left"/>
      <w:lvlText w:val="(%1)"/>
      <w:numFmt w:val="lowerLetter"/>
      <w:start w:val="2"/>
    </w:lvl>
  </w:abstractNum>
  <w:abstractNum w:abstractNumId="132">
    <w:nsid w:val="DCDF8F6"/>
    <w:multiLevelType w:val="hybridMultilevel"/>
    <w:lvl w:ilvl="0">
      <w:lvlJc w:val="left"/>
      <w:lvlText w:val="(%1)"/>
      <w:numFmt w:val="lowerLetter"/>
      <w:start w:val="7"/>
    </w:lvl>
    <w:lvl w:ilvl="1">
      <w:lvlJc w:val="left"/>
      <w:lvlText w:val="(%2)"/>
      <w:numFmt w:val="lowerRoman"/>
      <w:start w:val="1"/>
    </w:lvl>
  </w:abstractNum>
  <w:abstractNum w:abstractNumId="133">
    <w:nsid w:val="52D7B105"/>
    <w:multiLevelType w:val="hybridMultilevel"/>
    <w:lvl w:ilvl="0">
      <w:lvlJc w:val="left"/>
      <w:lvlText w:val="(%1)"/>
      <w:numFmt w:val="lowerLetter"/>
      <w:start w:val="1"/>
    </w:lvl>
  </w:abstractNum>
  <w:abstractNum w:abstractNumId="134">
    <w:nsid w:val="2E8A6394"/>
    <w:multiLevelType w:val="hybridMultilevel"/>
    <w:lvl w:ilvl="0">
      <w:lvlJc w:val="left"/>
      <w:lvlText w:val="(%1)"/>
      <w:numFmt w:val="lowerLetter"/>
      <w:start w:val="1"/>
    </w:lvl>
  </w:abstractNum>
  <w:abstractNum w:abstractNumId="135">
    <w:nsid w:val="24E60401"/>
    <w:multiLevelType w:val="hybridMultilevel"/>
    <w:lvl w:ilvl="0">
      <w:lvlJc w:val="left"/>
      <w:lvlText w:val="(%1)"/>
      <w:numFmt w:val="decimal"/>
      <w:start w:val="1"/>
    </w:lvl>
    <w:lvl w:ilvl="1">
      <w:lvlJc w:val="left"/>
      <w:lvlText w:val="(%2)"/>
      <w:numFmt w:val="upperLetter"/>
      <w:start w:val="1"/>
    </w:lvl>
  </w:abstractNum>
  <w:abstractNum w:abstractNumId="136">
    <w:nsid w:val="2A6AD9BE"/>
    <w:multiLevelType w:val="hybridMultilevel"/>
    <w:lvl w:ilvl="0">
      <w:lvlJc w:val="left"/>
      <w:lvlText w:val="1"/>
      <w:numFmt w:val="bullet"/>
      <w:start w:val="1"/>
    </w:lvl>
  </w:abstractNum>
  <w:abstractNum w:abstractNumId="137">
    <w:nsid w:val="BAAC1B4"/>
    <w:multiLevelType w:val="hybridMultilevel"/>
    <w:lvl w:ilvl="0">
      <w:lvlJc w:val="left"/>
      <w:lvlText w:val="2"/>
      <w:numFmt w:val="bullet"/>
      <w:start w:val="1"/>
    </w:lvl>
  </w:abstractNum>
  <w:abstractNum w:abstractNumId="138">
    <w:nsid w:val="36B2ACBC"/>
    <w:multiLevelType w:val="hybridMultilevel"/>
    <w:lvl w:ilvl="0">
      <w:lvlJc w:val="left"/>
      <w:lvlText w:val="3"/>
      <w:numFmt w:val="bullet"/>
      <w:start w:val="1"/>
    </w:lvl>
  </w:abstractNum>
  <w:abstractNum w:abstractNumId="139">
    <w:nsid w:val="779D8544"/>
    <w:multiLevelType w:val="hybridMultilevel"/>
    <w:lvl w:ilvl="0">
      <w:lvlJc w:val="left"/>
      <w:lvlText w:val="4"/>
      <w:numFmt w:val="bullet"/>
      <w:start w:val="1"/>
    </w:lvl>
  </w:abstractNum>
  <w:abstractNum w:abstractNumId="140">
    <w:nsid w:val="4AB26E78"/>
    <w:multiLevelType w:val="hybridMultilevel"/>
    <w:lvl w:ilvl="0">
      <w:lvlJc w:val="left"/>
      <w:lvlText w:val="5"/>
      <w:numFmt w:val="bullet"/>
      <w:start w:val="1"/>
    </w:lvl>
  </w:abstractNum>
  <w:abstractNum w:abstractNumId="141">
    <w:nsid w:val="21FAA2FA"/>
    <w:multiLevelType w:val="hybridMultilevel"/>
    <w:lvl w:ilvl="0">
      <w:lvlJc w:val="left"/>
      <w:lvlText w:val="6"/>
      <w:numFmt w:val="bullet"/>
      <w:start w:val="1"/>
    </w:lvl>
  </w:abstractNum>
  <w:abstractNum w:abstractNumId="142">
    <w:nsid w:val="5451CF49"/>
    <w:multiLevelType w:val="hybridMultilevel"/>
    <w:lvl w:ilvl="0">
      <w:lvlJc w:val="left"/>
      <w:lvlText w:val="☐"/>
      <w:numFmt w:val="bullet"/>
      <w:start w:val="1"/>
    </w:lvl>
  </w:abstractNum>
  <w:abstractNum w:abstractNumId="143">
    <w:nsid w:val="6181EF69"/>
    <w:multiLevelType w:val="hybridMultilevel"/>
    <w:lvl w:ilvl="0">
      <w:lvlJc w:val="left"/>
      <w:lvlText w:val="%1."/>
      <w:numFmt w:val="decimal"/>
      <w:start w:val="1"/>
    </w:lvl>
  </w:abstractNum>
  <w:abstractNum w:abstractNumId="144">
    <w:nsid w:val="3E6400E6"/>
    <w:multiLevelType w:val="hybridMultilevel"/>
    <w:lvl w:ilvl="0">
      <w:lvlJc w:val="left"/>
      <w:lvlText w:val="(%1)"/>
      <w:numFmt w:val="lowerLetter"/>
      <w:start w:val="2"/>
    </w:lvl>
  </w:abstractNum>
  <w:abstractNum w:abstractNumId="145">
    <w:nsid w:val="14217E23"/>
    <w:multiLevelType w:val="hybridMultilevel"/>
    <w:lvl w:ilvl="0">
      <w:lvlJc w:val="left"/>
      <w:lvlText w:val="%1."/>
      <w:numFmt w:val="decimal"/>
      <w:start w:val="2"/>
    </w:lvl>
  </w:abstractNum>
  <w:abstractNum w:abstractNumId="146">
    <w:nsid w:val="710757D0"/>
    <w:multiLevelType w:val="hybridMultilevel"/>
    <w:lvl w:ilvl="0">
      <w:lvlJc w:val="left"/>
      <w:lvlText w:val="%1."/>
      <w:numFmt w:val="decimal"/>
      <w:start w:val="3"/>
    </w:lvl>
  </w:abstractNum>
  <w:abstractNum w:abstractNumId="147">
    <w:nsid w:val="5015CD1A"/>
    <w:multiLevelType w:val="hybridMultilevel"/>
    <w:lvl w:ilvl="0">
      <w:lvlJc w:val="left"/>
      <w:lvlText w:val="%1."/>
      <w:numFmt w:val="decimal"/>
      <w:start w:val="4"/>
    </w:lvl>
  </w:abstractNum>
  <w:abstractNum w:abstractNumId="148">
    <w:nsid w:val="424479DA"/>
    <w:multiLevelType w:val="hybridMultilevel"/>
    <w:lvl w:ilvl="0">
      <w:lvlJc w:val="left"/>
      <w:lvlText w:val="%1."/>
      <w:numFmt w:val="decimal"/>
      <w:start w:val="5"/>
    </w:lvl>
  </w:abstractNum>
  <w:abstractNum w:abstractNumId="149">
    <w:nsid w:val="1A9A9E69"/>
    <w:multiLevelType w:val="hybridMultilevel"/>
    <w:lvl w:ilvl="0">
      <w:lvlJc w:val="left"/>
      <w:lvlText w:val="%1."/>
      <w:numFmt w:val="decimal"/>
      <w:start w:val="7"/>
    </w:lvl>
  </w:abstractNum>
  <w:abstractNum w:abstractNumId="150">
    <w:nsid w:val="475E256A"/>
    <w:multiLevelType w:val="hybridMultilevel"/>
    <w:lvl w:ilvl="0">
      <w:lvlJc w:val="left"/>
      <w:lvlText w:val="(%1)"/>
      <w:numFmt w:val="lowerLetter"/>
      <w:start w:val="1"/>
    </w:lvl>
    <w:lvl w:ilvl="1">
      <w:lvlJc w:val="left"/>
      <w:lvlText w:val="(%2)"/>
      <w:numFmt w:val="lowerRoman"/>
      <w:start w:val="1"/>
    </w:lvl>
  </w:abstractNum>
  <w:abstractNum w:abstractNumId="151">
    <w:nsid w:val="368DB37E"/>
    <w:multiLevelType w:val="hybridMultilevel"/>
    <w:lvl w:ilvl="0">
      <w:lvlJc w:val="left"/>
      <w:lvlText w:val="%1"/>
      <w:numFmt w:val="upperLetter"/>
      <w:start w:val="1"/>
    </w:lvl>
    <w:lvl w:ilvl="1">
      <w:lvlJc w:val="left"/>
      <w:lvlText w:val="(%2)"/>
      <w:numFmt w:val="lowerRoman"/>
      <w:start w:val="5"/>
    </w:lvl>
  </w:abstractNum>
  <w:abstractNum w:abstractNumId="152">
    <w:nsid w:val="6A3B714C"/>
    <w:multiLevelType w:val="hybridMultilevel"/>
    <w:lvl w:ilvl="0">
      <w:lvlJc w:val="left"/>
      <w:lvlText w:val="(%1)"/>
      <w:numFmt w:val="upperLetter"/>
      <w:start w:val="4"/>
    </w:lvl>
    <w:lvl w:ilvl="1">
      <w:lvlJc w:val="left"/>
      <w:lvlText w:val="(%2)"/>
      <w:numFmt w:val="lowerRoman"/>
      <w:start w:val="10"/>
    </w:lvl>
  </w:abstractNum>
  <w:abstractNum w:abstractNumId="153">
    <w:nsid w:val="327B517E"/>
    <w:multiLevelType w:val="hybridMultilevel"/>
    <w:lvl w:ilvl="0">
      <w:lvlJc w:val="left"/>
      <w:lvlText w:val="(%1)"/>
      <w:numFmt w:val="upperLetter"/>
      <w:start w:val="4"/>
    </w:lvl>
    <w:lvl w:ilvl="1">
      <w:lvlJc w:val="left"/>
      <w:lvlText w:val="(%2)"/>
      <w:numFmt w:val="lowerRoman"/>
      <w:start w:val="12"/>
    </w:lvl>
  </w:abstractNum>
  <w:abstractNum w:abstractNumId="154">
    <w:nsid w:val="1F461B51"/>
    <w:multiLevelType w:val="hybridMultilevel"/>
    <w:lvl w:ilvl="0">
      <w:lvlJc w:val="left"/>
      <w:lvlText w:val="(%1)"/>
      <w:numFmt w:val="lowerLetter"/>
      <w:start w:val="2"/>
    </w:lvl>
  </w:abstractNum>
  <w:abstractNum w:abstractNumId="155">
    <w:nsid w:val="29BACF25"/>
    <w:multiLevelType w:val="hybridMultilevel"/>
    <w:lvl w:ilvl="0">
      <w:lvlJc w:val="left"/>
      <w:lvlText w:val="%1"/>
      <w:numFmt w:val="upperLetter"/>
      <w:start w:val="1"/>
    </w:lvl>
    <w:lvl w:ilvl="1">
      <w:lvlJc w:val="left"/>
      <w:lvlText w:val="(%2)"/>
      <w:numFmt w:val="lowerLetter"/>
      <w:start w:val="3"/>
    </w:lvl>
  </w:abstractNum>
  <w:abstractNum w:abstractNumId="156">
    <w:nsid w:val="5D5BABB3"/>
    <w:multiLevelType w:val="hybridMultilevel"/>
    <w:lvl w:ilvl="0">
      <w:lvlJc w:val="left"/>
      <w:lvlText w:val="(%1)"/>
      <w:numFmt w:val="upperLetter"/>
      <w:start w:val="1"/>
    </w:lvl>
    <w:lvl w:ilvl="1">
      <w:lvlJc w:val="left"/>
      <w:lvlText w:val="(%2)"/>
      <w:numFmt w:val="lowerLetter"/>
      <w:start w:val="5"/>
    </w:lvl>
  </w:abstractNum>
  <w:abstractNum w:abstractNumId="157">
    <w:nsid w:val="51BF6B48"/>
    <w:multiLevelType w:val="hybridMultilevel"/>
    <w:lvl w:ilvl="0">
      <w:lvlJc w:val="left"/>
      <w:lvlText w:val="%1."/>
      <w:numFmt w:val="decimal"/>
      <w:start w:val="8"/>
    </w:lvl>
  </w:abstractNum>
  <w:abstractNum w:abstractNumId="158">
    <w:nsid w:val="7E0F6384"/>
    <w:multiLevelType w:val="hybridMultilevel"/>
    <w:lvl w:ilvl="0">
      <w:lvlJc w:val="left"/>
      <w:lvlText w:val="(%1)"/>
      <w:numFmt w:val="lowerLetter"/>
      <w:start w:val="1"/>
    </w:lvl>
  </w:abstractNum>
  <w:abstractNum w:abstractNumId="159">
    <w:nsid w:val="2B4B8B53"/>
    <w:multiLevelType w:val="hybridMultilevel"/>
    <w:lvl w:ilvl="0">
      <w:lvlJc w:val="left"/>
      <w:lvlText w:val="%1"/>
      <w:numFmt w:val="upperLetter"/>
      <w:start w:val="1"/>
    </w:lvl>
    <w:lvl w:ilvl="1">
      <w:lvlJc w:val="left"/>
      <w:lvlText w:val="(%2)"/>
      <w:numFmt w:val="lowerLetter"/>
      <w:start w:val="4"/>
    </w:lvl>
  </w:abstractNum>
  <w:abstractNum w:abstractNumId="160">
    <w:nsid w:val="72E3413A"/>
    <w:multiLevelType w:val="hybridMultilevel"/>
    <w:lvl w:ilvl="0">
      <w:lvlJc w:val="left"/>
      <w:lvlText w:val="(%1)"/>
      <w:numFmt w:val="upperLetter"/>
      <w:start w:val="2"/>
    </w:lvl>
    <w:lvl w:ilvl="1">
      <w:lvlJc w:val="left"/>
      <w:lvlText w:val="(%2)"/>
      <w:numFmt w:val="lowerLetter"/>
      <w:start w:val="5"/>
    </w:lvl>
  </w:abstractNum>
  <w:abstractNum w:abstractNumId="161">
    <w:nsid w:val="116AE494"/>
    <w:multiLevelType w:val="hybridMultilevel"/>
    <w:lvl w:ilvl="0">
      <w:lvlJc w:val="left"/>
      <w:lvlText w:val="(%1)"/>
      <w:numFmt w:val="lowerLetter"/>
      <w:start w:val="6"/>
    </w:lvl>
  </w:abstractNum>
  <w:abstractNum w:abstractNumId="162">
    <w:nsid w:val="3494B2FB"/>
    <w:multiLevelType w:val="hybridMultilevel"/>
    <w:lvl w:ilvl="0">
      <w:lvlJc w:val="left"/>
      <w:lvlText w:val="(%1)"/>
      <w:numFmt w:val="lowerRoman"/>
      <w:start w:val="1"/>
    </w:lvl>
  </w:abstractNum>
  <w:abstractNum w:abstractNumId="163">
    <w:nsid w:val="B13A31"/>
    <w:multiLevelType w:val="hybridMultilevel"/>
    <w:lvl w:ilvl="0">
      <w:lvlJc w:val="left"/>
      <w:lvlText w:val="(%1)"/>
      <w:numFmt w:val="lowerRoman"/>
      <w:start w:val="2"/>
    </w:lvl>
    <w:lvl w:ilvl="1">
      <w:lvlJc w:val="left"/>
      <w:lvlText w:val="(%2)"/>
      <w:numFmt w:val="upperLetter"/>
      <w:start w:val="1"/>
    </w:lvl>
  </w:abstractNum>
  <w:abstractNum w:abstractNumId="164">
    <w:nsid w:val="64429599"/>
    <w:multiLevelType w:val="hybridMultilevel"/>
    <w:lvl w:ilvl="0">
      <w:lvlJc w:val="left"/>
      <w:lvlText w:val="(%1)"/>
      <w:numFmt w:val="lowerLetter"/>
      <w:start w:val="7"/>
    </w:lvl>
    <w:lvl w:ilvl="1">
      <w:lvlJc w:val="left"/>
      <w:lvlText w:val="(%2)"/>
      <w:numFmt w:val="lowerRoman"/>
      <w:start w:val="1"/>
    </w:lvl>
  </w:abstractNum>
  <w:abstractNum w:abstractNumId="165">
    <w:nsid w:val="631F1690"/>
    <w:multiLevelType w:val="hybridMultilevel"/>
    <w:lvl w:ilvl="0">
      <w:lvlJc w:val="left"/>
      <w:lvlText w:val="(%1)"/>
      <w:numFmt w:val="lowerLetter"/>
      <w:start w:val="8"/>
    </w:lvl>
    <w:lvl w:ilvl="1">
      <w:lvlJc w:val="left"/>
      <w:lvlText w:val="(%2)"/>
      <w:numFmt w:val="lowerRoman"/>
      <w:start w:val="1"/>
    </w:lvl>
  </w:abstractNum>
  <w:abstractNum w:abstractNumId="166">
    <w:nsid w:val="25973E32"/>
    <w:multiLevelType w:val="hybridMultilevel"/>
    <w:lvl w:ilvl="0">
      <w:lvlJc w:val="left"/>
      <w:lvlText w:val="%1"/>
      <w:numFmt w:val="lowerLetter"/>
      <w:start w:val="1"/>
    </w:lvl>
    <w:lvl w:ilvl="1">
      <w:lvlJc w:val="left"/>
      <w:lvlText w:val="(%2)"/>
      <w:numFmt w:val="lowerRoman"/>
      <w:start w:val="4"/>
    </w:lvl>
  </w:abstractNum>
  <w:abstractNum w:abstractNumId="167">
    <w:nsid w:val="EAD6F57"/>
    <w:multiLevelType w:val="hybridMultilevel"/>
    <w:lvl w:ilvl="0">
      <w:lvlJc w:val="left"/>
      <w:lvlText w:val="(%1)"/>
      <w:numFmt w:val="lowerLetter"/>
      <w:start w:val="14"/>
    </w:lvl>
    <w:lvl w:ilvl="1">
      <w:lvlJc w:val="left"/>
      <w:lvlText w:val="(%2)"/>
      <w:numFmt w:val="lowerRoman"/>
      <w:start w:val="1"/>
    </w:lvl>
  </w:abstractNum>
  <w:abstractNum w:abstractNumId="168">
    <w:nsid w:val="6EC9D844"/>
    <w:multiLevelType w:val="hybridMultilevel"/>
    <w:lvl w:ilvl="0">
      <w:lvlJc w:val="left"/>
      <w:lvlText w:val="(%1)"/>
      <w:numFmt w:val="lowerLetter"/>
      <w:start w:val="15"/>
    </w:lvl>
  </w:abstractNum>
  <w:abstractNum w:abstractNumId="169">
    <w:nsid w:val="5C49EAEE"/>
    <w:multiLevelType w:val="hybridMultilevel"/>
    <w:lvl w:ilvl="0">
      <w:lvlJc w:val="left"/>
      <w:lvlText w:val="(%1)"/>
      <w:numFmt w:val="lowerRoman"/>
      <w:start w:val="1"/>
    </w:lvl>
  </w:abstractNum>
  <w:abstractNum w:abstractNumId="170">
    <w:nsid w:val="64AF49B"/>
    <w:multiLevelType w:val="hybridMultilevel"/>
    <w:lvl w:ilvl="0">
      <w:lvlJc w:val="left"/>
      <w:lvlText w:val="%1"/>
      <w:numFmt w:val="lowerLetter"/>
      <w:start w:val="1"/>
    </w:lvl>
    <w:lvl w:ilvl="1">
      <w:lvlJc w:val="left"/>
      <w:lvlText w:val="(%2)"/>
      <w:numFmt w:val="lowerLetter"/>
      <w:start w:val="35"/>
    </w:lvl>
  </w:abstractNum>
  <w:abstractNum w:abstractNumId="171">
    <w:nsid w:val="397C46BC"/>
    <w:multiLevelType w:val="hybridMultilevel"/>
    <w:lvl w:ilvl="0">
      <w:lvlJc w:val="left"/>
      <w:lvlText w:val="(%1)"/>
      <w:numFmt w:val="lowerLetter"/>
      <w:start w:val="21"/>
    </w:lvl>
    <w:lvl w:ilvl="1">
      <w:lvlJc w:val="left"/>
      <w:lvlText w:val="%2"/>
      <w:numFmt w:val="lowerLetter"/>
      <w:start w:val="1"/>
    </w:lvl>
  </w:abstractNum>
  <w:abstractNum w:abstractNumId="172">
    <w:nsid w:val="7E448DE9"/>
    <w:multiLevelType w:val="hybridMultilevel"/>
    <w:lvl w:ilvl="0">
      <w:lvlJc w:val="left"/>
      <w:lvlText w:val="(%1)"/>
      <w:numFmt w:val="lowerLetter"/>
      <w:start w:val="25"/>
    </w:lvl>
  </w:abstractNum>
  <w:abstractNum w:abstractNumId="173">
    <w:nsid w:val="5A9CC3E5"/>
    <w:multiLevelType w:val="hybridMultilevel"/>
    <w:lvl w:ilvl="0">
      <w:lvlJc w:val="left"/>
      <w:lvlText w:val="1"/>
      <w:numFmt w:val="bullet"/>
      <w:start w:val="1"/>
    </w:lvl>
  </w:abstractNum>
  <w:abstractNum w:abstractNumId="174">
    <w:nsid w:val="1AFE3625"/>
    <w:multiLevelType w:val="hybridMultilevel"/>
    <w:lvl w:ilvl="0">
      <w:lvlJc w:val="left"/>
      <w:lvlText w:val="2"/>
      <w:numFmt w:val="bullet"/>
      <w:start w:val="1"/>
    </w:lvl>
  </w:abstractNum>
  <w:abstractNum w:abstractNumId="175">
    <w:nsid w:val="3CA88ECF"/>
    <w:multiLevelType w:val="hybridMultilevel"/>
    <w:lvl w:ilvl="0">
      <w:lvlJc w:val="left"/>
      <w:lvlText w:val="3"/>
      <w:numFmt w:val="bullet"/>
      <w:start w:val="1"/>
    </w:lvl>
    <w:lvl w:ilvl="1">
      <w:lvlJc w:val="left"/>
      <w:lvlText w:val="(%2)"/>
      <w:numFmt w:val="lowerLetter"/>
      <w:start w:val="1"/>
    </w:lvl>
  </w:abstractNum>
  <w:abstractNum w:abstractNumId="176">
    <w:nsid w:val="6EBE4208"/>
    <w:multiLevelType w:val="hybridMultilevel"/>
    <w:lvl w:ilvl="0">
      <w:lvlJc w:val="left"/>
      <w:lvlText w:val="(%1)"/>
      <w:numFmt w:val="lowerLetter"/>
      <w:start w:val="2"/>
    </w:lvl>
    <w:lvl w:ilvl="1">
      <w:lvlJc w:val="left"/>
      <w:lvlText w:val="(%2)"/>
      <w:numFmt w:val="lowerRoman"/>
      <w:start w:val="1"/>
    </w:lvl>
  </w:abstractNum>
  <w:abstractNum w:abstractNumId="177">
    <w:nsid w:val="C058DF5"/>
    <w:multiLevelType w:val="hybridMultilevel"/>
    <w:lvl w:ilvl="0">
      <w:lvlJc w:val="left"/>
      <w:lvlText w:val="(%1)"/>
      <w:numFmt w:val="lowerLetter"/>
      <w:start w:val="3"/>
    </w:lvl>
    <w:lvl w:ilvl="1">
      <w:lvlJc w:val="left"/>
      <w:lvlText w:val="(%2)"/>
      <w:numFmt w:val="lowerRoman"/>
      <w:start w:val="1"/>
    </w:lvl>
  </w:abstractNum>
  <w:abstractNum w:abstractNumId="178">
    <w:nsid w:val="CBE5BE9"/>
    <w:multiLevelType w:val="hybridMultilevel"/>
    <w:lvl w:ilvl="0">
      <w:lvlJc w:val="left"/>
      <w:lvlText w:val="(%1)"/>
      <w:numFmt w:val="lowerLetter"/>
      <w:start w:val="4"/>
    </w:lvl>
  </w:abstractNum>
  <w:abstractNum w:abstractNumId="179">
    <w:nsid w:val="3102BBE2"/>
    <w:multiLevelType w:val="hybridMultilevel"/>
    <w:lvl w:ilvl="0">
      <w:lvlJc w:val="left"/>
      <w:lvlText w:val="4"/>
      <w:numFmt w:val="bullet"/>
      <w:start w:val="1"/>
    </w:lvl>
    <w:lvl w:ilvl="1">
      <w:lvlJc w:val="left"/>
      <w:lvlText w:val="(%2)"/>
      <w:numFmt w:val="lowerLetter"/>
      <w:start w:val="1"/>
    </w:lvl>
  </w:abstractNum>
  <w:abstractNum w:abstractNumId="180">
    <w:nsid w:val="26A02C5E"/>
    <w:multiLevelType w:val="hybridMultilevel"/>
    <w:lvl w:ilvl="0">
      <w:lvlJc w:val="left"/>
      <w:lvlText w:val="5"/>
      <w:numFmt w:val="bullet"/>
      <w:start w:val="1"/>
    </w:lvl>
  </w:abstractNum>
  <w:abstractNum w:abstractNumId="181">
    <w:nsid w:val="541C8153"/>
    <w:multiLevelType w:val="hybridMultilevel"/>
    <w:lvl w:ilvl="0">
      <w:lvlJc w:val="left"/>
      <w:lvlText w:val="(%1)"/>
      <w:numFmt w:val="lowerLetter"/>
      <w:start w:val="1"/>
    </w:lvl>
  </w:abstractNum>
  <w:abstractNum w:abstractNumId="182">
    <w:nsid w:val="67906F60"/>
    <w:multiLevelType w:val="hybridMultilevel"/>
    <w:lvl w:ilvl="0">
      <w:lvlJc w:val="left"/>
      <w:lvlText w:val="6"/>
      <w:numFmt w:val="bullet"/>
      <w:start w:val="1"/>
    </w:lvl>
  </w:abstractNum>
  <w:abstractNum w:abstractNumId="183">
    <w:nsid w:val="10DB9DAA"/>
    <w:multiLevelType w:val="hybridMultilevel"/>
    <w:lvl w:ilvl="0">
      <w:lvlJc w:val="left"/>
      <w:lvlText w:val="1"/>
      <w:numFmt w:val="bullet"/>
      <w:start w:val="1"/>
    </w:lvl>
  </w:abstractNum>
  <w:abstractNum w:abstractNumId="184">
    <w:nsid w:val="697D2D2"/>
    <w:multiLevelType w:val="hybridMultilevel"/>
    <w:lvl w:ilvl="0">
      <w:lvlJc w:val="left"/>
      <w:lvlText w:val="2"/>
      <w:numFmt w:val="bullet"/>
      <w:start w:val="1"/>
    </w:lvl>
  </w:abstractNum>
  <w:abstractNum w:abstractNumId="185">
    <w:nsid w:val="6D68AB2"/>
    <w:multiLevelType w:val="hybridMultilevel"/>
    <w:lvl w:ilvl="0">
      <w:lvlJc w:val="left"/>
      <w:lvlText w:val="1"/>
      <w:numFmt w:val="bullet"/>
      <w:start w:val="1"/>
    </w:lvl>
  </w:abstractNum>
  <w:abstractNum w:abstractNumId="186">
    <w:nsid w:val="3A966CD0"/>
    <w:multiLevelType w:val="hybridMultilevel"/>
    <w:lvl w:ilvl="0">
      <w:lvlJc w:val="left"/>
      <w:lvlText w:val="2"/>
      <w:numFmt w:val="bullet"/>
      <w:start w:val="1"/>
    </w:lvl>
  </w:abstractNum>
  <w:abstractNum w:abstractNumId="187">
    <w:nsid w:val="63F37E85"/>
    <w:multiLevelType w:val="hybridMultilevel"/>
    <w:lvl w:ilvl="0">
      <w:lvlJc w:val="left"/>
      <w:lvlText w:val="3"/>
      <w:numFmt w:val="bullet"/>
      <w:start w:val="1"/>
    </w:lvl>
  </w:abstractNum>
  <w:abstractNum w:abstractNumId="188">
    <w:nsid w:val="5895F5FA"/>
    <w:multiLevelType w:val="hybridMultilevel"/>
    <w:lvl w:ilvl="0">
      <w:lvlJc w:val="left"/>
      <w:lvlText w:val="5"/>
      <w:numFmt w:val="bullet"/>
      <w:start w:val="1"/>
    </w:lvl>
  </w:abstractNum>
  <w:abstractNum w:abstractNumId="189">
    <w:nsid w:val="38A5D054"/>
    <w:multiLevelType w:val="hybridMultilevel"/>
    <w:lvl w:ilvl="0">
      <w:lvlJc w:val="left"/>
      <w:lvlText w:val="6"/>
      <w:numFmt w:val="bullet"/>
      <w:start w:val="1"/>
    </w:lvl>
  </w:abstractNum>
  <w:abstractNum w:abstractNumId="190">
    <w:nsid w:val="F3F09D8"/>
    <w:multiLevelType w:val="hybridMultilevel"/>
    <w:lvl w:ilvl="0">
      <w:lvlJc w:val="left"/>
      <w:lvlText w:val="7"/>
      <w:numFmt w:val="bullet"/>
      <w:start w:val="1"/>
    </w:lvl>
  </w:abstractNum>
  <w:abstractNum w:abstractNumId="191">
    <w:nsid w:val="4B793735"/>
    <w:multiLevelType w:val="hybridMultilevel"/>
    <w:lvl w:ilvl="0">
      <w:lvlJc w:val="left"/>
      <w:lvlText w:val="8"/>
      <w:numFmt w:val="bullet"/>
      <w:start w:val="1"/>
    </w:lvl>
  </w:abstractNum>
  <w:abstractNum w:abstractNumId="192">
    <w:nsid w:val="4A10B4E8"/>
    <w:multiLevelType w:val="hybridMultilevel"/>
    <w:lvl w:ilvl="0">
      <w:lvlJc w:val="left"/>
      <w:lvlText w:val="9"/>
      <w:numFmt w:val="bullet"/>
      <w:start w:val="1"/>
    </w:lvl>
  </w:abstractNum>
  <w:abstractNum w:abstractNumId="193">
    <w:nsid w:val="43D3BCD4"/>
    <w:multiLevelType w:val="hybridMultilevel"/>
    <w:lvl w:ilvl="0">
      <w:lvlJc w:val="left"/>
      <w:lvlText w:val="1"/>
      <w:numFmt w:val="bullet"/>
      <w:start w:val="1"/>
    </w:lvl>
  </w:abstractNum>
  <w:abstractNum w:abstractNumId="194">
    <w:nsid w:val="4C2A7166"/>
    <w:multiLevelType w:val="hybridMultilevel"/>
    <w:lvl w:ilvl="0">
      <w:lvlJc w:val="left"/>
      <w:lvlText w:val="2"/>
      <w:numFmt w:val="bullet"/>
      <w:start w:val="1"/>
    </w:lvl>
  </w:abstractNum>
  <w:abstractNum w:abstractNumId="195">
    <w:nsid w:val="2E534A82"/>
    <w:multiLevelType w:val="hybridMultilevel"/>
    <w:lvl w:ilvl="0">
      <w:lvlJc w:val="left"/>
      <w:lvlText w:val="3"/>
      <w:numFmt w:val="bullet"/>
      <w:start w:val="1"/>
    </w:lvl>
  </w:abstractNum>
  <w:abstractNum w:abstractNumId="196">
    <w:nsid w:val="26F2D364"/>
    <w:multiLevelType w:val="hybridMultilevel"/>
    <w:lvl w:ilvl="0">
      <w:lvlJc w:val="left"/>
      <w:lvlText w:val="4"/>
      <w:numFmt w:val="bullet"/>
      <w:start w:val="1"/>
    </w:lvl>
  </w:abstractNum>
  <w:abstractNum w:abstractNumId="197">
    <w:nsid w:val="71C1AF98"/>
    <w:multiLevelType w:val="hybridMultilevel"/>
    <w:lvl w:ilvl="0">
      <w:lvlJc w:val="left"/>
      <w:lvlText w:val="5"/>
      <w:numFmt w:val="bullet"/>
      <w:start w:val="1"/>
    </w:lvl>
  </w:abstractNum>
  <w:abstractNum w:abstractNumId="198">
    <w:nsid w:val="3D00B9D9"/>
    <w:multiLevelType w:val="hybridMultilevel"/>
    <w:lvl w:ilvl="0">
      <w:lvlJc w:val="left"/>
      <w:lvlText w:val="6"/>
      <w:numFmt w:val="bullet"/>
      <w:start w:val="1"/>
    </w:lvl>
  </w:abstractNum>
  <w:abstractNum w:abstractNumId="199">
    <w:nsid w:val="15BCABA8"/>
    <w:multiLevelType w:val="hybridMultilevel"/>
    <w:lvl w:ilvl="0">
      <w:lvlJc w:val="left"/>
      <w:lvlText w:val="7"/>
      <w:numFmt w:val="bullet"/>
      <w:start w:val="1"/>
    </w:lvl>
  </w:abstractNum>
  <w:abstractNum w:abstractNumId="200">
    <w:nsid w:val="4E0B9A87"/>
    <w:multiLevelType w:val="hybridMultilevel"/>
    <w:lvl w:ilvl="0">
      <w:lvlJc w:val="left"/>
      <w:lvlText w:val="8"/>
      <w:numFmt w:val="bullet"/>
      <w:start w:val="1"/>
    </w:lvl>
  </w:abstractNum>
  <w:abstractNum w:abstractNumId="201">
    <w:nsid w:val="434BAE75"/>
    <w:multiLevelType w:val="hybridMultilevel"/>
    <w:lvl w:ilvl="0">
      <w:lvlJc w:val="left"/>
      <w:lvlText w:val="9"/>
      <w:numFmt w:val="bullet"/>
      <w:start w:val="1"/>
    </w:lvl>
  </w:abstractNum>
  <w:abstractNum w:abstractNumId="202">
    <w:nsid w:val="4F38F265"/>
    <w:multiLevelType w:val="hybridMultilevel"/>
    <w:lvl w:ilvl="0">
      <w:lvlJc w:val="left"/>
      <w:lvlText w:val="%1"/>
      <w:numFmt w:val="decimal"/>
      <w:start w:val="10"/>
    </w:lvl>
  </w:abstractNum>
  <w:abstractNum w:abstractNumId="203">
    <w:nsid w:val="4C502870"/>
    <w:multiLevelType w:val="hybridMultilevel"/>
    <w:lvl w:ilvl="0">
      <w:lvlJc w:val="left"/>
      <w:lvlText w:val="%1"/>
      <w:numFmt w:val="decimal"/>
      <w:start w:val="11"/>
    </w:lvl>
    <w:lvl w:ilvl="1">
      <w:lvlJc w:val="left"/>
      <w:lvlText w:val="(%2)"/>
      <w:numFmt w:val="lowerRoman"/>
      <w:start w:val="1"/>
    </w:lvl>
  </w:abstractNum>
  <w:abstractNum w:abstractNumId="204">
    <w:nsid w:val="1DE8725A"/>
    <w:multiLevelType w:val="hybridMultilevel"/>
    <w:lvl w:ilvl="0">
      <w:lvlJc w:val="left"/>
      <w:lvlText w:val="1"/>
      <w:numFmt w:val="bullet"/>
      <w:start w:val="1"/>
    </w:lvl>
  </w:abstractNum>
  <w:abstractNum w:abstractNumId="205">
    <w:nsid w:val="6A37288A"/>
    <w:multiLevelType w:val="hybridMultilevel"/>
    <w:lvl w:ilvl="0">
      <w:lvlJc w:val="left"/>
      <w:lvlText w:val="2"/>
      <w:numFmt w:val="bullet"/>
      <w:start w:val="1"/>
    </w:lvl>
  </w:abstractNum>
  <w:abstractNum w:abstractNumId="206">
    <w:nsid w:val="8F8B73F"/>
    <w:multiLevelType w:val="hybridMultilevel"/>
    <w:lvl w:ilvl="0">
      <w:lvlJc w:val="left"/>
      <w:lvlText w:val="3"/>
      <w:numFmt w:val="bullet"/>
      <w:start w:val="1"/>
    </w:lvl>
  </w:abstractNum>
  <w:abstractNum w:abstractNumId="207">
    <w:nsid w:val="CA6B462"/>
    <w:multiLevelType w:val="hybridMultilevel"/>
    <w:lvl w:ilvl="0">
      <w:lvlJc w:val="left"/>
      <w:lvlText w:val="4"/>
      <w:numFmt w:val="bullet"/>
      <w:start w:val="1"/>
    </w:lvl>
  </w:abstractNum>
  <w:abstractNum w:abstractNumId="208">
    <w:nsid w:val="763CB680"/>
    <w:multiLevelType w:val="hybridMultilevel"/>
    <w:lvl w:ilvl="0">
      <w:lvlJc w:val="left"/>
      <w:lvlText w:val="5"/>
      <w:numFmt w:val="bullet"/>
      <w:start w:val="1"/>
    </w:lvl>
  </w:abstractNum>
  <w:abstractNum w:abstractNumId="209">
    <w:nsid w:val="15B71329"/>
    <w:multiLevelType w:val="hybridMultilevel"/>
    <w:lvl w:ilvl="0">
      <w:lvlJc w:val="left"/>
      <w:lvlText w:val="6"/>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jpeg"/><Relationship Id="rId144" Type="http://schemas.openxmlformats.org/officeDocument/2006/relationships/image" Target="media/image129.png"/><Relationship Id="rId145" Type="http://schemas.openxmlformats.org/officeDocument/2006/relationships/image" Target="media/image130.jpeg"/><Relationship Id="rId146" Type="http://schemas.openxmlformats.org/officeDocument/2006/relationships/image" Target="media/image131.png"/><Relationship Id="rId147" Type="http://schemas.openxmlformats.org/officeDocument/2006/relationships/image" Target="media/image132.jpeg"/><Relationship Id="rId148" Type="http://schemas.openxmlformats.org/officeDocument/2006/relationships/image" Target="media/image133.png"/><Relationship Id="rId149" Type="http://schemas.openxmlformats.org/officeDocument/2006/relationships/image" Target="media/image134.jpe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jpeg"/><Relationship Id="rId153" Type="http://schemas.openxmlformats.org/officeDocument/2006/relationships/image" Target="media/image138.png"/><Relationship Id="rId154" Type="http://schemas.openxmlformats.org/officeDocument/2006/relationships/image" Target="media/image139.jpe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jpe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18" Type="http://schemas.openxmlformats.org/officeDocument/2006/relationships/hyperlink" Target="http://www.sec.gov/Archives/edgar/data/1899123/000114036124021346/ny20023745x7_posam.htm" TargetMode="External"/><Relationship Id="rId19" Type="http://schemas.openxmlformats.org/officeDocument/2006/relationships/hyperlink" Target="http://www.sec.gov/Archives/edgar/data/1899123/000114036124013887/ny20023745x1_f3.htm" TargetMode="External"/><Relationship Id="rId20" Type="http://schemas.openxmlformats.org/officeDocument/2006/relationships/hyperlink" Target="http://www.sec.gov/Archives/edgar/data/1899123/000114036124013888/ny20023745x3_f3.htm" TargetMode="External"/><Relationship Id="rId21" Type="http://schemas.openxmlformats.org/officeDocument/2006/relationships/hyperlink" Target="http://www.sec.gov/Archives/edgar/data/1899123/000114036124029276/ny20030771x1_f3.htm" TargetMode="External"/><Relationship Id="rId22" Type="http://schemas.openxmlformats.org/officeDocument/2006/relationships/hyperlink" Target="http://www.sec.gov/Archives/edgar/data/1899123/000114036124049031/ny20039746x1_f3.htm" TargetMode="External"/><Relationship Id="rId23" Type="http://schemas.openxmlformats.org/officeDocument/2006/relationships/hyperlink" Target="http://www.sec.gov/Archives/edgar/data/1899123/000121390025080525/ea0254524-f3_bitdeer.htm" TargetMode="External"/><Relationship Id="rId24" Type="http://schemas.openxmlformats.org/officeDocument/2006/relationships/hyperlink" Target="http://www.sec.gov/Archives/edgar/data/1899123/000114036123031108/brhc20054618_s8.htm" TargetMode="External"/><Relationship Id="rId25" Type="http://schemas.openxmlformats.org/officeDocument/2006/relationships/hyperlink" Target="http://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2025-11-19T15:17:09Z</dcterms:created>
  <dcterms:modified xsi:type="dcterms:W3CDTF">2025-11-19T15:17:09Z</dcterms:modified>
</cp:coreProperties>
</file>