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313-6k_bitdeer.htm"/>
      <w:bookmarkStart w:id="1" w:name="ksea0301313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report on Form 6-K is hereby incorporated by reference in the registration statements of Bitdeer Technologies Group on Form F-3 (No. </w:t>
      </w:r>
      <w:hyperlink r:id="rId2">
        <w:r>
          <w:rPr>
            <w:rStyle w:val="InternetLink"/>
            <w:rFonts w:ascii="Times New Roman;Times;Serif" w:hAnsi="Times New Roman;Times;Serif"/>
            <w:b w:val="false"/>
            <w:i w:val="false"/>
            <w:caps w:val="false"/>
            <w:smallCaps w:val="false"/>
            <w:sz w:val="20"/>
          </w:rPr>
          <w:t>333-273905</w:t>
        </w:r>
      </w:hyperlink>
      <w:r>
        <w:rPr>
          <w:rFonts w:ascii="Times New Roman;Times;Serif" w:hAnsi="Times New Roman;Times;Serif"/>
          <w:b w:val="false"/>
          <w:i w:val="false"/>
          <w:caps w:val="false"/>
          <w:smallCaps w:val="false"/>
          <w:sz w:val="20"/>
        </w:rPr>
        <w:t>, No. </w:t>
      </w:r>
      <w:hyperlink r:id="rId3">
        <w:r>
          <w:rPr>
            <w:rStyle w:val="InternetLink"/>
            <w:rFonts w:ascii="Times New Roman;Times;Serif" w:hAnsi="Times New Roman;Times;Serif"/>
            <w:b w:val="false"/>
            <w:i w:val="false"/>
            <w:caps w:val="false"/>
            <w:smallCaps w:val="false"/>
            <w:sz w:val="20"/>
          </w:rPr>
          <w:t>333-278027</w:t>
        </w:r>
      </w:hyperlink>
      <w:r>
        <w:rPr>
          <w:rFonts w:ascii="Times New Roman;Times;Serif" w:hAnsi="Times New Roman;Times;Serif"/>
          <w:b w:val="false"/>
          <w:i w:val="false"/>
          <w:caps w:val="false"/>
          <w:smallCaps w:val="false"/>
          <w:sz w:val="20"/>
        </w:rPr>
        <w:t>, No. </w:t>
      </w:r>
      <w:hyperlink r:id="rId4">
        <w:r>
          <w:rPr>
            <w:rStyle w:val="InternetLink"/>
            <w:rFonts w:ascii="Times New Roman;Times;Serif" w:hAnsi="Times New Roman;Times;Serif"/>
            <w:b w:val="false"/>
            <w:i w:val="false"/>
            <w:caps w:val="false"/>
            <w:smallCaps w:val="false"/>
            <w:sz w:val="20"/>
          </w:rPr>
          <w:t>333-278029</w:t>
        </w:r>
      </w:hyperlink>
      <w:r>
        <w:rPr>
          <w:rFonts w:ascii="Times New Roman;Times;Serif" w:hAnsi="Times New Roman;Times;Serif"/>
          <w:b w:val="false"/>
          <w:i w:val="false"/>
          <w:caps w:val="false"/>
          <w:smallCaps w:val="false"/>
          <w:sz w:val="20"/>
        </w:rPr>
        <w:t>, No. </w:t>
      </w:r>
      <w:hyperlink r:id="rId5">
        <w:r>
          <w:rPr>
            <w:rStyle w:val="InternetLink"/>
            <w:rFonts w:ascii="Times New Roman;Times;Serif" w:hAnsi="Times New Roman;Times;Serif"/>
            <w:b w:val="false"/>
            <w:i w:val="false"/>
            <w:caps w:val="false"/>
            <w:smallCaps w:val="false"/>
            <w:sz w:val="20"/>
          </w:rPr>
          <w:t>333-280041</w:t>
        </w:r>
      </w:hyperlink>
      <w:r>
        <w:rPr>
          <w:rFonts w:ascii="Times New Roman;Times;Serif" w:hAnsi="Times New Roman;Times;Serif"/>
          <w:b w:val="false"/>
          <w:i w:val="false"/>
          <w:caps w:val="false"/>
          <w:smallCaps w:val="false"/>
          <w:sz w:val="20"/>
        </w:rPr>
        <w:t xml:space="preserve"> and No. </w:t>
      </w:r>
      <w:hyperlink r:id="rId6">
        <w:r>
          <w:rPr>
            <w:rStyle w:val="InternetLink"/>
            <w:rFonts w:ascii="Times New Roman;Times;Serif" w:hAnsi="Times New Roman;Times;Serif"/>
            <w:b w:val="false"/>
            <w:i w:val="false"/>
            <w:caps w:val="false"/>
            <w:smallCaps w:val="false"/>
            <w:sz w:val="20"/>
          </w:rPr>
          <w:t>333-283732</w:t>
        </w:r>
      </w:hyperlink>
      <w:r>
        <w:rPr>
          <w:rFonts w:ascii="Times New Roman;Times;Serif" w:hAnsi="Times New Roman;Times;Serif"/>
          <w:b w:val="false"/>
          <w:i w:val="false"/>
          <w:caps w:val="false"/>
          <w:smallCaps w:val="false"/>
          <w:sz w:val="20"/>
        </w:rPr>
        <w:t xml:space="preserve">) and Form S-8 (No. </w:t>
      </w:r>
      <w:hyperlink r:id="rId7">
        <w:r>
          <w:rPr>
            <w:rStyle w:val="InternetLink"/>
            <w:rFonts w:ascii="Times New Roman;Times;Serif" w:hAnsi="Times New Roman;Times;Serif"/>
            <w:b w:val="false"/>
            <w:i w:val="false"/>
            <w:caps w:val="false"/>
            <w:smallCaps w:val="false"/>
            <w:sz w:val="20"/>
          </w:rPr>
          <w:t>333-272858</w:t>
        </w:r>
      </w:hyperlink>
      <w:r>
        <w:rPr>
          <w:rFonts w:ascii="Times New Roman;Times;Serif" w:hAnsi="Times New Roman;Times;Serif"/>
          <w:b w:val="false"/>
          <w:i w:val="false"/>
          <w:caps w:val="false"/>
          <w:smallCaps w:val="false"/>
          <w:sz w:val="20"/>
        </w:rPr>
        <w:t xml:space="preserve"> and No. </w:t>
      </w:r>
      <w:hyperlink r:id="rId8">
        <w:r>
          <w:rPr>
            <w:rStyle w:val="InternetLink"/>
            <w:rFonts w:ascii="Times New Roman;Times;Serif" w:hAnsi="Times New Roman;Times;Serif"/>
            <w:b w:val="false"/>
            <w:i w:val="false"/>
            <w:caps w:val="false"/>
            <w:smallCaps w:val="false"/>
            <w:sz w:val="20"/>
          </w:rPr>
          <w:t>333-275342</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995"/>
        <w:gridCol w:w="60"/>
        <w:gridCol w:w="7475"/>
      </w:tblGrid>
      <w:tr>
        <w:trPr/>
        <w:tc>
          <w:tcPr>
            <w:tcW w:w="99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47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75" w:type="dxa"/>
            <w:tcBorders/>
            <w:shd w:fill="CCEEFF" w:val="clear"/>
            <w:tcMar>
              <w:bottom w:w="0" w:type="dxa"/>
            </w:tcMar>
            <w:vAlign w:val="center"/>
          </w:tcPr>
          <w:p>
            <w:pPr>
              <w:pStyle w:val="TableContents"/>
              <w:bidi w:val="0"/>
              <w:spacing w:before="0" w:after="283"/>
              <w:jc w:val="both"/>
              <w:rPr/>
            </w:pPr>
            <w:hyperlink w:anchor="ea030131301ex99-1.htm">
              <w:r>
                <w:rPr>
                  <w:rStyle w:val="InternetLink"/>
                  <w:rFonts w:ascii="Times New Roman;Times;Serif" w:hAnsi="Times New Roman;Times;Serif"/>
                  <w:b w:val="false"/>
                  <w:i w:val="false"/>
                  <w:caps w:val="false"/>
                  <w:smallCaps w:val="false"/>
                  <w:sz w:val="20"/>
                </w:rPr>
                <w:t>Press Release – Bitdeer Reports Unaudited Financial Results for the Second Quarter of 2026</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Jihan Wu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Jihan Wu</w:t>
            </w:r>
          </w:p>
        </w:tc>
      </w:tr>
      <w:tr>
        <w:trPr/>
        <w:tc>
          <w:tcPr>
            <w:tcW w:w="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31301ex99-1.htm"/>
      <w:bookmarkStart w:id="3" w:name="ksea030131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Reports Unaudited Financial Results for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10, 2026 (GLOBE NEWSWIRE) -- 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world-leading technology company for Bitcoin mining and AI infrastructure, today released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Financial</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 xml:space="preserv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compared to Q2’25 unless otherwise noted</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0"/>
        <w:gridCol w:w="9851"/>
      </w:tblGrid>
      <w:tr>
        <w:trPr/>
        <w:tc>
          <w:tcPr>
            <w:tcW w:w="6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aps w:val="false"/>
                <w:smallCaps w:val="false"/>
              </w:rPr>
            </w:pPr>
            <w:r>
              <w:rPr>
                <w:caps w:val="false"/>
                <w:smallCaps w:val="false"/>
              </w:rPr>
              <w:t>●</w:t>
            </w:r>
          </w:p>
        </w:tc>
        <w:tc>
          <w:tcPr>
            <w:tcW w:w="98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w:t>
            </w:r>
            <w:r>
              <w:rPr>
                <w:rFonts w:ascii="Times New Roman;Times;Serif" w:hAnsi="Times New Roman;Times;Serif"/>
              </w:rPr>
              <w:t> was US$228.8 million vs. US$155.6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Cost of revenue </w:t>
            </w:r>
            <w:r>
              <w:rPr>
                <w:rFonts w:ascii="Times New Roman;Times;Serif" w:hAnsi="Times New Roman;Times;Serif"/>
              </w:rPr>
              <w:t>was US$237.3 million vs. US$143.6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loss</w:t>
            </w:r>
            <w:r>
              <w:rPr>
                <w:rFonts w:ascii="Times New Roman;Times;Serif" w:hAnsi="Times New Roman;Times;Serif"/>
              </w:rPr>
              <w:t> was US$8.5 million vs. gross profit US$12.0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loss</w:t>
            </w:r>
            <w:r>
              <w:rPr>
                <w:rFonts w:ascii="Times New Roman;Times;Serif" w:hAnsi="Times New Roman;Times;Serif"/>
              </w:rPr>
              <w:t> was US$92.3 million vs. US$62.9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Adjusted EBITDA</w:t>
            </w:r>
            <w:r>
              <w:rPr>
                <w:rFonts w:ascii="Times New Roman;Times;Serif" w:hAnsi="Times New Roman;Times;Serif"/>
                <w:b/>
                <w:position w:val="8"/>
                <w:sz w:val="19"/>
              </w:rPr>
              <w:t>2</w:t>
            </w:r>
            <w:r>
              <w:rPr>
                <w:rFonts w:ascii="Times New Roman;Times;Serif" w:hAnsi="Times New Roman;Times;Serif"/>
              </w:rPr>
              <w:t> was US$31.1 million vs. US$4.6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Cash, cash equivalents and restricted cash </w:t>
            </w:r>
            <w:r>
              <w:rPr>
                <w:rFonts w:ascii="Times New Roman;Times;Serif" w:hAnsi="Times New Roman;Times;Serif"/>
              </w:rPr>
              <w:t>were US$496.3 million as of June 30,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Digital assets and digital assets - receivable balance:</w:t>
            </w:r>
            <w:r>
              <w:rPr>
                <w:rFonts w:ascii="Times New Roman;Times;Serif" w:hAnsi="Times New Roman;Times;Serif"/>
              </w:rPr>
              <w:t> US$196.9 million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reflected steady progress across our platform. Earlier this month, we converted a meaningful portion of our power portfolio into long term, contracted revenue with the Tydal, Norway agreement, our first large-scale proof point for the colocation strategy we plan to continue to build upon”, said Michael G. Potter, Chief Financial Officer. “Our AI Cloud revenue continues to scale, alongside our mining business as our SEALMINER fleet comes online. Together, these results show the advantage of owning the fully integrated vertical stack, from power, to hardware, and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January 1, 2026, the Company transitioned from IFRS Accounting Standards as issued by the International Accounting Standards Board (“IASB”) to generally accepted accounting principles in the United States of America (“U.S. GAAP”). The consolidated financial statements for prior periods have been recast to conform to U.S. GAAP.</w:t>
            </w:r>
          </w:p>
        </w:tc>
      </w:tr>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xml:space="preserve"> is defined as earnings before interest, taxes, depreciation and amortization, further adjusted to exclude share-based compensation expense, share of earnings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instruments, net gains (losses) on disposal of property, plant and equipment and other net gains (losses).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Summary</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4715"/>
        <w:gridCol w:w="60"/>
        <w:gridCol w:w="140"/>
        <w:gridCol w:w="980"/>
        <w:gridCol w:w="60"/>
        <w:gridCol w:w="60"/>
        <w:gridCol w:w="140"/>
        <w:gridCol w:w="980"/>
        <w:gridCol w:w="7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75" w:type="dxa"/>
            <w:tcBorders/>
            <w:vAlign w:val="center"/>
          </w:tcPr>
          <w:p>
            <w:pPr>
              <w:pStyle w:val="TableContents"/>
              <w:bidi w:val="0"/>
              <w:spacing w:before="0" w:after="283"/>
              <w:jc w:val="left"/>
              <w:rPr/>
            </w:pPr>
            <w:r>
              <w:rPr/>
              <w:t> </w:t>
            </w:r>
          </w:p>
        </w:tc>
      </w:tr>
      <w:tr>
        <w:trPr/>
        <w:tc>
          <w:tcPr>
            <w:tcW w:w="4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Metric</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Hash Rate Metrics: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Self-Mining (Operated in self-owned datacenters)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Proprietary Hash Rate</w:t>
            </w:r>
            <w:r>
              <w:rPr>
                <w:rFonts w:ascii="Times New Roman;Times;Serif" w:hAnsi="Times New Roman;Times;Serif"/>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Hosting</w:t>
            </w:r>
            <w:r>
              <w:rPr>
                <w:rFonts w:ascii="Times New Roman;Times;Serif" w:hAnsi="Times New Roman;Times;Serif"/>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Hash Rate under Mgmt.</w:t>
            </w:r>
            <w:r>
              <w:rPr>
                <w:rFonts w:ascii="Times New Roman;Times;Serif" w:hAnsi="Times New Roman;Times;Serif"/>
                <w:b/>
                <w:position w:val="8"/>
                <w:sz w:val="19"/>
              </w:rPr>
              <w:t>5</w:t>
            </w:r>
            <w:r>
              <w:rPr>
                <w:rFonts w:ascii="Times New Roman;Times;Serif" w:hAnsi="Times New Roman;Times;Serif"/>
                <w:b/>
              </w:rPr>
              <w:t xml:space="preserve"> (EH/s)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30.6</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Co-Mining (Operated in 3rd party datacenters)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Mining Rig Metrics: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Self-Mining</w:t>
            </w:r>
            <w:r>
              <w:rPr>
                <w:rFonts w:ascii="Times New Roman;Times;Serif" w:hAnsi="Times New Roman;Times;Serif"/>
                <w:position w:val="8"/>
                <w:sz w:val="19"/>
              </w:rPr>
              <w:t>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114,000</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Hosted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86,000</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Mining Rigs under Mgmt.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200,000</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Co-Mining</w:t>
            </w:r>
            <w:r>
              <w:rPr>
                <w:rFonts w:ascii="Times New Roman;Times;Serif" w:hAnsi="Times New Roman;Times;Serif"/>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 Mined</w:t>
            </w:r>
            <w:r>
              <w:rPr>
                <w:rFonts w:ascii="Times New Roman;Times;Serif" w:hAnsi="Times New Roman;Times;Serif"/>
                <w:position w:val="8"/>
                <w:sz w:val="19"/>
              </w:rPr>
              <w:t>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 Held</w:t>
            </w:r>
            <w:r>
              <w:rPr>
                <w:rFonts w:ascii="Times New Roman;Times;Serif" w:hAnsi="Times New Roman;Times;Serif"/>
                <w:position w:val="8"/>
                <w:sz w:val="19"/>
              </w:rPr>
              <w:t>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Power Usage (MWh)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1,180,000</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cost of electricity ($/MWh)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miner efficiency (J/TH)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Other Proprietary Hash Rate</w:t>
            </w:r>
            <w:r>
              <w:rPr>
                <w:rFonts w:ascii="Times New Roman;Times;Serif" w:hAnsi="Times New Roman;Times;Serif"/>
              </w:rPr>
              <w:t xml:space="preserve"> includes the hashrate from Bitdeer’s cloud hashrate business, mining rigs delivered in the crypto mining datacenters but not deployed and the mining rigs temporarily offline due to limited economic benefit.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Hosting </w:t>
            </w:r>
            <w:r>
              <w:rPr>
                <w:rFonts w:ascii="Times New Roman;Times;Serif" w:hAnsi="Times New Roman;Times;Serif"/>
              </w:rPr>
              <w:t>encompasses a one-stop mining machine hosting solution including deployment, maintenance, and management services for efficient cryptocurrency mining.</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hash rate under management</w:t>
            </w:r>
            <w:r>
              <w:rPr>
                <w:rFonts w:ascii="Times New Roman;Times;Serif" w:hAnsi="Times New Roman;Times;Serif"/>
              </w:rPr>
              <w:t xml:space="preserve"> across Bitdeer’s primary business lines: Self-mining, Cloud Hash Rate, and Hosting.</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Self-Mining (Operated in self-owned datacenters)</w:t>
            </w:r>
            <w:r>
              <w:rPr>
                <w:rFonts w:ascii="Times New Roman;Times;Serif" w:hAnsi="Times New Roman;Times;Serif"/>
              </w:rPr>
              <w:t xml:space="preserve"> refers to cryptocurrency mining for Bitdeer’s own account, whereby its mining rigs are operated in self-owned datacenters.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Co-mining (Operated in 3</w:t>
            </w:r>
            <w:r>
              <w:rPr>
                <w:rFonts w:ascii="Times New Roman;Times;Serif" w:hAnsi="Times New Roman;Times;Serif"/>
                <w:b/>
                <w:position w:val="8"/>
                <w:sz w:val="19"/>
              </w:rPr>
              <w:t>rd</w:t>
            </w:r>
            <w:r>
              <w:rPr>
                <w:rFonts w:ascii="Times New Roman;Times;Serif" w:hAnsi="Times New Roman;Times;Serif"/>
                <w:b/>
              </w:rPr>
              <w:t xml:space="preserve"> party datacenters)</w:t>
            </w:r>
            <w:r>
              <w:rPr>
                <w:rFonts w:ascii="Times New Roman;Times;Serif" w:hAnsi="Times New Roman;Times;Serif"/>
              </w:rPr>
              <w:t xml:space="preserve"> refers to cryptocurrency mining for Bitdeer’s own account, whereby its mining rigs are operated in third-party datacenters.</w:t>
            </w:r>
          </w:p>
        </w:tc>
      </w:tr>
    </w:tbl>
    <w:tbl>
      <w:tblPr>
        <w:tblW w:w="9333" w:type="dxa"/>
        <w:jc w:val="left"/>
        <w:tblInd w:w="0" w:type="dxa"/>
        <w:tblLayout w:type="fixed"/>
        <w:tblCellMar>
          <w:top w:w="0" w:type="dxa"/>
          <w:left w:w="0" w:type="dxa"/>
          <w:bottom w:w="0" w:type="dxa"/>
          <w:right w:w="0" w:type="dxa"/>
        </w:tblCellMar>
      </w:tblPr>
      <w:tblGrid>
        <w:gridCol w:w="38"/>
        <w:gridCol w:w="125"/>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w:t>
            </w:r>
          </w:p>
        </w:tc>
        <w:tc>
          <w:tcPr>
            <w:tcW w:w="9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Bitcoins mined</w:t>
            </w:r>
            <w:r>
              <w:rPr>
                <w:rFonts w:ascii="Times New Roman;Times;Serif" w:hAnsi="Times New Roman;Times;Serif"/>
              </w:rPr>
              <w:t xml:space="preserve"> Includes BTC from self-mining operations and BTC from co-mining operations.</w:t>
            </w:r>
          </w:p>
        </w:tc>
      </w:tr>
    </w:tbl>
    <w:tbl>
      <w:tblPr>
        <w:tblW w:w="6258" w:type="dxa"/>
        <w:jc w:val="left"/>
        <w:tblInd w:w="0" w:type="dxa"/>
        <w:tblLayout w:type="fixed"/>
        <w:tblCellMar>
          <w:top w:w="0" w:type="dxa"/>
          <w:left w:w="0" w:type="dxa"/>
          <w:bottom w:w="0" w:type="dxa"/>
          <w:right w:w="0" w:type="dxa"/>
        </w:tblCellMar>
      </w:tblPr>
      <w:tblGrid>
        <w:gridCol w:w="38"/>
        <w:gridCol w:w="125"/>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w:t>
            </w:r>
          </w:p>
        </w:tc>
        <w:tc>
          <w:tcPr>
            <w:tcW w:w="60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Bitcoins held</w:t>
            </w:r>
            <w:r>
              <w:rPr>
                <w:rFonts w:ascii="Times New Roman;Times;Serif" w:hAnsi="Times New Roman;Times;Serif"/>
              </w:rPr>
              <w:t xml:space="preserve"> does not include Bitcoins from customer deposits.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Infrastructure Summary (As of 7/31/2026)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6"/>
        <w:gridCol w:w="1306"/>
        <w:gridCol w:w="60"/>
        <w:gridCol w:w="668"/>
        <w:gridCol w:w="60"/>
        <w:gridCol w:w="1094"/>
        <w:gridCol w:w="60"/>
        <w:gridCol w:w="1741"/>
        <w:gridCol w:w="60"/>
        <w:gridCol w:w="4900"/>
      </w:tblGrid>
      <w:tr>
        <w:trPr/>
        <w:tc>
          <w:tcPr>
            <w:tcW w:w="1562" w:type="dxa"/>
            <w:gridSpan w:val="2"/>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Site</w:t>
            </w:r>
          </w:p>
        </w:tc>
        <w:tc>
          <w:tcPr>
            <w:tcW w:w="60" w:type="dxa"/>
            <w:tcBorders/>
            <w:tcMar>
              <w:bottom w:w="0" w:type="dxa"/>
            </w:tcMar>
            <w:vAlign w:val="center"/>
          </w:tcPr>
          <w:p>
            <w:pPr>
              <w:pStyle w:val="TableContents"/>
              <w:bidi w:val="0"/>
              <w:spacing w:before="0" w:after="283"/>
              <w:jc w:val="center"/>
              <w:rPr/>
            </w:pPr>
            <w:r>
              <w:rPr/>
              <w:t> </w:t>
            </w:r>
          </w:p>
        </w:tc>
        <w:tc>
          <w:tcPr>
            <w:tcW w:w="66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(MW) Capacity</w:t>
            </w:r>
          </w:p>
        </w:tc>
        <w:tc>
          <w:tcPr>
            <w:tcW w:w="60" w:type="dxa"/>
            <w:tcBorders/>
            <w:tcMar>
              <w:bottom w:w="0" w:type="dxa"/>
            </w:tcMar>
            <w:vAlign w:val="center"/>
          </w:tcPr>
          <w:p>
            <w:pPr>
              <w:pStyle w:val="TableContents"/>
              <w:bidi w:val="0"/>
              <w:spacing w:before="0" w:after="283"/>
              <w:jc w:val="center"/>
              <w:rPr/>
            </w:pPr>
            <w:r>
              <w:rPr/>
              <w:t> </w:t>
            </w:r>
          </w:p>
        </w:tc>
        <w:tc>
          <w:tcPr>
            <w:tcW w:w="1094"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Ready for Service time</w:t>
            </w:r>
            <w:r>
              <w:rPr>
                <w:rFonts w:ascii="Times New Roman;Times;Serif" w:hAnsi="Times New Roman;Times;Serif"/>
                <w:b/>
                <w:position w:val="8"/>
                <w:sz w:val="19"/>
              </w:rPr>
              <w:t>10</w:t>
            </w:r>
          </w:p>
        </w:tc>
        <w:tc>
          <w:tcPr>
            <w:tcW w:w="60" w:type="dxa"/>
            <w:tcBorders/>
            <w:tcMar>
              <w:bottom w:w="0" w:type="dxa"/>
            </w:tcMar>
            <w:vAlign w:val="center"/>
          </w:tcPr>
          <w:p>
            <w:pPr>
              <w:pStyle w:val="TableContents"/>
              <w:bidi w:val="0"/>
              <w:spacing w:before="0" w:after="283"/>
              <w:jc w:val="center"/>
              <w:rPr/>
            </w:pPr>
            <w:r>
              <w:rPr/>
              <w:t> </w:t>
            </w:r>
          </w:p>
        </w:tc>
        <w:tc>
          <w:tcPr>
            <w:tcW w:w="1741"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Planned Usage</w:t>
            </w:r>
          </w:p>
        </w:tc>
        <w:tc>
          <w:tcPr>
            <w:tcW w:w="60" w:type="dxa"/>
            <w:tcBorders/>
            <w:tcMar>
              <w:bottom w:w="0" w:type="dxa"/>
            </w:tcMar>
            <w:vAlign w:val="center"/>
          </w:tcPr>
          <w:p>
            <w:pPr>
              <w:pStyle w:val="TableContents"/>
              <w:bidi w:val="0"/>
              <w:spacing w:before="0" w:after="283"/>
              <w:jc w:val="center"/>
              <w:rPr/>
            </w:pPr>
            <w:r>
              <w:rPr/>
              <w:t> </w:t>
            </w:r>
          </w:p>
        </w:tc>
        <w:tc>
          <w:tcPr>
            <w:tcW w:w="49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Construction Update </w:t>
            </w:r>
          </w:p>
        </w:tc>
      </w:tr>
      <w:tr>
        <w:trPr/>
        <w:tc>
          <w:tcPr>
            <w:tcW w:w="1562" w:type="dxa"/>
            <w:gridSpan w:val="2"/>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Online Electrical Capacity:</w:t>
            </w:r>
          </w:p>
        </w:tc>
        <w:tc>
          <w:tcPr>
            <w:tcW w:w="60" w:type="dxa"/>
            <w:tcBorders/>
            <w:tcMar>
              <w:bottom w:w="0" w:type="dxa"/>
            </w:tcMar>
            <w:vAlign w:val="center"/>
          </w:tcPr>
          <w:p>
            <w:pPr>
              <w:pStyle w:val="TableContents"/>
              <w:bidi w:val="0"/>
              <w:spacing w:before="0" w:after="283"/>
              <w:jc w:val="left"/>
              <w:rPr/>
            </w:pPr>
            <w:r>
              <w:rPr/>
              <w:t> </w:t>
            </w:r>
          </w:p>
        </w:tc>
        <w:tc>
          <w:tcPr>
            <w:tcW w:w="6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00" w:type="dxa"/>
            <w:tcBorders/>
            <w:tcMar>
              <w:bottom w:w="0" w:type="dxa"/>
            </w:tcMar>
            <w:vAlign w:val="center"/>
          </w:tcPr>
          <w:p>
            <w:pPr>
              <w:pStyle w:val="TableContents"/>
              <w:bidi w:val="0"/>
              <w:spacing w:before="0" w:after="283"/>
              <w:jc w:val="left"/>
              <w:rPr/>
            </w:pPr>
            <w:r>
              <w:rPr/>
              <w:t> </w:t>
            </w:r>
          </w:p>
        </w:tc>
      </w:tr>
      <w:tr>
        <w:trPr/>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1) </w:t>
            </w:r>
          </w:p>
        </w:tc>
        <w:tc>
          <w:tcPr>
            <w:tcW w:w="1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Rockdale, 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 to Colocation / AI Cloud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active evaluation of AI transition</w:t>
            </w:r>
          </w:p>
        </w:tc>
      </w:tr>
      <w:tr>
        <w:trPr/>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3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Knoxville, TN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 to AI Cloud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meet customer demand for larger scale deployments, we have fully redesigned the project, with overall completion now targeted for Q3 ’27.</w:t>
            </w:r>
          </w:p>
        </w:tc>
      </w:tr>
      <w:tr>
        <w:trPr/>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Wenatchee, WA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 be updated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 to AI Cloud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 data center design documents and building permit application submitted for approval. Core equipment is being delivered in succession, and the mining datacenter has been removed. We plan to change the design to accommodate the latest NVIDIA GPUs.</w:t>
            </w:r>
          </w:p>
        </w:tc>
      </w:tr>
      <w:tr>
        <w:trPr/>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30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Molde, Norway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 and in early assessment of converting to AI Cloud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0" w:type="dxa"/>
            <w:tcBorders/>
            <w:shd w:fill="FFFFFF" w:val="clear"/>
            <w:tcMar>
              <w:bottom w:w="0" w:type="dxa"/>
            </w:tcMar>
            <w:vAlign w:val="center"/>
          </w:tcPr>
          <w:p>
            <w:pPr>
              <w:pStyle w:val="TableContents"/>
              <w:bidi w:val="0"/>
              <w:spacing w:before="0" w:after="283"/>
              <w:jc w:val="left"/>
              <w:rPr/>
            </w:pPr>
            <w:r>
              <w:rPr/>
              <w:t> </w:t>
            </w:r>
          </w:p>
        </w:tc>
      </w:tr>
      <w:tr>
        <w:trPr/>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130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Tydal, Norway – phase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Q4’26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Colocation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$4.7 Billion, 16-Year AI/HPC Data Center Lease with Volta. 121 IT MW will be configured to run NVIDIA GPUs for the end customer, a leading AI lab.</w:t>
            </w:r>
          </w:p>
        </w:tc>
      </w:tr>
      <w:tr>
        <w:trPr/>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3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Tydal, Norway – 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Q1’27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Colocation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0" w:type="dxa"/>
            <w:tcBorders/>
            <w:shd w:fill="FFFFFF" w:val="clear"/>
            <w:tcMar>
              <w:bottom w:w="0" w:type="dxa"/>
            </w:tcMar>
            <w:vAlign w:val="center"/>
          </w:tcPr>
          <w:p>
            <w:pPr>
              <w:pStyle w:val="TableContents"/>
              <w:bidi w:val="0"/>
              <w:spacing w:before="0" w:after="283"/>
              <w:jc w:val="left"/>
              <w:rPr/>
            </w:pPr>
            <w:r>
              <w:rPr/>
              <w:t> </w:t>
            </w:r>
          </w:p>
        </w:tc>
      </w:tr>
      <w:tr>
        <w:trPr/>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30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Tydal, Norway – phase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H2’27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Colocation / AI Cloud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Bitdeer is developing two additional data halls, totaling 47 MW gross for future AI / HPC use cases.</w:t>
            </w:r>
          </w:p>
        </w:tc>
      </w:tr>
      <w:tr>
        <w:trPr/>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3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Gedu, Bhutan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0" w:type="dxa"/>
            <w:tcBorders/>
            <w:shd w:fill="FFFFFF" w:val="clear"/>
            <w:tcMar>
              <w:bottom w:w="0" w:type="dxa"/>
            </w:tcMar>
            <w:vAlign w:val="center"/>
          </w:tcPr>
          <w:p>
            <w:pPr>
              <w:pStyle w:val="TableContents"/>
              <w:bidi w:val="0"/>
              <w:spacing w:before="0" w:after="283"/>
              <w:jc w:val="left"/>
              <w:rPr/>
            </w:pPr>
            <w:r>
              <w:rPr/>
              <w:t> </w:t>
            </w:r>
          </w:p>
        </w:tc>
      </w:tr>
      <w:tr>
        <w:trPr/>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130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Jigmeling, Bhutan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0" w:type="dxa"/>
            <w:tcBorders/>
            <w:shd w:fill="CCEEFF" w:val="clear"/>
            <w:tcMar>
              <w:bottom w:w="0" w:type="dxa"/>
            </w:tcMar>
            <w:vAlign w:val="center"/>
          </w:tcPr>
          <w:p>
            <w:pPr>
              <w:pStyle w:val="TableContents"/>
              <w:bidi w:val="0"/>
              <w:spacing w:before="0" w:after="283"/>
              <w:jc w:val="left"/>
              <w:rPr/>
            </w:pPr>
            <w:r>
              <w:rPr/>
              <w:t> </w:t>
            </w:r>
          </w:p>
        </w:tc>
      </w:tr>
      <w:tr>
        <w:trPr/>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3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Oromia Region, Ethiopia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0" w:type="dxa"/>
            <w:tcBorders/>
            <w:shd w:fill="FFFFFF" w:val="clear"/>
            <w:tcMar>
              <w:bottom w:w="0" w:type="dxa"/>
            </w:tcMar>
            <w:vAlign w:val="center"/>
          </w:tcPr>
          <w:p>
            <w:pPr>
              <w:pStyle w:val="TableContents"/>
              <w:bidi w:val="0"/>
              <w:spacing w:before="0" w:after="283"/>
              <w:jc w:val="left"/>
              <w:rPr/>
            </w:pPr>
            <w:r>
              <w:rPr/>
              <w:t> </w:t>
            </w:r>
          </w:p>
        </w:tc>
      </w:tr>
      <w:tr>
        <w:trPr/>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130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Massillon, OH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0" w:type="dxa"/>
            <w:tcBorders/>
            <w:shd w:fill="CCEEFF" w:val="clear"/>
            <w:tcMar>
              <w:bottom w:w="0" w:type="dxa"/>
            </w:tcMar>
            <w:vAlign w:val="center"/>
          </w:tcPr>
          <w:p>
            <w:pPr>
              <w:pStyle w:val="TableContents"/>
              <w:bidi w:val="0"/>
              <w:spacing w:before="0" w:after="283"/>
              <w:jc w:val="left"/>
              <w:rPr/>
            </w:pPr>
            <w:r>
              <w:rPr/>
              <w:t> </w:t>
            </w:r>
          </w:p>
        </w:tc>
      </w:tr>
      <w:tr>
        <w:trPr/>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130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Cyberjaya, Malaysia</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1"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AI Cloud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0" w:type="dxa"/>
            <w:tcBorders/>
            <w:shd w:fill="FFFFFF" w:val="clear"/>
            <w:tcMar>
              <w:bottom w:w="0" w:type="dxa"/>
            </w:tcMar>
            <w:vAlign w:val="center"/>
          </w:tcPr>
          <w:p>
            <w:pPr>
              <w:pStyle w:val="TableContents"/>
              <w:bidi w:val="0"/>
              <w:spacing w:before="0" w:after="283"/>
              <w:jc w:val="left"/>
              <w:rPr/>
            </w:pPr>
            <w:r>
              <w:rPr/>
              <w:t> </w:t>
            </w:r>
          </w:p>
        </w:tc>
      </w:tr>
      <w:tr>
        <w:trPr/>
        <w:tc>
          <w:tcPr>
            <w:tcW w:w="256"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0" w:type="dxa"/>
            <w:tcBorders/>
            <w:shd w:fill="CCEEFF" w:val="clear"/>
            <w:tcMar>
              <w:bottom w:w="0" w:type="dxa"/>
            </w:tcMar>
            <w:vAlign w:val="center"/>
          </w:tcPr>
          <w:p>
            <w:pPr>
              <w:pStyle w:val="TableContents"/>
              <w:bidi w:val="0"/>
              <w:spacing w:before="0" w:after="283"/>
              <w:jc w:val="left"/>
              <w:rPr/>
            </w:pPr>
            <w:r>
              <w:rPr/>
              <w:t> </w:t>
            </w:r>
          </w:p>
        </w:tc>
      </w:tr>
      <w:tr>
        <w:trPr/>
        <w:tc>
          <w:tcPr>
            <w:tcW w:w="1562" w:type="dxa"/>
            <w:gridSpan w:val="2"/>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Online Electrical Subtotal: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1,752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Indicative timing for completion of power, or where substation power is already available, completion of the engineering required to make it usable and commissioned, independent of tenant equipment delivery. All timing references are to calendar quarters and years, and these forward-looking estimates remain subject to delays and risks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403"/>
        <w:gridCol w:w="60"/>
        <w:gridCol w:w="635"/>
        <w:gridCol w:w="60"/>
        <w:gridCol w:w="753"/>
        <w:gridCol w:w="60"/>
        <w:gridCol w:w="1256"/>
        <w:gridCol w:w="60"/>
        <w:gridCol w:w="5770"/>
      </w:tblGrid>
      <w:tr>
        <w:trPr/>
        <w:tc>
          <w:tcPr>
            <w:tcW w:w="14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70" w:type="dxa"/>
            <w:tcBorders/>
            <w:vAlign w:val="center"/>
          </w:tcPr>
          <w:p>
            <w:pPr>
              <w:pStyle w:val="TableContents"/>
              <w:bidi w:val="0"/>
              <w:spacing w:before="0" w:after="283"/>
              <w:jc w:val="left"/>
              <w:rPr/>
            </w:pPr>
            <w:r>
              <w:rPr/>
              <w:t> </w:t>
            </w:r>
          </w:p>
        </w:tc>
      </w:tr>
      <w:tr>
        <w:trPr/>
        <w:tc>
          <w:tcPr>
            <w:tcW w:w="155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Pipeline Electrical Capacity:</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70" w:type="dxa"/>
            <w:tcBorders/>
            <w:vAlign w:val="center"/>
          </w:tcPr>
          <w:p>
            <w:pPr>
              <w:pStyle w:val="TableContents"/>
              <w:bidi w:val="0"/>
              <w:spacing w:before="0" w:after="283"/>
              <w:jc w:val="left"/>
              <w:rPr/>
            </w:pPr>
            <w:r>
              <w:rPr/>
              <w:t> </w:t>
            </w:r>
          </w:p>
        </w:tc>
      </w:tr>
      <w:tr>
        <w:trPr/>
        <w:tc>
          <w:tcPr>
            <w:tcW w:w="14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4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Massilon, OH</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 / 26</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Q3’26</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w:t>
            </w:r>
          </w:p>
        </w:tc>
        <w:tc>
          <w:tcPr>
            <w:tcW w:w="60" w:type="dxa"/>
            <w:tcBorders/>
            <w:shd w:fill="CCEEFF" w:val="clear"/>
            <w:vAlign w:val="center"/>
          </w:tcPr>
          <w:p>
            <w:pPr>
              <w:pStyle w:val="TableContents"/>
              <w:bidi w:val="0"/>
              <w:spacing w:before="0" w:after="283"/>
              <w:jc w:val="left"/>
              <w:rPr/>
            </w:pPr>
            <w:r>
              <w:rPr/>
              <w:t> </w:t>
            </w:r>
          </w:p>
        </w:tc>
        <w:tc>
          <w:tcPr>
            <w:tcW w:w="5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to delivery delays for key electrical components, 21 MW is expected to be energized in phases during Q3’26. Reconstruction of the two fire-damaged buildings (26MW) is currently underway and expected to be rebuilt and energized by the end of Q3’26. A significant portion of the reconstruction cost has now been successfully recovered through the supplier’s insurance.</w:t>
            </w:r>
          </w:p>
        </w:tc>
      </w:tr>
      <w:tr>
        <w:trPr/>
        <w:tc>
          <w:tcPr>
            <w:tcW w:w="14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4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Clarington, OH</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570</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 be updated</w:t>
            </w:r>
          </w:p>
        </w:tc>
        <w:tc>
          <w:tcPr>
            <w:tcW w:w="6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Colocation / Crypto</w:t>
            </w:r>
          </w:p>
        </w:tc>
        <w:tc>
          <w:tcPr>
            <w:tcW w:w="60" w:type="dxa"/>
            <w:tcBorders/>
            <w:shd w:fill="FFFFFF" w:val="clear"/>
            <w:vAlign w:val="center"/>
          </w:tcPr>
          <w:p>
            <w:pPr>
              <w:pStyle w:val="TableContents"/>
              <w:bidi w:val="0"/>
              <w:spacing w:before="0" w:after="283"/>
              <w:jc w:val="left"/>
              <w:rPr/>
            </w:pPr>
            <w:r>
              <w:rPr/>
              <w:t> </w:t>
            </w:r>
          </w:p>
        </w:tc>
        <w:tc>
          <w:tcPr>
            <w:tcW w:w="57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570 MW of power under contract with a local utility. Timing of power availability and construction may be affected by ongoing legal proceedings filed by a neighboring company, American Heavy Plate Solutions, LLC., which is under extensive influence from MHR, a New York based PE firm founded by Mark H. Rachesky. Design and other preparation work continues.</w:t>
            </w:r>
          </w:p>
        </w:tc>
      </w:tr>
      <w:tr>
        <w:trPr/>
        <w:tc>
          <w:tcPr>
            <w:tcW w:w="14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4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Weathersfield, OH</w:t>
              <w:br/>
            </w:r>
            <w:r>
              <w:rPr>
                <w:rFonts w:ascii="Times New Roman;Times;Serif" w:hAnsi="Times New Roman;Times;Serif"/>
                <w:i/>
                <w:sz w:val="20"/>
              </w:rPr>
              <w:t>(formerly referred to as “Niles”)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Q4’28</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Colocation / AI Cloud</w:t>
            </w:r>
          </w:p>
        </w:tc>
        <w:tc>
          <w:tcPr>
            <w:tcW w:w="60" w:type="dxa"/>
            <w:tcBorders/>
            <w:shd w:fill="CCEEFF" w:val="clear"/>
            <w:vAlign w:val="center"/>
          </w:tcPr>
          <w:p>
            <w:pPr>
              <w:pStyle w:val="TableContents"/>
              <w:bidi w:val="0"/>
              <w:spacing w:before="0" w:after="283"/>
              <w:jc w:val="left"/>
              <w:rPr/>
            </w:pPr>
            <w:r>
              <w:rPr/>
              <w:t> </w:t>
            </w:r>
          </w:p>
        </w:tc>
        <w:tc>
          <w:tcPr>
            <w:tcW w:w="5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300 MW grid-interconnected development site, with target energization in Q4’28. The project includes 41.8 acres of owned land and a transmission line extension agreement with a local utility company</w:t>
            </w:r>
          </w:p>
        </w:tc>
      </w:tr>
      <w:tr>
        <w:trPr/>
        <w:tc>
          <w:tcPr>
            <w:tcW w:w="14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4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Rockdale, TX</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 / Colocation / AI Cloud</w:t>
            </w:r>
          </w:p>
        </w:tc>
        <w:tc>
          <w:tcPr>
            <w:tcW w:w="60" w:type="dxa"/>
            <w:tcBorders/>
            <w:shd w:fill="FFFFFF" w:val="clear"/>
            <w:vAlign w:val="center"/>
          </w:tcPr>
          <w:p>
            <w:pPr>
              <w:pStyle w:val="TableContents"/>
              <w:bidi w:val="0"/>
              <w:spacing w:before="0" w:after="283"/>
              <w:jc w:val="left"/>
              <w:rPr/>
            </w:pPr>
            <w:r>
              <w:rPr/>
              <w:t> </w:t>
            </w:r>
          </w:p>
        </w:tc>
        <w:tc>
          <w:tcPr>
            <w:tcW w:w="57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Planning</w:t>
            </w:r>
          </w:p>
        </w:tc>
      </w:tr>
      <w:tr>
        <w:trPr/>
        <w:tc>
          <w:tcPr>
            <w:tcW w:w="14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14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Fox Creek, Alberta, Canada</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Q4’27</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Crypto</w:t>
            </w:r>
          </w:p>
        </w:tc>
        <w:tc>
          <w:tcPr>
            <w:tcW w:w="60" w:type="dxa"/>
            <w:tcBorders/>
            <w:shd w:fill="CCEEFF" w:val="clear"/>
            <w:vAlign w:val="center"/>
          </w:tcPr>
          <w:p>
            <w:pPr>
              <w:pStyle w:val="TableContents"/>
              <w:bidi w:val="0"/>
              <w:spacing w:before="0" w:after="283"/>
              <w:jc w:val="left"/>
              <w:rPr/>
            </w:pPr>
            <w:r>
              <w:rPr/>
              <w:t> </w:t>
            </w:r>
          </w:p>
        </w:tc>
        <w:tc>
          <w:tcPr>
            <w:tcW w:w="5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 MW site acquired, fully licensed and permitted for the construction of an on-site natural gas power plant. Energization time is now expected for Q4 2027. Data center design accommodating both AIDC and crypto is currently underway, following the power plant groundbreaking in June 2026.</w:t>
            </w:r>
          </w:p>
        </w:tc>
      </w:tr>
      <w:tr>
        <w:trPr/>
        <w:tc>
          <w:tcPr>
            <w:tcW w:w="14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4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Cyberjaya, Malaysia</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Q4’26</w:t>
            </w:r>
          </w:p>
        </w:tc>
        <w:tc>
          <w:tcPr>
            <w:tcW w:w="6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AI Cloud</w:t>
            </w:r>
          </w:p>
        </w:tc>
        <w:tc>
          <w:tcPr>
            <w:tcW w:w="60" w:type="dxa"/>
            <w:tcBorders/>
            <w:shd w:fill="FFFFFF" w:val="clear"/>
            <w:vAlign w:val="center"/>
          </w:tcPr>
          <w:p>
            <w:pPr>
              <w:pStyle w:val="TableContents"/>
              <w:bidi w:val="0"/>
              <w:spacing w:before="0" w:after="283"/>
              <w:jc w:val="left"/>
              <w:rPr/>
            </w:pPr>
            <w:r>
              <w:rPr/>
              <w:t> </w:t>
            </w:r>
          </w:p>
        </w:tc>
        <w:tc>
          <w:tcPr>
            <w:tcW w:w="57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Progress</w:t>
            </w:r>
          </w:p>
        </w:tc>
      </w:tr>
      <w:tr>
        <w:trPr/>
        <w:tc>
          <w:tcPr>
            <w:tcW w:w="14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4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Johor Bahru, Malaysia</w:t>
            </w:r>
            <w:r>
              <w:rPr>
                <w:rFonts w:ascii="Times New Roman;Times;Serif" w:hAnsi="Times New Roman;Times;Serif"/>
                <w:position w:val="7"/>
                <w:sz w:val="16"/>
                <w:sz w:val="20"/>
              </w:rPr>
              <w:t>11</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Q1’27</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AI Cloud</w:t>
            </w:r>
          </w:p>
        </w:tc>
        <w:tc>
          <w:tcPr>
            <w:tcW w:w="60" w:type="dxa"/>
            <w:tcBorders/>
            <w:shd w:fill="CCEEFF" w:val="clear"/>
            <w:vAlign w:val="center"/>
          </w:tcPr>
          <w:p>
            <w:pPr>
              <w:pStyle w:val="TableContents"/>
              <w:bidi w:val="0"/>
              <w:spacing w:before="0" w:after="283"/>
              <w:jc w:val="left"/>
              <w:rPr/>
            </w:pPr>
            <w:r>
              <w:rPr/>
              <w:t> </w:t>
            </w:r>
          </w:p>
        </w:tc>
        <w:tc>
          <w:tcPr>
            <w:tcW w:w="5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10-year lease agreement signed for new data center to provide 21.7 IT MW, with handover to Bitdeer expected Q1’27. Facility planned to support deployment of 128 NVIDIA GB300 NVL72 systems.</w:t>
            </w:r>
          </w:p>
        </w:tc>
      </w:tr>
      <w:tr>
        <w:trPr/>
        <w:tc>
          <w:tcPr>
            <w:tcW w:w="1551"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Pipeline Electrical Subtotal:</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1,228.2</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770" w:type="dxa"/>
            <w:tcBorders/>
            <w:shd w:fill="FFFFFF" w:val="clear"/>
            <w:vAlign w:val="center"/>
          </w:tcPr>
          <w:p>
            <w:pPr>
              <w:pStyle w:val="TableContents"/>
              <w:bidi w:val="0"/>
              <w:spacing w:before="0" w:after="283"/>
              <w:jc w:val="left"/>
              <w:rPr/>
            </w:pPr>
            <w:r>
              <w:rPr/>
              <w:t> </w:t>
            </w:r>
          </w:p>
        </w:tc>
      </w:tr>
      <w:tr>
        <w:trPr/>
        <w:tc>
          <w:tcPr>
            <w:tcW w:w="1551"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Global Electrical Capacity:</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2,980.2</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7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3498" w:type="dxa"/>
        <w:jc w:val="left"/>
        <w:tblInd w:w="0" w:type="dxa"/>
        <w:tblLayout w:type="fixed"/>
        <w:tblCellMar>
          <w:top w:w="0" w:type="dxa"/>
          <w:left w:w="0" w:type="dxa"/>
          <w:bottom w:w="0" w:type="dxa"/>
          <w:right w:w="0" w:type="dxa"/>
        </w:tblCellMar>
      </w:tblPr>
      <w:tblGrid>
        <w:gridCol w:w="38"/>
        <w:gridCol w:w="23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w:t>
            </w:r>
          </w:p>
        </w:tc>
        <w:tc>
          <w:tcPr>
            <w:tcW w:w="3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Capacity under lease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MD&amp;A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the Company transitioned from IFRS Accounting Standards as issued by the International Accounting Standards Board (“IASB”) to generally accepted accounting principles in the United States of America (“U.S. GAAP”). The consolidated financial statements for prior periods have been recast to conform to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variances reflect current quarter compared to the same quarter last year. All figures in this section are rounded</w:t>
      </w:r>
      <w:r>
        <w:rPr>
          <w:rFonts w:ascii="Times New Roman;Times;Serif" w:hAnsi="Times New Roman;Times;Serif"/>
          <w:b w:val="false"/>
          <w:i/>
          <w:caps w:val="false"/>
          <w:smallCaps w:val="false"/>
          <w:position w:val="7"/>
          <w:sz w:val="16"/>
          <w:sz w:val="20"/>
        </w:rPr>
        <w:t>12</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High-Level P&amp;L and Disaggregated Revenue Details:</w:t>
      </w:r>
    </w:p>
    <w:p>
      <w:pPr>
        <w:pStyle w:val="TextBody"/>
        <w:bidi w:val="0"/>
        <w:spacing w:before="0" w:after="0"/>
        <w:ind w:left="0" w:right="0" w:hanging="0"/>
        <w:jc w:val="left"/>
        <w:rPr>
          <w:caps w:val="false"/>
          <w:smallCaps w:val="false"/>
        </w:rPr>
      </w:pPr>
      <w:r>
        <w:rPr>
          <w:caps w:val="false"/>
          <w:smallCaps w:val="false"/>
        </w:rPr>
        <w:t>  </w:t>
      </w:r>
    </w:p>
    <w:tbl>
      <w:tblPr>
        <w:tblW w:w="7847" w:type="dxa"/>
        <w:jc w:val="left"/>
        <w:tblInd w:w="0" w:type="dxa"/>
        <w:tblLayout w:type="fixed"/>
        <w:tblCellMar>
          <w:top w:w="0" w:type="dxa"/>
          <w:left w:w="0" w:type="dxa"/>
          <w:bottom w:w="28" w:type="dxa"/>
          <w:right w:w="0" w:type="dxa"/>
        </w:tblCellMar>
      </w:tblPr>
      <w:tblGrid>
        <w:gridCol w:w="3980"/>
        <w:gridCol w:w="60"/>
        <w:gridCol w:w="98"/>
        <w:gridCol w:w="1046"/>
        <w:gridCol w:w="95"/>
        <w:gridCol w:w="60"/>
        <w:gridCol w:w="94"/>
        <w:gridCol w:w="1005"/>
        <w:gridCol w:w="95"/>
        <w:gridCol w:w="60"/>
        <w:gridCol w:w="98"/>
        <w:gridCol w:w="1046"/>
        <w:gridCol w:w="110"/>
      </w:tblGrid>
      <w:tr>
        <w:trPr/>
        <w:tc>
          <w:tcPr>
            <w:tcW w:w="398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US $ in millions</w:t>
            </w:r>
          </w:p>
        </w:tc>
        <w:tc>
          <w:tcPr>
            <w:tcW w:w="60" w:type="dxa"/>
            <w:tcBorders/>
            <w:tcMar>
              <w:bottom w:w="0" w:type="dxa"/>
            </w:tcMar>
            <w:vAlign w:val="center"/>
          </w:tcPr>
          <w:p>
            <w:pPr>
              <w:pStyle w:val="TableContents"/>
              <w:bidi w:val="0"/>
              <w:spacing w:before="0" w:after="283"/>
              <w:jc w:val="left"/>
              <w:rPr/>
            </w:pPr>
            <w:r>
              <w:rPr/>
              <w:t> </w:t>
            </w:r>
          </w:p>
        </w:tc>
        <w:tc>
          <w:tcPr>
            <w:tcW w:w="3697" w:type="dxa"/>
            <w:gridSpan w:val="10"/>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30-June-26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31-Mar-26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30-June-25</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1689"/>
        <w:gridCol w:w="60"/>
        <w:gridCol w:w="101"/>
        <w:gridCol w:w="1074"/>
        <w:gridCol w:w="95"/>
        <w:gridCol w:w="60"/>
        <w:gridCol w:w="114"/>
        <w:gridCol w:w="986"/>
        <w:gridCol w:w="95"/>
        <w:gridCol w:w="60"/>
        <w:gridCol w:w="71"/>
        <w:gridCol w:w="619"/>
        <w:gridCol w:w="95"/>
        <w:gridCol w:w="60"/>
        <w:gridCol w:w="93"/>
        <w:gridCol w:w="622"/>
        <w:gridCol w:w="95"/>
        <w:gridCol w:w="60"/>
        <w:gridCol w:w="109"/>
        <w:gridCol w:w="721"/>
        <w:gridCol w:w="95"/>
        <w:gridCol w:w="60"/>
        <w:gridCol w:w="136"/>
        <w:gridCol w:w="1174"/>
        <w:gridCol w:w="95"/>
        <w:gridCol w:w="60"/>
        <w:gridCol w:w="210"/>
        <w:gridCol w:w="1385"/>
        <w:gridCol w:w="111"/>
      </w:tblGrid>
      <w:tr>
        <w:trPr/>
        <w:tc>
          <w:tcPr>
            <w:tcW w:w="1689"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 in millions</w:t>
            </w:r>
          </w:p>
        </w:tc>
        <w:tc>
          <w:tcPr>
            <w:tcW w:w="60" w:type="dxa"/>
            <w:tcBorders/>
            <w:tcMar>
              <w:bottom w:w="0" w:type="dxa"/>
            </w:tcMar>
            <w:vAlign w:val="center"/>
          </w:tcPr>
          <w:p>
            <w:pPr>
              <w:pStyle w:val="TableContents"/>
              <w:bidi w:val="0"/>
              <w:spacing w:before="0" w:after="283"/>
              <w:jc w:val="left"/>
              <w:rPr/>
            </w:pPr>
            <w:r>
              <w:rPr/>
              <w:t> </w:t>
            </w:r>
          </w:p>
        </w:tc>
        <w:tc>
          <w:tcPr>
            <w:tcW w:w="834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 2026</w:t>
            </w:r>
          </w:p>
        </w:tc>
        <w:tc>
          <w:tcPr>
            <w:tcW w:w="111" w:type="dxa"/>
            <w:tcBorders/>
            <w:tcMar>
              <w:bottom w:w="0" w:type="dxa"/>
            </w:tcMar>
            <w:vAlign w:val="center"/>
          </w:tcPr>
          <w:p>
            <w:pPr>
              <w:pStyle w:val="TableContents"/>
              <w:bidi w:val="0"/>
              <w:spacing w:before="0" w:after="283"/>
              <w:jc w:val="left"/>
              <w:rPr/>
            </w:pPr>
            <w:r>
              <w:rPr/>
              <w:t> </w:t>
            </w:r>
          </w:p>
        </w:tc>
      </w:tr>
      <w:tr>
        <w:trPr/>
        <w:tc>
          <w:tcPr>
            <w:tcW w:w="168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Business line</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Self-mining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Co-mining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AI Cloud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Cloud hash</w:t>
              <w:br/>
              <w:t>rate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General</w:t>
              <w:br/>
              <w:t>hosting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Membership</w:t>
              <w:br/>
              <w:t>hosting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Sales of</w:t>
              <w:br/>
              <w:t>SEALMINERs</w:t>
              <w:br/>
              <w:t>and</w:t>
              <w:br/>
              <w:t>Accessories</w:t>
            </w:r>
          </w:p>
        </w:tc>
        <w:tc>
          <w:tcPr>
            <w:tcW w:w="111" w:type="dxa"/>
            <w:tcBorders/>
            <w:tcMar>
              <w:bottom w:w="0" w:type="dxa"/>
            </w:tcMar>
            <w:vAlign w:val="center"/>
          </w:tcPr>
          <w:p>
            <w:pPr>
              <w:pStyle w:val="TableContents"/>
              <w:bidi w:val="0"/>
              <w:spacing w:before="0" w:after="283"/>
              <w:jc w:val="left"/>
              <w:rPr/>
            </w:pPr>
            <w:r>
              <w:rPr/>
              <w:t> </w:t>
            </w:r>
          </w:p>
        </w:tc>
      </w:tr>
      <w:tr>
        <w:trPr/>
        <w:tc>
          <w:tcPr>
            <w:tcW w:w="1689"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1689"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61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6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16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Including: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6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Electricity cost in operating mining rigs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6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6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6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Depreciation and SBC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tcMar>
              <w:bottom w:w="0" w:type="dxa"/>
            </w:tcMar>
            <w:vAlign w:val="center"/>
          </w:tcPr>
          <w:p>
            <w:pPr>
              <w:pStyle w:val="TableContents"/>
              <w:bidi w:val="0"/>
              <w:spacing w:before="0" w:after="283"/>
              <w:ind w:left="0" w:right="0" w:hanging="360"/>
              <w:jc w:val="left"/>
              <w:rPr/>
            </w:pPr>
            <w:r>
              <w:rPr/>
              <w:t> </w:t>
            </w:r>
          </w:p>
        </w:tc>
      </w:tr>
      <w:tr>
        <w:trPr/>
        <w:tc>
          <w:tcPr>
            <w:tcW w:w="16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Cost of products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6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6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11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6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Other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1689"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6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62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11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689"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6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1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858" w:type="dxa"/>
        <w:jc w:val="left"/>
        <w:tblInd w:w="0" w:type="dxa"/>
        <w:tblLayout w:type="fixed"/>
        <w:tblCellMar>
          <w:top w:w="0" w:type="dxa"/>
          <w:left w:w="0" w:type="dxa"/>
          <w:bottom w:w="0" w:type="dxa"/>
          <w:right w:w="0" w:type="dxa"/>
        </w:tblCellMar>
      </w:tblPr>
      <w:tblGrid>
        <w:gridCol w:w="38"/>
        <w:gridCol w:w="23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w:t>
            </w:r>
          </w:p>
        </w:tc>
        <w:tc>
          <w:tcPr>
            <w:tcW w:w="35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Figures may not add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pPr>
      <w:r>
        <w:rPr/>
        <w:t> </w:t>
      </w:r>
    </w:p>
    <w:tbl>
      <w:tblPr>
        <w:tblW w:w="10205" w:type="dxa"/>
        <w:jc w:val="left"/>
        <w:tblInd w:w="0" w:type="dxa"/>
        <w:tblLayout w:type="fixed"/>
        <w:tblCellMar>
          <w:top w:w="0" w:type="dxa"/>
          <w:left w:w="0" w:type="dxa"/>
          <w:bottom w:w="30" w:type="dxa"/>
          <w:right w:w="0" w:type="dxa"/>
        </w:tblCellMar>
      </w:tblPr>
      <w:tblGrid>
        <w:gridCol w:w="2621"/>
        <w:gridCol w:w="60"/>
        <w:gridCol w:w="122"/>
        <w:gridCol w:w="1053"/>
        <w:gridCol w:w="95"/>
        <w:gridCol w:w="60"/>
        <w:gridCol w:w="106"/>
        <w:gridCol w:w="707"/>
        <w:gridCol w:w="95"/>
        <w:gridCol w:w="60"/>
        <w:gridCol w:w="365"/>
        <w:gridCol w:w="581"/>
        <w:gridCol w:w="60"/>
        <w:gridCol w:w="60"/>
        <w:gridCol w:w="109"/>
        <w:gridCol w:w="721"/>
        <w:gridCol w:w="95"/>
        <w:gridCol w:w="60"/>
        <w:gridCol w:w="136"/>
        <w:gridCol w:w="1174"/>
        <w:gridCol w:w="95"/>
        <w:gridCol w:w="60"/>
        <w:gridCol w:w="166"/>
        <w:gridCol w:w="1429"/>
        <w:gridCol w:w="115"/>
      </w:tblGrid>
      <w:tr>
        <w:trPr/>
        <w:tc>
          <w:tcPr>
            <w:tcW w:w="2621"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 in millions</w:t>
            </w:r>
          </w:p>
        </w:tc>
        <w:tc>
          <w:tcPr>
            <w:tcW w:w="60" w:type="dxa"/>
            <w:tcBorders/>
            <w:tcMar>
              <w:bottom w:w="0" w:type="dxa"/>
            </w:tcMar>
            <w:vAlign w:val="center"/>
          </w:tcPr>
          <w:p>
            <w:pPr>
              <w:pStyle w:val="TableContents"/>
              <w:bidi w:val="0"/>
              <w:spacing w:before="0" w:after="283"/>
              <w:jc w:val="left"/>
              <w:rPr/>
            </w:pPr>
            <w:r>
              <w:rPr/>
              <w:t> </w:t>
            </w:r>
          </w:p>
        </w:tc>
        <w:tc>
          <w:tcPr>
            <w:tcW w:w="7409" w:type="dxa"/>
            <w:gridSpan w:val="2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 2025</w:t>
            </w:r>
          </w:p>
        </w:tc>
        <w:tc>
          <w:tcPr>
            <w:tcW w:w="115" w:type="dxa"/>
            <w:tcBorders/>
            <w:tcMar>
              <w:bottom w:w="0" w:type="dxa"/>
            </w:tcMar>
            <w:vAlign w:val="center"/>
          </w:tcPr>
          <w:p>
            <w:pPr>
              <w:pStyle w:val="TableContents"/>
              <w:bidi w:val="0"/>
              <w:spacing w:before="0" w:after="283"/>
              <w:jc w:val="left"/>
              <w:rPr/>
            </w:pPr>
            <w:r>
              <w:rPr/>
              <w:t> </w:t>
            </w:r>
          </w:p>
        </w:tc>
      </w:tr>
      <w:tr>
        <w:trPr/>
        <w:tc>
          <w:tcPr>
            <w:tcW w:w="26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Business line</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Self-mining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AI Cloud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Cloud hash </w:t>
              <w:br/>
              <w:t>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General</w:t>
              <w:br/>
              <w:t>hosting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Membership</w:t>
              <w:br/>
              <w:t>hosting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Sales of</w:t>
              <w:br/>
              <w:t>SEALMINERs</w:t>
              <w:br/>
              <w:t>and</w:t>
              <w:br/>
              <w:t>Accessories</w:t>
            </w:r>
          </w:p>
        </w:tc>
        <w:tc>
          <w:tcPr>
            <w:tcW w:w="115" w:type="dxa"/>
            <w:tcBorders/>
            <w:tcMar>
              <w:bottom w:w="0" w:type="dxa"/>
            </w:tcMar>
            <w:vAlign w:val="center"/>
          </w:tcPr>
          <w:p>
            <w:pPr>
              <w:pStyle w:val="TableContents"/>
              <w:bidi w:val="0"/>
              <w:spacing w:before="0" w:after="283"/>
              <w:jc w:val="left"/>
              <w:rPr/>
            </w:pPr>
            <w:r>
              <w:rPr/>
              <w:t> </w:t>
            </w:r>
          </w:p>
        </w:tc>
      </w:tr>
      <w:tr>
        <w:trPr/>
        <w:tc>
          <w:tcPr>
            <w:tcW w:w="2621"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4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621"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429" w:type="dxa"/>
            <w:tcBorders/>
            <w:shd w:fill="FFFFFF" w:val="clear"/>
            <w:tcMar>
              <w:bottom w:w="0" w:type="dxa"/>
            </w:tcMar>
            <w:vAlign w:val="center"/>
          </w:tcPr>
          <w:p>
            <w:pPr>
              <w:pStyle w:val="TableContents"/>
              <w:bidi w:val="0"/>
              <w:spacing w:before="0" w:after="283"/>
              <w:jc w:val="righ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r>
      <w:tr>
        <w:trPr/>
        <w:tc>
          <w:tcPr>
            <w:tcW w:w="26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Including: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429" w:type="dxa"/>
            <w:tcBorders/>
            <w:shd w:fill="CCEEFF" w:val="clear"/>
            <w:tcMar>
              <w:bottom w:w="0" w:type="dxa"/>
            </w:tcMar>
            <w:vAlign w:val="center"/>
          </w:tcPr>
          <w:p>
            <w:pPr>
              <w:pStyle w:val="TableContents"/>
              <w:bidi w:val="0"/>
              <w:spacing w:before="0" w:after="283"/>
              <w:jc w:val="right"/>
              <w:rPr/>
            </w:pPr>
            <w:r>
              <w:rPr/>
              <w:t> </w:t>
            </w:r>
          </w:p>
        </w:tc>
        <w:tc>
          <w:tcPr>
            <w:tcW w:w="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2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Electricity cost in operating mining rigs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4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Depreciation and SBC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4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262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Cost of products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4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Other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4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21"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4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w:t>
            </w:r>
          </w:p>
        </w:tc>
        <w:tc>
          <w:tcPr>
            <w:tcW w:w="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21"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4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11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Q2 2026 Management’s Discussion and Analysis (compared to Q2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0"/>
        <w:gridCol w:w="9851"/>
      </w:tblGrid>
      <w:tr>
        <w:trPr/>
        <w:tc>
          <w:tcPr>
            <w:tcW w:w="6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w:t>
            </w:r>
            <w:r>
              <w:rPr>
                <w:rFonts w:ascii="Times New Roman;Times;Serif" w:hAnsi="Times New Roman;Times;Serif"/>
              </w:rPr>
              <w:t> was US$228.8 million vs. US$155.6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Self-mining revenue</w:t>
            </w:r>
            <w:r>
              <w:rPr>
                <w:rFonts w:ascii="Times New Roman;Times;Serif" w:hAnsi="Times New Roman;Times;Serif"/>
              </w:rPr>
              <w:t> was US$168.4 million vs. US$59.3 million, primarily due to the increase in the average self-mining hashrate for the quarter by 389.4% to 69.5EH/s from 14.2 EH/s in the prior year period, partially offset by a lower average Bitcoin price at which mining rewards were recognized.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Co-mining revenue </w:t>
            </w:r>
            <w:r>
              <w:rPr>
                <w:rFonts w:ascii="Times New Roman;Times;Serif" w:hAnsi="Times New Roman;Times;Serif"/>
              </w:rPr>
              <w:t>was US$25.0 million, primarily contributed by 11.4 EH/s average mining hashrate for the second quarter of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6"/>
        <w:gridCol w:w="9855"/>
      </w:tblGrid>
      <w:tr>
        <w:trPr/>
        <w:tc>
          <w:tcPr>
            <w:tcW w:w="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AI Cloud revenue </w:t>
            </w:r>
            <w:r>
              <w:rPr>
                <w:rFonts w:ascii="Times New Roman;Times;Serif" w:hAnsi="Times New Roman;Times;Serif"/>
              </w:rPr>
              <w:t>was US$14.0 million vs. US$1.3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2"/>
        <w:gridCol w:w="9824"/>
      </w:tblGrid>
      <w:tr>
        <w:trPr/>
        <w:tc>
          <w:tcPr>
            <w:tcW w:w="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Cloud Hash Rate</w:t>
            </w:r>
            <w:r>
              <w:rPr>
                <w:rFonts w:ascii="Times New Roman;Times;Serif" w:hAnsi="Times New Roman;Times;Serif"/>
              </w:rPr>
              <w:t> </w:t>
            </w:r>
            <w:r>
              <w:rPr>
                <w:rFonts w:ascii="Times New Roman;Times;Serif" w:hAnsi="Times New Roman;Times;Serif"/>
                <w:b/>
              </w:rPr>
              <w:t>revenue</w:t>
            </w:r>
            <w:r>
              <w:rPr>
                <w:rFonts w:ascii="Times New Roman;Times;Serif" w:hAnsi="Times New Roman;Times;Serif"/>
              </w:rPr>
              <w:t> was US$3.7 million vs. Nil.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2"/>
        <w:gridCol w:w="9885"/>
      </w:tblGrid>
      <w:tr>
        <w:trPr/>
        <w:tc>
          <w:tcPr>
            <w:tcW w:w="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General Hosting revenue </w:t>
            </w:r>
            <w:r>
              <w:rPr>
                <w:rFonts w:ascii="Times New Roman;Times;Serif" w:hAnsi="Times New Roman;Times;Serif"/>
              </w:rPr>
              <w:t>was US$2.8 million vs. US$9.3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Membership Hosting revenue </w:t>
            </w:r>
            <w:r>
              <w:rPr>
                <w:rFonts w:ascii="Times New Roman;Times;Serif" w:hAnsi="Times New Roman;Times;Serif"/>
              </w:rPr>
              <w:t>was US$12.8 million vs. US$14.6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SEALMINER sales revenue </w:t>
            </w:r>
            <w:r>
              <w:rPr>
                <w:rFonts w:ascii="Times New Roman;Times;Serif" w:hAnsi="Times New Roman;Times;Serif"/>
              </w:rPr>
              <w:t>was US$0.4 million vs. US$69.5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Cost of revenue </w:t>
            </w:r>
            <w:r>
              <w:rPr>
                <w:rFonts w:ascii="Times New Roman;Times;Serif" w:hAnsi="Times New Roman;Times;Serif"/>
              </w:rPr>
              <w:t>was US$237.3 million vs. US$143.6 million. The increase was primarily driven by higher electricity and depreciation costs as a significant number of new mining rigs came online and a slightly higher per unit power cost. Additionally, the staff cost, AI cloud service fee, and hosting fees for the Co-mining business increased with the growth of these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Gross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loss and Margin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loss </w:t>
            </w:r>
            <w:r>
              <w:rPr>
                <w:rFonts w:ascii="Times New Roman;Times;Serif" w:hAnsi="Times New Roman;Times;Serif"/>
              </w:rPr>
              <w:t>was US$8.5 million vs. gross profit US$12.0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margin</w:t>
            </w:r>
            <w:r>
              <w:rPr>
                <w:rFonts w:ascii="Times New Roman;Times;Serif" w:hAnsi="Times New Roman;Times;Serif"/>
              </w:rPr>
              <w:t> was -3.7% vs. 7.7%.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sum of the operating expenses below was US$72.6 million vs. US$42.2 million.</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Selling expenses were US$2.2 million vs. US$1.6 million. The increase was primarily due to a US$0.6 million increase in advertising expenses for our AI business and a US$0.3 million increase in staff costs, driven by an increase in headcount.</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 were US$34.3 million vs. US$20.0 million. The increase was primarily due to a US$6.8 million increase in staff costs, driven by an increase in general and administrative headcounts, and a US$4.8 million increase in consulting fees for general corporate management and compliance activities.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expenses were US$36.1 million vs. US$20.6 million, primarily due to a one-off incremental development expense and a US$3.2 million increase in staff costs driven by higher headcount, partially offset by a US$2.6 million decrease in share-based payment expenses.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Loss on change in fair value of digital assets held for operations was US$4.6 million vs. gain of US$40.7 million.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Q2 2026, we recorded other operating expenses of US$16.0 million, primarily comprising net loss of US$17.2 million on disposal of property and net gain of US$1.4 million on the change in fair value of digital assets-settled receivables and payables. In Q2 2025, we recorded other operating expenses of US$5.9 million, primarily comprising net loss of US$5.7 million on the change in fair value of digital assets-settled receivables and payables.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Non-operating items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interest expenses were US$31.1 million vs. US$9.6 million, primarily due to increased borrowing through the convertible senior notes and borrowing from a related party.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Q2 2026, we recorded US$14.8 million gain on change in fair value of digital assets loan. This is a fair value change of our loan in digital assets in connection with our loan from a related party mainly due to the fluctuations of Bitcoin price.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Q2 2026, we recorded gain on fair value changes of derivative instruments of US$13.0 million for our power purchase arrangements in Norway. In Q2 2025, we recorded loss of US$39.7 million for the convertible senior notes issued in August 2024 and Tether warrants, both of which were retired in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Q2 2026, we recorded other net gains of US$4.5 million, primarily comprising US$4.3 million of compensation received from insurance to recover the Massillon site fire damage loss. In Q2 2025, we recorded other net losses of US$17.3 million, primarily a US$16.2 million loss on extinguishment of the convertible senior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US$92.3 million vs. US$62.9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Loss (Non-GAAP)</w:t>
      </w:r>
      <w:r>
        <w:rPr>
          <w:rFonts w:ascii="Times New Roman;Times;Serif" w:hAnsi="Times New Roman;Times;Serif"/>
          <w:b/>
          <w:i/>
          <w:caps w:val="false"/>
          <w:smallCaps w:val="false"/>
          <w:position w:val="7"/>
          <w:sz w:val="16"/>
          <w:sz w:val="20"/>
        </w:rPr>
        <w:t>13</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loss was US$96.0 million vs. US$30.9 million. The change was primarily due to the higher energy and depreciation costs, and higher interest expense, partially offset by the year-over-year higher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(Non-GAAP)</w:t>
      </w:r>
      <w:r>
        <w:rPr>
          <w:rFonts w:ascii="Times New Roman;Times;Serif" w:hAnsi="Times New Roman;Times;Serif"/>
          <w:b/>
          <w:i/>
          <w:caps w:val="false"/>
          <w:smallCaps w:val="false"/>
          <w:position w:val="7"/>
          <w:sz w:val="16"/>
          <w:sz w:val="20"/>
        </w:rPr>
        <w:t>2</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was US$31.1 million vs. US$4.6 million. The year-over-year growth was primarily driven by significantly higher Self-mining and Co-mining hashrate as a result of the Company’s mass production and deployment of SEALMINERs, offset by higher operating expenses incurred.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operating activities was US$158.5 million, primarily driven by electricity costs from the mining business, general corporate overhead and interest expense.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investing activities was US$68.4 million, which included US$266.0 million of capital expenditures, of which US$150.0 million was the payments for the production of SEALMINERs used for Self-mining and Co-mining businesses and US$116.0 million was for datacenter infrastructure construction, GPU equipment procurement and tariffs and freight for mining rigs delivered to the datacenters, and US$195.5 million of proceeds from the disposal of digital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provided by financing activities was US$428.9 million, primarily driven by the net proceeds of a total US$517.3 million from our borrowings and ATM program, partially offset by US$90.0 million of repayments of 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w:t>
            </w:r>
          </w:p>
        </w:tc>
        <w:tc>
          <w:tcPr>
            <w:tcW w:w="9937" w:type="dxa"/>
            <w:tcBorders/>
            <w:vAlign w:val="center"/>
          </w:tcPr>
          <w:p>
            <w:pPr>
              <w:pStyle w:val="TableContents"/>
              <w:bidi w:val="0"/>
              <w:spacing w:before="0" w:after="283"/>
              <w:jc w:val="both"/>
              <w:rPr/>
            </w:pPr>
            <w:r>
              <w:rPr/>
              <w:t>“</w:t>
            </w:r>
            <w:r>
              <w:rPr>
                <w:rFonts w:ascii="Times New Roman;Times;Serif" w:hAnsi="Times New Roman;Times;Serif"/>
                <w:b/>
              </w:rPr>
              <w:t>Adjusted income (loss)”</w:t>
            </w:r>
            <w:r>
              <w:rPr>
                <w:rFonts w:ascii="Times New Roman;Times;Serif" w:hAnsi="Times New Roman;Times;Serif"/>
              </w:rPr>
              <w:t xml:space="preserve"> is defined as income (loss) adjusted to exclude share-based compensation expense, share of earnings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instruments, net gains (losses) on disposal of property, plant and equipment and other net gains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June 30, 2026 (compared to December 31, 2025)</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US$496.3 million in cash, cash equivalents and restricted cash, US$196.9 million in digital assets and digital assets receivables, and US$1.8 billion in borrowings.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US$295.2 million prepayments and other assets, decrease from US$723.0 million. The decrease was primarily driven by the delivery of raw materials and equipment procured for SEALMINERs mass production, upon which the related prepayments were realized as additions to property, plant and equipment, partially offset by new procurement prepayments made during the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sz w:val="20"/>
              </w:rPr>
              <w:t>Inventories decreased from US$252.0 million to nil</w:t>
            </w:r>
            <w:r>
              <w:rPr>
                <w:rFonts w:ascii="Times New Roman;Times;Serif" w:hAnsi="Times New Roman;Times;Serif"/>
              </w:rPr>
              <w:t xml:space="preserve">, </w:t>
            </w:r>
            <w:r>
              <w:rPr>
                <w:rFonts w:ascii="Times New Roman;Times;Serif" w:hAnsi="Times New Roman;Times;Serif"/>
                <w:sz w:val="20"/>
              </w:rPr>
              <w:t>as inventories, primarily wafers, chips, WIP, and finished SEALMINERs designated for the Company’s Self-mining and Co-mining businesses, were reclassified to property, plant and equipment for the Company’s own use.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US$2.1 billion in property, plant and equipment, up from US$1.1 billion. The increase was mainly due to the reclassification of inventories, primarily wafers, chips, WIP, and finished SEALMINERs designated for the Company’s Self-mining and Co-mining businesses, to property, plant and equipment, as well as additional miner materials received for the mass production and deployment of SEALMINERs, and the ongoing construction and expansion of the Company’s datacenters.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regarding the Company’s second quarter 2026 financial and operations results can be found on the SEC’s website https://sec.gov and the Company’s Investor Relations website https://ir.bitdeer.com.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AI and Bitcoin mining infrastructure.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amongst other countries. To learn more, please visit https://ir.bitdeer.com/ or follow Bitdeer on X @BitdeerOfficial and LinkedIn @ Bitdeer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GROUP UNAUDITED CONDENSED CONSOLIDATED BALANCE SHEETS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5"/>
        <w:gridCol w:w="60"/>
        <w:gridCol w:w="60"/>
        <w:gridCol w:w="980"/>
        <w:gridCol w:w="95"/>
        <w:gridCol w:w="60"/>
        <w:gridCol w:w="78"/>
        <w:gridCol w:w="1285"/>
        <w:gridCol w:w="82"/>
      </w:tblGrid>
      <w:tr>
        <w:trPr/>
        <w:tc>
          <w:tcPr>
            <w:tcW w:w="750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82" w:type="dxa"/>
            <w:tcBorders/>
            <w:vAlign w:val="center"/>
          </w:tcPr>
          <w:p>
            <w:pPr>
              <w:pStyle w:val="TableContents"/>
              <w:bidi w:val="0"/>
              <w:spacing w:before="0" w:after="283"/>
              <w:ind w:left="0" w:right="0" w:hanging="180"/>
              <w:jc w:val="left"/>
              <w:rPr/>
            </w:pPr>
            <w:r>
              <w:rPr/>
              <w:t> </w:t>
            </w:r>
          </w:p>
        </w:tc>
      </w:tr>
      <w:tr>
        <w:trPr/>
        <w:tc>
          <w:tcPr>
            <w:tcW w:w="7505"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 in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2" w:type="dxa"/>
            <w:tcBorders/>
            <w:vAlign w:val="center"/>
          </w:tcPr>
          <w:p>
            <w:pPr>
              <w:pStyle w:val="TableContents"/>
              <w:bidi w:val="0"/>
              <w:spacing w:before="0" w:after="283"/>
              <w:ind w:left="0" w:right="0" w:hanging="180"/>
              <w:jc w:val="left"/>
              <w:rPr/>
            </w:pPr>
            <w:r>
              <w:rPr/>
              <w:t> </w:t>
            </w:r>
          </w:p>
        </w:tc>
      </w:tr>
      <w:tr>
        <w:trPr/>
        <w:tc>
          <w:tcPr>
            <w:tcW w:w="75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75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149,352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22,366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85,488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 receivables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135,558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698,291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251,999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assets, 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1,389,058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investments,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104,725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1,086,275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assets,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2,599,969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1,398,853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3,446,433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2,787,911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119,818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54,964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13,355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64,391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long-term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long-term borrowings from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841,018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569,769</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63,255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947,183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borrowings from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246,831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98,468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11,973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1,502,604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1,370,123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2,343,622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1,939,892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(US$0.0000001 par value; 499,600,000,000 Class A ordinary shares and 200,000,000 Class V ordinary shares authorized; 227,382,323 Class A ordinary shares and 44,399,922 Class V ordinary shares issued and outstanding as of June 30, 2026, 191,152,162 Class A ordinary shares and 44,399,922 Class V ordinary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shares, at cost (nil as of June 30, 2026 and 3,364,711 Class A ordinary shares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(35,990</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1,888,766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1,418,111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(785,961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(534,156</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5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1,102,811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848,019</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5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3,446,433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2,787,911</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55"/>
        <w:gridCol w:w="2720"/>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 less than US$1,000</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GROUP UNAUDITED CONDENSED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2"/>
        <w:gridCol w:w="60"/>
        <w:gridCol w:w="88"/>
        <w:gridCol w:w="1298"/>
        <w:gridCol w:w="140"/>
        <w:gridCol w:w="88"/>
        <w:gridCol w:w="88"/>
        <w:gridCol w:w="1300"/>
        <w:gridCol w:w="95"/>
        <w:gridCol w:w="60"/>
        <w:gridCol w:w="71"/>
        <w:gridCol w:w="1044"/>
        <w:gridCol w:w="113"/>
        <w:gridCol w:w="71"/>
        <w:gridCol w:w="71"/>
        <w:gridCol w:w="1044"/>
        <w:gridCol w:w="102"/>
      </w:tblGrid>
      <w:tr>
        <w:trPr/>
        <w:tc>
          <w:tcPr>
            <w:tcW w:w="447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0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02" w:type="dxa"/>
            <w:tcBorders/>
            <w:vAlign w:val="center"/>
          </w:tcPr>
          <w:p>
            <w:pPr>
              <w:pStyle w:val="TableContents"/>
              <w:bidi w:val="0"/>
              <w:spacing w:before="0" w:after="283"/>
              <w:ind w:left="0" w:right="0" w:hanging="180"/>
              <w:jc w:val="left"/>
              <w:rPr/>
            </w:pPr>
            <w:r>
              <w:rPr/>
              <w:t> </w:t>
            </w:r>
          </w:p>
        </w:tc>
      </w:tr>
      <w:tr>
        <w:trPr/>
        <w:tc>
          <w:tcPr>
            <w:tcW w:w="4472"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 in thousands)</w:t>
            </w:r>
          </w:p>
        </w:tc>
        <w:tc>
          <w:tcPr>
            <w:tcW w:w="60" w:type="dxa"/>
            <w:tcBorders/>
            <w:vAlign w:val="center"/>
          </w:tcPr>
          <w:p>
            <w:pPr>
              <w:pStyle w:val="TableContents"/>
              <w:bidi w:val="0"/>
              <w:spacing w:before="0" w:after="283"/>
              <w:jc w:val="left"/>
              <w:rPr/>
            </w:pPr>
            <w:r>
              <w:rPr/>
              <w:t> </w:t>
            </w:r>
          </w:p>
        </w:tc>
        <w:tc>
          <w:tcPr>
            <w:tcW w:w="13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2" w:type="dxa"/>
            <w:tcBorders/>
            <w:vAlign w:val="center"/>
          </w:tcPr>
          <w:p>
            <w:pPr>
              <w:pStyle w:val="TableContents"/>
              <w:bidi w:val="0"/>
              <w:spacing w:before="0" w:after="283"/>
              <w:ind w:left="0" w:right="0" w:hanging="180"/>
              <w:jc w:val="left"/>
              <w:rPr/>
            </w:pPr>
            <w:r>
              <w:rPr/>
              <w:t> </w:t>
            </w:r>
          </w:p>
        </w:tc>
      </w:tr>
      <w:tr>
        <w:trPr/>
        <w:tc>
          <w:tcPr>
            <w:tcW w:w="4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228,784</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417,714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225,710</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(237,310</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(465,281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(217,699</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 (loss)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(8,526</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(47,567</w:t>
            </w:r>
          </w:p>
        </w:tc>
        <w:tc>
          <w:tcPr>
            <w:tcW w:w="11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8,011</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expenses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(34,314</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(58,906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(35,240</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(36,051</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(56,250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(79,572</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held for operations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(28,628</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19,398</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operating income (expenses)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(15,997</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(93,205</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(7,341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(160,726</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(101,838</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4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(101,731</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(208,293</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(93,827</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4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1,397</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(32,471</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(62,810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(19,063</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 receivable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(16,307</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loan</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14,846</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23,809</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12,988</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12,988</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165,352</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(1,722</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3,449</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net gains (losses)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4,493</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(12,649</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(18,776</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before taxation</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(102,355</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(60,076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(263,409</w:t>
            </w:r>
          </w:p>
        </w:tc>
        <w:tc>
          <w:tcPr>
            <w:tcW w:w="11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41,322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11,707</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15,121</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3,523</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of earnings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(92,278</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(62,937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(251,805</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1"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42,378</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per share (in US$)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(0.37</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(0.37</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number of shares outstanding (thousand shares)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246,307</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239,886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192,095</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246,307</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239,886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204,683</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(92,278</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(251,805</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42,378</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 for the period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44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(loss) for the period, net of tax</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(630</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w:t>
            </w:r>
          </w:p>
        </w:tc>
        <w:tc>
          <w:tcPr>
            <w:tcW w:w="11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149</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447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 (loss) for the period</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(92,908</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(62,954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(251,853</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1"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42,527</w:t>
            </w:r>
          </w:p>
        </w:tc>
        <w:tc>
          <w:tcPr>
            <w:tcW w:w="10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BITDEER GROUP UNAUDITED CONDENSED CONSOLIDATED STATEMENTS OF CASH FLOWS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616"/>
        <w:gridCol w:w="60"/>
        <w:gridCol w:w="88"/>
        <w:gridCol w:w="1294"/>
        <w:gridCol w:w="139"/>
        <w:gridCol w:w="88"/>
        <w:gridCol w:w="88"/>
        <w:gridCol w:w="1296"/>
        <w:gridCol w:w="95"/>
        <w:gridCol w:w="60"/>
        <w:gridCol w:w="67"/>
        <w:gridCol w:w="989"/>
        <w:gridCol w:w="107"/>
        <w:gridCol w:w="67"/>
        <w:gridCol w:w="67"/>
        <w:gridCol w:w="989"/>
        <w:gridCol w:w="95"/>
      </w:tblGrid>
      <w:tr>
        <w:trPr/>
        <w:tc>
          <w:tcPr>
            <w:tcW w:w="461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9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95" w:type="dxa"/>
            <w:tcBorders/>
            <w:vAlign w:val="center"/>
          </w:tcPr>
          <w:p>
            <w:pPr>
              <w:pStyle w:val="TableContents"/>
              <w:bidi w:val="0"/>
              <w:spacing w:before="0" w:after="283"/>
              <w:ind w:left="0" w:right="0" w:hanging="180"/>
              <w:jc w:val="left"/>
              <w:rPr/>
            </w:pPr>
            <w:r>
              <w:rPr/>
              <w:t> </w:t>
            </w:r>
          </w:p>
        </w:tc>
      </w:tr>
      <w:tr>
        <w:trPr/>
        <w:tc>
          <w:tcPr>
            <w:tcW w:w="4616"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 in thousands)</w:t>
            </w:r>
          </w:p>
        </w:tc>
        <w:tc>
          <w:tcPr>
            <w:tcW w:w="60" w:type="dxa"/>
            <w:tcBorders/>
            <w:vAlign w:val="center"/>
          </w:tcPr>
          <w:p>
            <w:pPr>
              <w:pStyle w:val="TableContents"/>
              <w:bidi w:val="0"/>
              <w:spacing w:before="0" w:after="283"/>
              <w:jc w:val="left"/>
              <w:rPr/>
            </w:pPr>
            <w:r>
              <w:rPr/>
              <w:t> </w:t>
            </w:r>
          </w:p>
        </w:tc>
        <w:tc>
          <w:tcPr>
            <w:tcW w:w="13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3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ind w:left="0" w:right="0" w:hanging="180"/>
              <w:jc w:val="left"/>
              <w:rPr/>
            </w:pPr>
            <w:r>
              <w:rPr/>
              <w:t> </w:t>
            </w:r>
          </w:p>
        </w:tc>
      </w:tr>
      <w:tr>
        <w:trPr/>
        <w:tc>
          <w:tcPr>
            <w:tcW w:w="46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2"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(158,523</w:t>
            </w:r>
          </w:p>
        </w:tc>
        <w:tc>
          <w:tcPr>
            <w:tcW w:w="13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(336,752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(505,417</w:t>
            </w:r>
          </w:p>
        </w:tc>
        <w:tc>
          <w:tcPr>
            <w:tcW w:w="10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(622,025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6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plant and equipment and intangible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(265,994</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(359,740</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(157,205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long-term investments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short-term investments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1,688</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(18,159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digital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195,549</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402,392</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112,351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the site and gas-fired power project in Alberta, Canada</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(68,431</w:t>
            </w:r>
          </w:p>
        </w:tc>
        <w:tc>
          <w:tcPr>
            <w:tcW w:w="13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(12,623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44,840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(86,226</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6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borrowings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26,594</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borrowings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(26,008</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from a related party</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210,000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borrowings to a related party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(149,000</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(7,083</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share-based awards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2,431</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2,501</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for exercise of share warrant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ordinary shares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463,751</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491,934</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121,837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costs for the issuance of ordinary shares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(7,011</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(7,433</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of ordinary shares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1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(30,010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convertible senior notes, net of transaction costs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363,625</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363,192</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made in connection with the extinguishment of convertible senior notes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(93,046</w:t>
            </w:r>
          </w:p>
        </w:tc>
        <w:tc>
          <w:tcPr>
            <w:tcW w:w="1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(33,783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zero-strike call option in connection with convertible senior notes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(33,713</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(129,607</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428,880</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433,441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781,454</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530,245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(3,332</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(2,466</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198,594</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318,411</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(174,725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at the beginning of the period</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297,694</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177,877</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493,626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496,288</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318,901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496,288</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318,901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material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6" w:type="dxa"/>
            <w:gridSpan w:val="2"/>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56"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 and leasehold land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5,625</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5,625</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Prepayments realized as additions to property, plant and equipment and intangible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215,977</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208,893</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 assumed in connection with acquisition of property, plant and equipment and intangible assets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16,871</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15,753</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Transfer of inventory to property, plant and equipment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613,042</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796,930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146,788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Cancellation of repurchased treasury shares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35,990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29,967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Class A ordinary shares in connection with conversion of convertible senior notes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112,951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 from a related party in digital assets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106,922</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316,553</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borrowings from a related party in digital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142,351</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242,444</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placed as collateral for borrowings from a related party</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105,861</w:t>
            </w:r>
          </w:p>
        </w:tc>
        <w:tc>
          <w:tcPr>
            <w:tcW w:w="13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357,600</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6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Return of digital assets placed as collateral for borrowings from a related party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153,500</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314,681</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Non-GAAP Financial Measures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Company’s business, the Company considers and uses non-GAAP measures, adjusted EBITDA and adjusted income (loss), as supplemental measures to review and assess its operating performance. The Company defines adjusted EBITDA as earnings before interest, taxes, depreciation and amortization, further adjusted to exclude share-based compensation expense, share of earnings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instruments, net gains (losses) on disposal of property, plant and equipment and other net gains (losses), and defines adjusted income (loss) as income (loss) adjusted to exclude share-based compensation expense, share of earnings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instruments, net gains (losses) on disposal of property, plant and equipment and other net gains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these non-GAAP financial measures because they are used by its management to evaluate its operating performance and formulate business plans. The Company also believes that the use of these non-GAAP measures facilitate investors’ assessment of its operating performance. These measures are not necessarily comparable to similarly titled measures used by other companies. As a result, investors should not consider these measures in isolation from, or as a substitute analysis for, the Company’s loss for the periods, as determined in accordance with GAAP. The Company compensates for these limitations by reconciling these non-GAAP financial measures to the nearest GAAP performance measure, all of which should be considered when evaluating its performance. The Company encourages investors to review its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income (loss) for the relevant period to adjusted EBITDA and adjusted loss,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GROUP UNAUDITED NON-GAAP ADJUSTED EBITDA AND ADJUSTED INCOME (LOSS) RECONCILIATION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5"/>
        <w:gridCol w:w="60"/>
        <w:gridCol w:w="97"/>
        <w:gridCol w:w="1315"/>
        <w:gridCol w:w="155"/>
        <w:gridCol w:w="97"/>
        <w:gridCol w:w="97"/>
        <w:gridCol w:w="1244"/>
        <w:gridCol w:w="95"/>
        <w:gridCol w:w="60"/>
        <w:gridCol w:w="72"/>
        <w:gridCol w:w="1056"/>
        <w:gridCol w:w="114"/>
        <w:gridCol w:w="72"/>
        <w:gridCol w:w="72"/>
        <w:gridCol w:w="1056"/>
        <w:gridCol w:w="118"/>
      </w:tblGrid>
      <w:tr>
        <w:trPr/>
        <w:tc>
          <w:tcPr>
            <w:tcW w:w="44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8" w:type="dxa"/>
            <w:tcBorders/>
            <w:vAlign w:val="center"/>
          </w:tcPr>
          <w:p>
            <w:pPr>
              <w:pStyle w:val="TableContents"/>
              <w:bidi w:val="0"/>
              <w:spacing w:before="0" w:after="283"/>
              <w:ind w:left="0" w:right="0" w:hanging="180"/>
              <w:jc w:val="left"/>
              <w:rPr/>
            </w:pPr>
            <w:r>
              <w:rPr/>
              <w:t> </w:t>
            </w:r>
          </w:p>
        </w:tc>
      </w:tr>
      <w:tr>
        <w:trPr/>
        <w:tc>
          <w:tcPr>
            <w:tcW w:w="4425"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 in thousands)</w:t>
            </w:r>
          </w:p>
        </w:tc>
        <w:tc>
          <w:tcPr>
            <w:tcW w:w="60" w:type="dxa"/>
            <w:tcBorders/>
            <w:vAlign w:val="center"/>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8" w:type="dxa"/>
            <w:tcBorders/>
            <w:vAlign w:val="center"/>
          </w:tcPr>
          <w:p>
            <w:pPr>
              <w:pStyle w:val="TableContents"/>
              <w:bidi w:val="0"/>
              <w:spacing w:before="0" w:after="283"/>
              <w:ind w:left="0" w:right="0" w:hanging="180"/>
              <w:jc w:val="left"/>
              <w:rPr/>
            </w:pPr>
            <w:r>
              <w:rPr/>
              <w:t> </w:t>
            </w:r>
          </w:p>
        </w:tc>
      </w:tr>
      <w:tr>
        <w:trPr/>
        <w:tc>
          <w:tcPr>
            <w:tcW w:w="4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pPr>
            <w:r>
              <w:rPr/>
              <w:t> </w:t>
            </w:r>
          </w:p>
        </w:tc>
        <w:tc>
          <w:tcPr>
            <w:tcW w:w="118" w:type="dxa"/>
            <w:tcBorders/>
            <w:vAlign w:val="center"/>
          </w:tcPr>
          <w:p>
            <w:pPr>
              <w:pStyle w:val="TableContents"/>
              <w:bidi w:val="0"/>
              <w:spacing w:before="0" w:after="283"/>
              <w:ind w:left="0" w:right="0" w:hanging="180"/>
              <w:jc w:val="left"/>
              <w:rPr/>
            </w:pPr>
            <w:r>
              <w:rPr/>
              <w:t> </w:t>
            </w:r>
          </w:p>
        </w:tc>
      </w:tr>
      <w:tr>
        <w:trPr/>
        <w:tc>
          <w:tcPr>
            <w:tcW w:w="44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Adjusted EBITDA</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(92,278</w:t>
            </w:r>
          </w:p>
        </w:tc>
        <w:tc>
          <w:tcPr>
            <w:tcW w:w="1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(62,937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(251,805</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42,378</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pPr>
            <w:r>
              <w:rPr>
                <w:rFonts w:ascii="Times New Roman;Times;Serif" w:hAnsi="Times New Roman;Times;Serif"/>
                <w:b/>
                <w:i/>
              </w:rPr>
              <w:t>Add</w:t>
            </w:r>
            <w:r>
              <w:rPr>
                <w:rFonts w:eastAsia="Times New Roman;Times;Serif"/>
                <w:b/>
                <w:i/>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107,729</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202,596</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44,952</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(11,707</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(15,121</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(3,523</w:t>
            </w:r>
          </w:p>
        </w:tc>
        <w:tc>
          <w:tcPr>
            <w:tcW w:w="118"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(1,397</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w:t>
            </w:r>
          </w:p>
        </w:tc>
        <w:tc>
          <w:tcPr>
            <w:tcW w:w="11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32,471</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62,810</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19,063</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6,398</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13,527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20,574</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of (earnings)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held for operations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28,628</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(19,398</w:t>
            </w:r>
          </w:p>
        </w:tc>
        <w:tc>
          <w:tcPr>
            <w:tcW w:w="11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assets-settled receivables and payables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(6,468</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3,190</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 receivable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loan</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(14,846</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instruments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(12,988</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(12,988</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(165,352</w:t>
            </w:r>
          </w:p>
        </w:tc>
        <w:tc>
          <w:tcPr>
            <w:tcW w:w="11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losses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17,240</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17,870</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Othernet </w:t>
            </w:r>
            <w:r>
              <w:rPr>
                <w:rFonts w:ascii="Times New Roman;Times;Serif" w:hAnsi="Times New Roman;Times;Serif"/>
                <w:sz w:val="20"/>
              </w:rPr>
              <w:t>(gains) losses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(4,493</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12,649</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18,776</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of Adjusted EBITDA</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31,105</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45,493</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(40,992</w:t>
            </w:r>
          </w:p>
        </w:tc>
        <w:tc>
          <w:tcPr>
            <w:tcW w:w="118"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4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Adjusted Loss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(92,278</w:t>
            </w:r>
          </w:p>
        </w:tc>
        <w:tc>
          <w:tcPr>
            <w:tcW w:w="1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(62,937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(251,805</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42,378</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pPr>
            <w:r>
              <w:rPr>
                <w:rFonts w:ascii="Times New Roman;Times;Serif" w:hAnsi="Times New Roman;Times;Serif"/>
                <w:b/>
                <w:i/>
              </w:rPr>
              <w:t>Add</w:t>
            </w:r>
            <w:r>
              <w:rPr>
                <w:rFonts w:eastAsia="Times New Roman;Times;Serif"/>
                <w:b/>
                <w:i/>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6,398</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13,527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20,574</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of (earnings)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held for operations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28,628</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(19,398</w:t>
            </w:r>
          </w:p>
        </w:tc>
        <w:tc>
          <w:tcPr>
            <w:tcW w:w="11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assets-settled receivables and payables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(6,468</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3,190</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 receivable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 loan</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(14,846</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instruments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(12,988</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(12,988</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(165,352</w:t>
            </w:r>
          </w:p>
        </w:tc>
        <w:tc>
          <w:tcPr>
            <w:tcW w:w="11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losses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17,240</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17,870</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18" w:type="dxa"/>
            <w:tcBorders/>
            <w:shd w:fill="FFFFFF" w:val="clear"/>
            <w:vAlign w:val="center"/>
          </w:tcPr>
          <w:p>
            <w:pPr>
              <w:pStyle w:val="TableContents"/>
              <w:bidi w:val="0"/>
              <w:spacing w:before="0" w:after="283"/>
              <w:ind w:left="0" w:right="0" w:hanging="180"/>
              <w:jc w:val="left"/>
              <w:rPr/>
            </w:pPr>
            <w:r>
              <w:rPr/>
              <w:t> </w:t>
            </w:r>
          </w:p>
        </w:tc>
      </w:tr>
      <w:tr>
        <w:trPr/>
        <w:tc>
          <w:tcPr>
            <w:tcW w:w="4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net (gains) losses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(4,493</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12,649</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18,776</w:t>
            </w:r>
          </w:p>
        </w:tc>
        <w:tc>
          <w:tcPr>
            <w:tcW w:w="118" w:type="dxa"/>
            <w:tcBorders/>
            <w:shd w:fill="CCEEFF" w:val="clear"/>
            <w:vAlign w:val="center"/>
          </w:tcPr>
          <w:p>
            <w:pPr>
              <w:pStyle w:val="TableContents"/>
              <w:bidi w:val="0"/>
              <w:spacing w:before="0" w:after="283"/>
              <w:ind w:left="0" w:right="0" w:hanging="180"/>
              <w:jc w:val="left"/>
              <w:rPr/>
            </w:pPr>
            <w:r>
              <w:rPr/>
              <w:t> </w:t>
            </w:r>
          </w:p>
        </w:tc>
      </w:tr>
      <w:tr>
        <w:trPr/>
        <w:tc>
          <w:tcPr>
            <w:tcW w:w="44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of Adjusted Loss</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(95,991</w:t>
            </w:r>
          </w:p>
        </w:tc>
        <w:tc>
          <w:tcPr>
            <w:tcW w:w="1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(30,919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(202,572</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(97,297</w:t>
            </w:r>
          </w:p>
        </w:tc>
        <w:tc>
          <w:tcPr>
            <w:tcW w:w="11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 Dahya, Head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tesh.dahya@bitdeer.com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Elev8 New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Starman, MBA</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bitdeer@elev8newmedia.com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99123/000114036124021346/ny20023745x7_posam.htm" TargetMode="External"/><Relationship Id="rId3" Type="http://schemas.openxmlformats.org/officeDocument/2006/relationships/hyperlink" Target="http://www.sec.gov/ix?doc=/Archives/edgar/data/1899123/000114036124013887/ny20023745x1_f3.htm" TargetMode="External"/><Relationship Id="rId4" Type="http://schemas.openxmlformats.org/officeDocument/2006/relationships/hyperlink" Target="http://www.sec.gov/ix?doc=/Archives/edgar/data/1899123/000114036124013888/ny20023745x3_f3.htm" TargetMode="External"/><Relationship Id="rId5" Type="http://schemas.openxmlformats.org/officeDocument/2006/relationships/hyperlink" Target="http://www.sec.gov/Archives/edgar/data/1899123/000114036124029276/ny20030771x1_f3.htm" TargetMode="External"/><Relationship Id="rId6" Type="http://schemas.openxmlformats.org/officeDocument/2006/relationships/hyperlink" Target="http://www.sec.gov/Archives/edgar/data/1899123/000114036124049031/ny20039746x1_f3.htm" TargetMode="External"/><Relationship Id="rId7" Type="http://schemas.openxmlformats.org/officeDocument/2006/relationships/hyperlink" Target="http://www.sec.gov/Archives/edgar/data/1899123/000114036123031108/brhc20054618_s8.htm" TargetMode="External"/><Relationship Id="rId8" Type="http://schemas.openxmlformats.org/officeDocument/2006/relationships/hyperlink" Target="http://www.sec.gov/Archives/edgar/data/1899123/000114036123051570/ef20013751_s8.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5343</Words>
  <Characters>29303</Characters>
  <CharactersWithSpaces>35905</CharactersWithSpaces>
  <Paragraphs>4006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