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Tether Global Investments Fund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Final Av. La Revolucion, Edif. Centro, Corporativo Presidente Plaza, Nivel 12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Salvador, H3,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4420 4621 1793</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Daniel Woodard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Schulte LLP, One Vanderbilt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547-5400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Tether Global Investments Fund, S.I.C.A.F., S.A.</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302"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in relation to Items 8, 10 and 11: Includes 23,773,987 Class A ordinary shares, par value $0.0000001 per share ("Class A Shares") of Bitdeer Technologies Group held by Tether Investments, S.A. de C.V., a wholly owned subsidiary of Tether Global Investments Fund, S.I.C.A.F., S.A. and 13,955,523 Class A Shares held by Tether</w:t>
      </w:r>
    </w:p>
    <w:p>
      <w:pPr>
        <w:spacing w:after="0" w:line="1" w:lineRule="exact"/>
        <w:rPr>
          <w:sz w:val="20"/>
          <w:szCs w:val="20"/>
          <w:color w:val="auto"/>
        </w:rPr>
      </w:pPr>
    </w:p>
    <w:p>
      <w:pPr>
        <w:sectPr>
          <w:pgSz w:w="11900" w:h="16838" w:orient="portrait"/>
          <w:cols w:equalWidth="0" w:num="2">
            <w:col w:w="820" w:space="100"/>
            <w:col w:w="10320"/>
          </w:cols>
          <w:pgMar w:left="320" w:top="111" w:right="339" w:bottom="302"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International, S.A. de C.V., a wholly owned subsidiary of Tether Global Investments Fund, S.I.C.A.F., S.A. Note in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relation to Item 13: This percentage is calculated based upon 191,152,162 Class A Shares outstanding on December</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31, 2025, as reported in the Issuer's Annual Report of Form 20-F filed with the Securities and Exchange Commission on April 30, 2026.</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2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1" w:right="339" w:bottom="302" w:gutter="0" w:footer="0" w:header="0"/>
          <w:type w:val="continuous"/>
        </w:sectPr>
      </w:pPr>
    </w:p>
    <w:bookmarkStart w:id="2" w:name="page3"/>
    <w:bookmarkEnd w:id="2"/>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23,773,987.00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23,773,987.00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23,773,987.00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12.4 %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Note in relation to Item 13: This percentage is calculated based upon 191,152,162 Class A Shares outstanding</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on December 31, 2025, as reported in the Issuer's Annual Report of Form 20-F filed with the Securities and</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80"/>
              <w:spacing w:after="0" w:line="240" w:lineRule="exact"/>
              <w:rPr>
                <w:sz w:val="20"/>
                <w:szCs w:val="20"/>
                <w:color w:val="auto"/>
              </w:rPr>
            </w:pPr>
            <w:r>
              <w:rPr>
                <w:rFonts w:ascii="Times New Roman" w:cs="Times New Roman" w:eastAsia="Times New Roman" w:hAnsi="Times New Roman"/>
                <w:sz w:val="22"/>
                <w:szCs w:val="22"/>
                <w:color w:val="auto"/>
              </w:rPr>
              <w:t>Exchange Commission on April 30,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International, S.A. de C.V.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3" w:name="page4"/>
    <w:bookmarkEnd w:id="3"/>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4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13,955,523.00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13,955,523.00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13,955,523.00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7.3 %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Note in relation to Item 13: This percentage is calculated based upon 191,152,162 Class A Shares outstanding</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on December 31, 2025, as reported in the Issuer's Annual Report of Form 20-F filed with the Securities and</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80"/>
              <w:spacing w:after="0" w:line="240" w:lineRule="exact"/>
              <w:rPr>
                <w:sz w:val="20"/>
                <w:szCs w:val="20"/>
                <w:color w:val="auto"/>
              </w:rPr>
            </w:pPr>
            <w:r>
              <w:rPr>
                <w:rFonts w:ascii="Times New Roman" w:cs="Times New Roman" w:eastAsia="Times New Roman" w:hAnsi="Times New Roman"/>
                <w:sz w:val="22"/>
                <w:szCs w:val="22"/>
                <w:color w:val="auto"/>
              </w:rPr>
              <w:t>Exchange Commission on April 30,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-1652905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37,729,510.00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19.7 %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and 11: Includes 23,773,987 Class A Shares held by Tether Investments, S.A. de C.V., a</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wholly owned subsidiary of Tether Global Investments Fund, S.I.C.A.F., S.A. and 13,955,523 Class A Shares held by</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Tether International, S.A. de C.V., a wholly owned subsidiary of Tether Global Investments Fund, S.I.C.A.F., S.A. Mr.</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Devasini has a greater than 50% voting interest in Tether Global Investments Fund, S.I.C.A.F., S.A. The reporting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person disclaims beneficial ownership of these shares except to the extent of the reporting person's pecuniary interest.</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Note in relation to Item 13: This percentage is calculated based upon 191,152,162 Class A Shares outstanding on December 31, 2025, as reported in the Issuer's Annual Report of Form 20-F filed with the Securities and Exchange Commission on April 30,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$0.0000001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BITDEER TECHNOLOGIES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08 Kallang Avenue, Aperia Tower 1, #09-03/04, Singapore, SINGAPORE , 339509.</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amends the Schedule 13D of Tether Holdings Limited, a British Virgin Islands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business company, Tether International Limited, a British Virgin Islands business company, Ludovicus Jan Van 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Velde and Giancarlo Devasini that was originally filed with the Securities and Exchange Commission on June 6, 2024, as amended by Amendment No. 1 filed on August 8, 2024, Amendment No. 2 filed on September 3, 2024, Amendment No. 3 filed on November 7, 2024, Amendment No. 4 filed on January 22, 2025, Amendment No. 5 filed on March 17, 2025, Amendment No. 6 filed on April 8, 2025, Amendment No. 7 filed on April 15, 2025, Amendment No. 8 filed on April 23, 2025, Amendment No. 9 filed on November 10, 2025, Amendment No. 10 filed on November 25, 2025 and Amendment No. 11 filed on February 20, 2026 (as amended, the "Schedule 13D") with respect to the Class A ordinary shares, par value $0.0000001 per share ("Class A Shares") of Bitdeer Technologies Group, an exempted company incorporated in the Cayman Islands (the "Issuer"). This amendment to the Schedule 13D is being filed by Tether Global Investments Fund, S.I.C.A.F., S.A. (f/k/a Tether Holdings, S.A. de C.V. (and Tether Holdings Limited), an El Salvador entity, Tether Investments, S.A. de C.V. (f/k/a Tether Investments Limited), an El Salvador entity ("Tether Investments"), Tether International, S.A. de C.V., an El Salvador entity, and Giancarlo Devasini (collectively, the "Reporting Persons") and constitutes Amendment No.12 to the Schedule 13D. Capitalized terms used but not defined herein have the meanings given to such terms in the Schedule 13D. Except as set forth</w:t>
      </w:r>
    </w:p>
    <w:p>
      <w:pPr>
        <w:spacing w:after="0" w:line="2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herein, the Schedule 13D is unmodified.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00"/>
        <w:spacing w:after="0" w:line="244" w:lineRule="auto"/>
        <w:rPr>
          <w:sz w:val="20"/>
          <w:szCs w:val="20"/>
          <w:color w:val="auto"/>
        </w:rPr>
      </w:pPr>
      <w:r>
        <w:rPr>
          <w:rFonts w:ascii="Times New Roman" w:cs="Times New Roman" w:eastAsia="Times New Roman" w:hAnsi="Times New Roman"/>
          <w:sz w:val="22"/>
          <w:szCs w:val="22"/>
          <w:color w:val="auto"/>
        </w:rPr>
        <w:t>Effective on June 12, 2026, Tether Investments transferred 13,955,523 Class A Shares to Tether International, S.A. de C.V. (the "Transfer"). The Transfer resulted in no change in the aggregate number of Class A Shares beneficially owned by the Reporting Persons.</w:t>
      </w:r>
    </w:p>
    <w:p>
      <w:pPr>
        <w:spacing w:after="0" w:line="1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beneficially own an aggregate of 37,729,510 of the Issuer's Class A Shares, representing</w:t>
      </w:r>
    </w:p>
    <w:p>
      <w:pPr>
        <w:sectPr>
          <w:pgSz w:w="11900" w:h="16838" w:orient="portrait"/>
          <w:cols w:equalWidth="0" w:num="1">
            <w:col w:w="11240"/>
          </w:cols>
          <w:pgMar w:left="320" w:top="102" w:right="339" w:bottom="0" w:gutter="0" w:footer="0" w:header="0"/>
        </w:sectPr>
      </w:pPr>
    </w:p>
    <w:bookmarkStart w:id="5" w:name="page6"/>
    <w:bookmarkEnd w:id="5"/>
    <w:p>
      <w:pPr>
        <w:ind w:left="920" w:right="220"/>
        <w:spacing w:after="0" w:line="244" w:lineRule="auto"/>
        <w:rPr>
          <w:sz w:val="20"/>
          <w:szCs w:val="20"/>
          <w:color w:val="auto"/>
        </w:rPr>
      </w:pPr>
      <w:r>
        <w:rPr>
          <w:rFonts w:ascii="Times New Roman" w:cs="Times New Roman" w:eastAsia="Times New Roman" w:hAnsi="Times New Roman"/>
          <w:sz w:val="22"/>
          <w:szCs w:val="22"/>
          <w:color w:val="auto"/>
        </w:rPr>
        <w:t>19.7% of the outstanding Class A Shares. This percentage is calculated based upon 191,152,162 Class A Shares outstanding on December 31, 2025, as reported in the Issuer's Annual Report of Form 20-F filed with the Securities and Exchange Commission on April 30, 2026.</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Tether Global Investments Fund, S.I.C.A.F., S.A. and Giancarlo Devasini each have shared voting and dispositive</w:t>
      </w:r>
    </w:p>
    <w:p>
      <w:pPr>
        <w:spacing w:after="0" w:line="14" w:lineRule="exact"/>
        <w:rPr>
          <w:sz w:val="20"/>
          <w:szCs w:val="20"/>
          <w:color w:val="auto"/>
        </w:rPr>
      </w:pPr>
    </w:p>
    <w:p>
      <w:pPr>
        <w:ind w:left="920" w:right="20" w:hanging="912"/>
        <w:spacing w:after="0" w:line="184" w:lineRule="auto"/>
        <w:tabs>
          <w:tab w:leader="none" w:pos="92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power with respect to 37,729,510 of the Issuer's Class A Shares. Tether Investments, S.A. de C.V. has shared voting and dispositive power with respect to 23,773,987 of the Issuer's Class A Shares. Tether International, S.A. de C.V. has shared voting and dispositive power with respect to 13,955,523 of the Issuer's Class A Shares.</w:t>
      </w:r>
    </w:p>
    <w:p>
      <w:pPr>
        <w:spacing w:after="0" w:line="18" w:lineRule="exact"/>
        <w:rPr>
          <w:rFonts w:ascii="Times New Roman" w:cs="Times New Roman" w:eastAsia="Times New Roman" w:hAnsi="Times New Roman"/>
          <w:sz w:val="42"/>
          <w:szCs w:val="42"/>
          <w:color w:val="auto"/>
          <w:vertAlign w:val="subscript"/>
        </w:rPr>
      </w:pPr>
    </w:p>
    <w:p>
      <w:pPr>
        <w:ind w:left="920" w:right="66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Schedule B sets forth the transactions in the Class A Shares (other than the Transfer) effected by the Reporting Persons in the last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Schedule A - Executive Officers and Directors Schedule B - Transactions in Class A Shares Exhibit 1 - Agreement of filing persons relating to filing of joint statement per Rule 13d-1(k).</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Tether Global Investments Fund, S.I.C.A.F., S.A.</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Omar Rossi</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Omar Rossi, Sole Administrator</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Giancarlo Devasini, Sole Administrator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Tether International, S.A. de C.V.</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Giancarlo Devasini, Sole Administrator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Giancarlo Devasini, individually</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ectPr>
          <w:pgSz w:w="11900" w:h="16838" w:orient="portrait"/>
          <w:cols w:equalWidth="0" w:num="1">
            <w:col w:w="11140"/>
          </w:cols>
          <w:pgMar w:left="360" w:top="11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sets forth the name, country of citizenship, position and principal occupation of each executive officer and member of the board of directors of Tether Global Investments Fund, S.I.C.A.F., S.A., Tether International, S.A. de C.V., and Tether Investments, S.A. de C.V. Except as indicated below, none of the persons listed below has been convicted of a crime (other than traffic violations or similar misdemeanors) or been subject to proceedings pertaining to violations of securities laws within the past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Global Investments Fund, S.I.C.A.F., S.A.</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60" w:type="dxa"/>
            <w:vAlign w:val="bottom"/>
            <w:tcBorders>
              <w:top w:val="single" w:sz="8" w:color="auto"/>
              <w:left w:val="single" w:sz="8" w:color="auto"/>
            </w:tcBorders>
          </w:tcPr>
          <w:p>
            <w:pPr>
              <w:spacing w:after="0"/>
              <w:rPr>
                <w:sz w:val="24"/>
                <w:szCs w:val="24"/>
                <w:color w:val="auto"/>
              </w:rPr>
            </w:pPr>
          </w:p>
        </w:tc>
        <w:tc>
          <w:tcPr>
            <w:tcW w:w="18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840" w:type="dxa"/>
            <w:vAlign w:val="bottom"/>
            <w:tcBorders>
              <w:top w:val="single" w:sz="8" w:color="auto"/>
              <w:right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Position and</w:t>
            </w:r>
          </w:p>
        </w:tc>
        <w:tc>
          <w:tcPr>
            <w:tcW w:w="1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60" w:type="dxa"/>
            <w:vAlign w:val="bottom"/>
            <w:tcBorders>
              <w:top w:val="single" w:sz="8" w:color="auto"/>
              <w:right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left w:val="single" w:sz="8" w:color="auto"/>
            </w:tcBorders>
          </w:tcPr>
          <w:p>
            <w:pPr>
              <w:spacing w:after="0"/>
              <w:rPr>
                <w:sz w:val="17"/>
                <w:szCs w:val="17"/>
                <w:color w:val="auto"/>
              </w:rPr>
            </w:pPr>
          </w:p>
        </w:tc>
        <w:tc>
          <w:tcPr>
            <w:tcW w:w="8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6"/>
              </w:rPr>
              <w:t>Citizenship</w:t>
            </w:r>
          </w:p>
        </w:tc>
        <w:tc>
          <w:tcPr>
            <w:tcW w:w="940" w:type="dxa"/>
            <w:vAlign w:val="bottom"/>
            <w:tcBorders>
              <w:right w:val="single" w:sz="8" w:color="auto"/>
            </w:tcBorders>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20" w:type="dxa"/>
            <w:vAlign w:val="bottom"/>
            <w:vMerge w:val="restart"/>
          </w:tcPr>
          <w:p>
            <w:pPr>
              <w:spacing w:after="0"/>
              <w:rPr>
                <w:sz w:val="17"/>
                <w:szCs w:val="17"/>
                <w:color w:val="auto"/>
              </w:rPr>
            </w:pPr>
          </w:p>
        </w:tc>
        <w:tc>
          <w:tcPr>
            <w:tcW w:w="18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60" w:type="dxa"/>
            <w:vAlign w:val="bottom"/>
            <w:vMerge w:val="restart"/>
          </w:tcPr>
          <w:p>
            <w:pPr>
              <w:spacing w:after="0"/>
              <w:rPr>
                <w:sz w:val="17"/>
                <w:szCs w:val="17"/>
                <w:color w:val="auto"/>
              </w:rPr>
            </w:pPr>
          </w:p>
        </w:tc>
        <w:tc>
          <w:tcPr>
            <w:tcW w:w="29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tcBorders>
              <w:right w:val="single" w:sz="8" w:color="auto"/>
            </w:tcBorders>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380" w:type="dxa"/>
            <w:vAlign w:val="bottom"/>
            <w:tcBorders>
              <w:right w:val="single" w:sz="8" w:color="auto"/>
            </w:tcBorders>
            <w:gridSpan w:val="4"/>
            <w:vMerge w:val="restart"/>
          </w:tcPr>
          <w:p>
            <w:pPr>
              <w:jc w:val="center"/>
              <w:ind w:right="5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120" w:type="dxa"/>
            <w:vAlign w:val="bottom"/>
            <w:vMerge w:val="continue"/>
          </w:tcPr>
          <w:p>
            <w:pPr>
              <w:spacing w:after="0" w:line="20" w:lineRule="exact"/>
              <w:rPr>
                <w:sz w:val="1"/>
                <w:szCs w:val="1"/>
                <w:color w:val="auto"/>
              </w:rPr>
            </w:pPr>
          </w:p>
        </w:tc>
        <w:tc>
          <w:tcPr>
            <w:tcW w:w="1820" w:type="dxa"/>
            <w:vAlign w:val="bottom"/>
            <w:tcBorders>
              <w:right w:val="single" w:sz="8" w:color="auto"/>
            </w:tcBorders>
            <w:gridSpan w:val="2"/>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Borders>
              <w:right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Omar Rossi,</w:t>
            </w:r>
          </w:p>
        </w:tc>
        <w:tc>
          <w:tcPr>
            <w:tcW w:w="1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Sole Administrator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citizen of Switzerland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International, S.A. de C.V.</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60" w:type="dxa"/>
            <w:vAlign w:val="bottom"/>
            <w:tcBorders>
              <w:top w:val="single" w:sz="8" w:color="auto"/>
              <w:left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Name and Citizenship</w:t>
            </w:r>
          </w:p>
        </w:tc>
        <w:tc>
          <w:tcPr>
            <w:tcW w:w="8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100" w:type="dxa"/>
            <w:vAlign w:val="bottom"/>
            <w:tcBorders>
              <w:top w:val="single" w:sz="8" w:color="auto"/>
              <w:bottom w:val="single" w:sz="8" w:color="auto"/>
            </w:tcBorders>
            <w:vMerge w:val="restart"/>
          </w:tcPr>
          <w:p>
            <w:pPr>
              <w:spacing w:after="0"/>
              <w:rPr>
                <w:sz w:val="24"/>
                <w:szCs w:val="24"/>
                <w:color w:val="auto"/>
              </w:rPr>
            </w:pPr>
          </w:p>
        </w:tc>
        <w:tc>
          <w:tcPr>
            <w:tcW w:w="17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 and Principal</w:t>
            </w: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860" w:type="dxa"/>
            <w:vAlign w:val="bottom"/>
            <w:tcBorders>
              <w:top w:val="single" w:sz="8" w:color="auto"/>
              <w:bottom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60" w:type="dxa"/>
            <w:vAlign w:val="bottom"/>
            <w:tcBorders>
              <w:top w:val="single" w:sz="8" w:color="auto"/>
              <w:bottom w:val="single" w:sz="8" w:color="auto"/>
            </w:tcBorders>
            <w:vMerge w:val="restart"/>
          </w:tcPr>
          <w:p>
            <w:pPr>
              <w:spacing w:after="0"/>
              <w:rPr>
                <w:sz w:val="24"/>
                <w:szCs w:val="24"/>
                <w:color w:val="auto"/>
              </w:rPr>
            </w:pPr>
          </w:p>
        </w:tc>
        <w:tc>
          <w:tcPr>
            <w:tcW w:w="292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right w:val="single" w:sz="8" w:color="auto"/>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40" w:type="dxa"/>
            <w:vAlign w:val="bottom"/>
            <w:tcBorders>
              <w:right w:val="single" w:sz="8" w:color="auto"/>
            </w:tcBorders>
            <w:gridSpan w:val="4"/>
            <w:vMerge w:val="restart"/>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1860" w:type="dxa"/>
            <w:vAlign w:val="bottom"/>
            <w:tcBorders>
              <w:right w:val="single" w:sz="8" w:color="auto"/>
            </w:tcBorders>
            <w:gridSpan w:val="3"/>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Giancarlo Devasini,</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Sole Administrator</w:t>
            </w:r>
          </w:p>
        </w:tc>
        <w:tc>
          <w:tcPr>
            <w:tcW w:w="174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16"/>
                <w:szCs w:val="16"/>
                <w:color w:val="auto"/>
              </w:rPr>
              <w:t>37,729,510</w:t>
            </w:r>
            <w:r>
              <w:rPr>
                <w:rFonts w:ascii="Times New Roman" w:cs="Times New Roman" w:eastAsia="Times New Roman" w:hAnsi="Times New Roman"/>
                <w:sz w:val="25"/>
                <w:szCs w:val="25"/>
                <w:color w:val="auto"/>
                <w:vertAlign w:val="superscript"/>
              </w:rPr>
              <w:t>(1)</w:t>
            </w:r>
          </w:p>
        </w:tc>
        <w:tc>
          <w:tcPr>
            <w:tcW w:w="12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Paolo Ardoino,</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Alternate Administrator</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Investments, S.A. de C.V.</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60" w:type="dxa"/>
            <w:vAlign w:val="bottom"/>
            <w:tcBorders>
              <w:top w:val="single" w:sz="8" w:color="auto"/>
              <w:left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Name and Citizenship</w:t>
            </w:r>
          </w:p>
        </w:tc>
        <w:tc>
          <w:tcPr>
            <w:tcW w:w="8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100" w:type="dxa"/>
            <w:vAlign w:val="bottom"/>
            <w:tcBorders>
              <w:top w:val="single" w:sz="8" w:color="auto"/>
              <w:bottom w:val="single" w:sz="8" w:color="auto"/>
            </w:tcBorders>
            <w:vMerge w:val="restart"/>
          </w:tcPr>
          <w:p>
            <w:pPr>
              <w:spacing w:after="0"/>
              <w:rPr>
                <w:sz w:val="24"/>
                <w:szCs w:val="24"/>
                <w:color w:val="auto"/>
              </w:rPr>
            </w:pPr>
          </w:p>
        </w:tc>
        <w:tc>
          <w:tcPr>
            <w:tcW w:w="17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 and Principal</w:t>
            </w: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860" w:type="dxa"/>
            <w:vAlign w:val="bottom"/>
            <w:tcBorders>
              <w:top w:val="single" w:sz="8" w:color="auto"/>
              <w:bottom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60" w:type="dxa"/>
            <w:vAlign w:val="bottom"/>
            <w:tcBorders>
              <w:top w:val="single" w:sz="8" w:color="auto"/>
              <w:bottom w:val="single" w:sz="8" w:color="auto"/>
            </w:tcBorders>
            <w:vMerge w:val="restart"/>
          </w:tcPr>
          <w:p>
            <w:pPr>
              <w:spacing w:after="0"/>
              <w:rPr>
                <w:sz w:val="24"/>
                <w:szCs w:val="24"/>
                <w:color w:val="auto"/>
              </w:rPr>
            </w:pPr>
          </w:p>
        </w:tc>
        <w:tc>
          <w:tcPr>
            <w:tcW w:w="292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1"/>
        </w:trPr>
        <w:tc>
          <w:tcPr>
            <w:tcW w:w="6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right w:val="single" w:sz="8" w:color="auto"/>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40" w:type="dxa"/>
            <w:vAlign w:val="bottom"/>
            <w:tcBorders>
              <w:right w:val="single" w:sz="8" w:color="auto"/>
            </w:tcBorders>
            <w:gridSpan w:val="4"/>
            <w:vMerge w:val="restart"/>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Occupation</w:t>
            </w:r>
          </w:p>
        </w:tc>
        <w:tc>
          <w:tcPr>
            <w:tcW w:w="1860" w:type="dxa"/>
            <w:vAlign w:val="bottom"/>
            <w:tcBorders>
              <w:right w:val="single" w:sz="8" w:color="auto"/>
            </w:tcBorders>
            <w:gridSpan w:val="3"/>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92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0" w:type="dxa"/>
            <w:vAlign w:val="bottom"/>
            <w:tcBorders>
              <w:left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right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Giancarlo Devasini,</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Sole Administrator</w:t>
            </w:r>
          </w:p>
        </w:tc>
        <w:tc>
          <w:tcPr>
            <w:tcW w:w="174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16"/>
                <w:szCs w:val="16"/>
                <w:color w:val="auto"/>
              </w:rPr>
              <w:t>37,729,510</w:t>
            </w:r>
            <w:r>
              <w:rPr>
                <w:rFonts w:ascii="Times New Roman" w:cs="Times New Roman" w:eastAsia="Times New Roman" w:hAnsi="Times New Roman"/>
                <w:sz w:val="25"/>
                <w:szCs w:val="25"/>
                <w:color w:val="auto"/>
                <w:vertAlign w:val="superscript"/>
              </w:rPr>
              <w:t>(1)</w:t>
            </w:r>
          </w:p>
        </w:tc>
        <w:tc>
          <w:tcPr>
            <w:tcW w:w="12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1"/>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Paolo Ardoino,</w:t>
            </w:r>
          </w:p>
        </w:tc>
        <w:tc>
          <w:tcPr>
            <w:tcW w:w="19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Alternate Administrator</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Final Av. La Revolucion,</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citizen of Italy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Colonia San Benito, Edif. Centro,</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Corporativo Presidente Plaza, Nivel 12, Oficina 2,</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Distrito de San Salvador, Municipio de San Salvador Centro,</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Republica de El Salvador</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3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23,773,987 Class A ordinary shares, par value $0.0000001 per share (“Class A Shares”) of Bitdeer Technologies Group held by Tether Investments S.A. de C.V., a wholly owned subsidiary of Tether Global Investments Fund, S.I.C.A.F., S.A. and 13,955,523 Class A Shares held by Tether International, S.A. de C.V., a wholly owned subsidiary of Tether Global Investments Fund, S.I.C.A.F., S.A.</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October 2021, the U.S. Commodity Futures Trading Commission (CFTC) instituted and settled regulatory proceedings against Tether Holdings Limited (the predecessor of Tether Global Investments Fund, S.I.C.A.F., S.A.), Tether Limited, Tether Operations Limited, and Tether International Limited (collectively, “Tether”) by way of an order accepting Tether’s payment of a civil monetary penalty of $41 million without admitting or denying any of the CFTC’s findings or conclusions. The order settled CFTC allegations that, from June 2016 to February 2019, Tether made untrue or misleading statements and omissions of material fact or omitted to state material facts necessary to make statements made not true or misleading in connection with, among other things, whether USDT was fully backed by U.S. Dollars held in bank accounts in Tether’s name.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2021, the Office of the Attorney General of the State of New York (NYAG) entered into an agreement with Tether and several Bitfinex (a group of companies with which Tether is affiliated) companies, to settle a 2019 proceeding brought by NYAG seeking an injunction related to, among other things, the transfer of certain funds by and among Bitfinex and Tether. Without admitting or denying NYAG’s findings, Bitfinex and Tether agreed to settle the NYAG proceeding by paying $18.5 million in penalties to the State of New York. The agreement further required Bitfinex and Tether to discontinue any trading activity with New York persons or entities and to submit to mandatory reporting on certain business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Transactions in Class A Shares</w:t>
      </w:r>
    </w:p>
    <w:p>
      <w:pPr>
        <w:spacing w:after="0" w:line="237"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The following table lists all transactions completed by Tether Investments S.A. de C.V. in the Class A Shares since April 16, 2026, which were all completed through open market transactions:</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80" w:type="dxa"/>
            <w:vAlign w:val="bottom"/>
            <w:tcBorders>
              <w:top w:val="single" w:sz="8" w:color="auto"/>
              <w:left w:val="single" w:sz="8" w:color="auto"/>
              <w:bottom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 3, 2026</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373,904</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20.3668</w:t>
            </w:r>
          </w:p>
        </w:tc>
      </w:tr>
      <w:tr>
        <w:trPr>
          <w:trHeight w:val="209"/>
        </w:trPr>
        <w:tc>
          <w:tcPr>
            <w:tcW w:w="40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 4, 2026</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253,117</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20.0137</w:t>
            </w:r>
          </w:p>
        </w:tc>
      </w:tr>
      <w:tr>
        <w:trPr>
          <w:trHeight w:val="696"/>
        </w:trPr>
        <w:tc>
          <w:tcPr>
            <w:tcW w:w="40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each of the persons named below agrees to the joint filing of this Amendment to Schedule 13D, including further amendments thereto, with respect to the Class A ordinary shares, par value $0.0000001 per share, of Bitdeer Technologies Group and further agrees that this Joint Filing Agreement be filed with the Securities and Exchange Commission as an exhibit to such filing; provided, however, that no person shall be responsible for the completeness or accuracy of the information concerning the other persons making the filing unless such person knows or has reason to believe such information is inaccurate (as provided in Rule 13d-1(k)(1)(ii)). This Joint Filing Agreement may be executed in one or more counterparts, all of which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persons named below have executed this Joint Filing Agreement as of the date set forth below.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June 16,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Global Investments Fund, S.I.C.A.F., S.A.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Omar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Omar Rossi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INVESTMENTS, S.A.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INTERNATIONAL, S.A. DE C.V.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Giancarlo Devasini</w:t>
      </w:r>
      <w:r>
        <w:rPr>
          <w:rFonts w:ascii="Times New Roman" w:cs="Times New Roman" w:eastAsia="Times New Roman" w:hAnsi="Times New Roman"/>
          <w:sz w:val="18"/>
          <w:szCs w:val="18"/>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3"/>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2026-06-16T12:16:14Z</dcterms:created>
  <dcterms:modified xsi:type="dcterms:W3CDTF">2026-06-16T12:16:14Z</dcterms:modified>
</cp:coreProperties>
</file>