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333-283732</w:t>
      </w:r>
    </w:p>
    <w:p>
      <w:pPr>
        <w:spacing w:after="0" w:line="203"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supplement and the accompanying prospectus is not complete and may be changed. A registration statement relating to the securities has become effective under the Securities Act of 1933, as amended. This preliminary prospectus supplement and the accompanying prospectus are not an offer to sell these securities and are not soliciting offers to buy these securities in any jurisdiction where the offer or sale is not permitted.</w:t>
      </w:r>
    </w:p>
    <w:p>
      <w:pPr>
        <w:spacing w:after="0" w:line="176"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FF0000"/>
        </w:rPr>
        <w:t>SUBJECT TO COMPLETION, DATED FEBRUARY 19,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18,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156845</wp:posOffset>
            </wp:positionV>
            <wp:extent cx="208280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280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4"/>
          <w:szCs w:val="24"/>
          <w:color w:val="auto"/>
        </w:rPr>
      </w:pPr>
    </w:p>
    <w:p>
      <w:pPr>
        <w:ind w:left="340"/>
        <w:spacing w:after="0"/>
        <w:tabs>
          <w:tab w:leader="none" w:pos="2080" w:val="left"/>
        </w:tabs>
        <w:rPr>
          <w:sz w:val="20"/>
          <w:szCs w:val="20"/>
          <w:color w:val="auto"/>
        </w:rPr>
      </w:pPr>
      <w:r>
        <w:rPr>
          <w:rFonts w:ascii="Times New Roman" w:cs="Times New Roman" w:eastAsia="Times New Roman" w:hAnsi="Times New Roman"/>
          <w:sz w:val="18"/>
          <w:szCs w:val="18"/>
          <w:color w:val="auto"/>
        </w:rPr>
        <w:t>We are offering</w:t>
      </w:r>
      <w:r>
        <w:rPr>
          <w:sz w:val="20"/>
          <w:szCs w:val="20"/>
          <w:color w:val="auto"/>
        </w:rPr>
        <w:tab/>
      </w:r>
      <w:r>
        <w:rPr>
          <w:rFonts w:ascii="Times New Roman" w:cs="Times New Roman" w:eastAsia="Times New Roman" w:hAnsi="Times New Roman"/>
          <w:sz w:val="18"/>
          <w:szCs w:val="18"/>
          <w:color w:val="auto"/>
        </w:rPr>
        <w:t>Class A ordinary shares, par value US$0.0000001 per share (the “Class A ordinary shares”), in a registered direct offering 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certain holders of our 5.25% Convertible Senior Notes due 2029 pursuant to this prospectus supplement and the accompanying prospectus at a price of</w:t>
      </w:r>
    </w:p>
    <w:p>
      <w:pPr>
        <w:spacing w:after="0" w:line="9" w:lineRule="exact"/>
        <w:rPr>
          <w:sz w:val="24"/>
          <w:szCs w:val="24"/>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7"/>
          <w:szCs w:val="17"/>
          <w:color w:val="auto"/>
        </w:rPr>
        <w:t>per share.</w:t>
      </w:r>
    </w:p>
    <w:p>
      <w:pPr>
        <w:spacing w:after="0" w:line="20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(“Nasdaq”) under the symbol “BTDR.” On February 18, 2026, the last reported sales price of our Class A ordinary shares was US$9.61 per share.</w:t>
      </w:r>
    </w:p>
    <w:p>
      <w:pPr>
        <w:spacing w:after="0" w:line="158"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Class A ordinary shares involves a high degree of risk. See the “Risk Factors” beginning on page S-10 of this prospectus supplement and in our Securities and Exchange Commission (“SEC”) filings that are incorporated by reference into this prospectus supplement and the accompanying prospectus.</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8300" w:type="dxa"/>
            <w:vAlign w:val="bottom"/>
          </w:tcPr>
          <w:p>
            <w:pPr>
              <w:spacing w:after="0"/>
              <w:rPr>
                <w:sz w:val="21"/>
                <w:szCs w:val="21"/>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1"/>
                <w:szCs w:val="21"/>
                <w:color w:val="auto"/>
              </w:rPr>
            </w:pP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direct offering price</w:t>
            </w:r>
          </w:p>
        </w:tc>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w:t>
            </w:r>
          </w:p>
        </w:tc>
      </w:tr>
    </w:tbl>
    <w:p>
      <w:pPr>
        <w:spacing w:after="0" w:line="179"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this offering, Barclays Capital Inc. will act as our exclusive placement agent (in such capacity, the “placement agent”) with respect to our Class A ordinary shares offered by this prospectus supplement. The placement agent is not required to sell any minimum number or dollar amount of our Class A ordinary shares, but will use its reasonable best efforts to solicit offers for the purchases of the Class A ordinary shares offered hereby. There is no assurance that any Class A ordinary shares will be sold.</w:t>
      </w:r>
    </w:p>
    <w:p>
      <w:pPr>
        <w:spacing w:after="0" w:line="176"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passed upon the adequacy or accuracy of this prospectus supplement or the accompanying prospectus. Any representation to the contrary is a criminal offense.</w:t>
      </w:r>
    </w:p>
    <w:p>
      <w:pPr>
        <w:spacing w:after="0" w:line="175" w:lineRule="exact"/>
        <w:rPr>
          <w:sz w:val="24"/>
          <w:szCs w:val="24"/>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to deliver the Class A ordinary shares to purchasers on or about February , 2026, which will be the fourth business day following the initial trade date for Class A ordinary shares offered hereby (this settlement cycle being referred to as “T+4”). Under Rule 15c6-1 under the Securities Exchange Act of 1934, as amended (the “Exchange Act”), trades in the secondary market generally are required to settle in one business day, unless the parties to any such trade expressly agree otherwise. Accordingly, purchasers who wish to trade shares prior to the business day preceding the settlement date will be required, by virtue of the fact that the shares initially will settle T+4, to specify an alternate settlement cycle at the time of any such trade to prevent a failed settlement. Purchasers of the shares who wish to trade the shares prior to the business day preceding the settlement date should consult their own advisors.</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Placement Agent</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Barclays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The date of this prospectus supplement is February</w:t>
            </w:r>
          </w:p>
        </w:tc>
        <w:tc>
          <w:tcPr>
            <w:tcW w:w="400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rPr>
              <w:t>, 2026</w:t>
            </w:r>
          </w:p>
        </w:tc>
      </w:tr>
      <w:tr>
        <w:trPr>
          <w:trHeight w:val="898"/>
        </w:trPr>
        <w:tc>
          <w:tcPr>
            <w:tcW w:w="72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20" w:type="dxa"/>
            <w:vAlign w:val="bottom"/>
            <w:gridSpan w:val="2"/>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20" w:type="dxa"/>
            <w:vAlign w:val="bottom"/>
            <w:gridSpan w:val="2"/>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900" w:type="dxa"/>
            <w:vAlign w:val="bottom"/>
          </w:tcPr>
          <w:p>
            <w:pPr>
              <w:spacing w:after="0"/>
              <w:rPr>
                <w:sz w:val="24"/>
                <w:szCs w:val="24"/>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S-iv</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04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CONCURRENT NOTES TRANSACTIONS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1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CAPPED CALL TRANSACTIONS</w:t>
            </w:r>
          </w:p>
        </w:tc>
        <w:tc>
          <w:tcPr>
            <w:tcW w:w="622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S-9</w:t>
            </w: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175"/>
        </w:trPr>
        <w:tc>
          <w:tcPr>
            <w:tcW w:w="15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8760" w:type="dxa"/>
            <w:vAlign w:val="bottom"/>
            <w:tcBorders>
              <w:top w:val="single" w:sz="8" w:color="CCEEFF"/>
            </w:tcBorders>
            <w:gridSpan w:val="1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880" w:type="dxa"/>
            <w:vAlign w:val="bottom"/>
            <w:tcBorders>
              <w:top w:val="single" w:sz="8" w:color="CCEEFF"/>
            </w:tcBorders>
            <w:gridSpan w:val="1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S-25</w:t>
            </w: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220" w:type="dxa"/>
            <w:vAlign w:val="bottom"/>
            <w:gridSpan w:val="2"/>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9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10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MARKET PRICE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5"/>
        </w:trPr>
        <w:tc>
          <w:tcPr>
            <w:tcW w:w="634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40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080" w:type="dxa"/>
            <w:vAlign w:val="bottom"/>
            <w:tcBorders>
              <w:bottom w:val="single" w:sz="8" w:color="CCEEFF"/>
            </w:tcBorders>
            <w:gridSpan w:val="1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9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FORMS OF SECURITIES</w:t>
            </w:r>
          </w:p>
        </w:tc>
        <w:tc>
          <w:tcPr>
            <w:tcW w:w="838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 RELATED TO THE OFFERING</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334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TAX CONSIDERATIONS</w:t>
            </w:r>
          </w:p>
        </w:tc>
        <w:tc>
          <w:tcPr>
            <w:tcW w:w="7000" w:type="dxa"/>
            <w:vAlign w:val="bottom"/>
            <w:tcBorders>
              <w:top w:val="single" w:sz="8" w:color="CCEEFF"/>
            </w:tcBorders>
            <w:gridSpan w:val="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880" w:type="dxa"/>
            <w:vAlign w:val="bottom"/>
            <w:tcBorders>
              <w:top w:val="single" w:sz="8" w:color="CCEEFF"/>
            </w:tcBorders>
            <w:gridSpan w:val="1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provides you with a general description of the securities that may be offered by us,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Before buying any of the securities that are offered by this prospectus supplement, you should carefully read both this prospectus supplement and the accompanying prospectus with all of the information incorporated by reference in this prospectus supplement, as well as the additional information described under the heading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Neither we nor the placement agent have authorized anyone to provide any information or to make any representations other than those contained in this prospectus supplement, any accompanying prospectus or any free writing prospectus we have prepared. Neither we nor the placement agent take responsibility for or provide assurance as to the reliability of, any other information that others may give you. This prospectus supplement is an offer to sell only the securities offered hereby and only under circumstances and in jurisdictions where it is lawful to do so. No dealer, salesperson or other person is authorized to give any information or to represent anything not contained in this prospectus supplement, any applicable prospectus or any related free writing prospectus. This prospectus supplement is not an offer to sell securities, and it is not soliciting an offer to buy securities, in any jurisdiction where the offer or sale is not permitted. You should assume that the information appearing in this prospectus supplement is accurate only as of the date on the front cover of those documents only, regardless of the time of delivery of this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“Where You Can Find More Information.”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proprietary rights to trademarks used in this prospectus supplement that are important to our business, many of which are registered (or pending registration) under applicable intellectual property laws. This prospectus supplement contains references to trademarks, trade names and service marks belonging to other entities. Solely for convenience, trademarks, trade names and service marks referred to in this prospectus supplement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8"/>
        <w:spacing w:after="0"/>
        <w:rPr>
          <w:sz w:val="20"/>
          <w:szCs w:val="20"/>
          <w:color w:val="auto"/>
        </w:rPr>
      </w:pPr>
      <w:r>
        <w:rPr>
          <w:rFonts w:ascii="Times New Roman" w:cs="Times New Roman" w:eastAsia="Times New Roman" w:hAnsi="Times New Roman"/>
          <w:sz w:val="18"/>
          <w:szCs w:val="18"/>
          <w:color w:val="auto"/>
        </w:rPr>
        <w:t>In this prospectus supplement, unless otherwise indicated or unless the context otherwise requires, references to,</w:t>
      </w:r>
    </w:p>
    <w:p>
      <w:pPr>
        <w:spacing w:after="0" w:line="225" w:lineRule="exact"/>
        <w:rPr>
          <w:sz w:val="20"/>
          <w:szCs w:val="20"/>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 to our Class A ordinary shares, par value US$0.0000001 per share;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V ordinary shares” refer to our Class V ordinary shares, par value US$0.0000001 per share;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notes” refer to the November 2031 notes, July 2031 notes and the November 2029 notes;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Facility” refers to the financing facility that we entered into in January 2025, as amended, with a commercial bank and which in September 2025, we increased to US$26.0 million;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2031 notes” refer to our 4.875% Convertible Senior Notes due 2031;</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“Matrixport” refer to Matrix Finance and Technology Holding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“Matrixport Loans” refer to, collectively, the loan agreements that we entered into with Matrixport in April 2025 (as amended) providing for a financing facility of up to US$400,000,000 (the “April 2025 Matrixport Loan”), in September 2025 providing for a financing facility of up to US$400,000,000 (the “September 2025 Matrixport Loan”), in October 2025 providing a financing facility of up to US$100,000,000 (the “October 2025 Matrixport Loan”), in December 2025 providing for a financing facility of up to US$50,000,000 (the “December 2025 Matrixport Loan”), and in January 2026 providing for a financing facility of up to US$50,000,000 (the “January 2026 Matrixport Loan”);</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2029 notes” refer to our 5.25% Convertible Senior Notes due 2029;</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2031 notes” refer to our 4.00% Convertible Senior Notes due 2031;</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20-F” refers to our annual report on Form 20-F for the year ended December 31, 2024, filed with the SEC on April 21, 2025;</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 to our Class A ordinary shares and our Class V ordinary shares; and</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“the company,” “our group,” “our” or “Bitdeer” refer to Bitdeer Technologies Group, a Cayman Islands exempted company, and its subsidiaries.</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contain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including those listed under “Risk Factors” in this prospectus supplement, the accompanying prospectus and in our Form 20-F incorporated herein by reference, and the other documents incorporated by reference herein, that may cause our actual results, performance or achievements to be materially different from those expressed or implied by the forward-looking statements.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some cases, you can identify these forward-looking statements by words or phrases such as “may,” “could,” “will,” “expect,” “anticipate,” “aim,” “estimate,” “intend,” “plan,” “believe,” “likely to,” “potential”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volatility of Bitcoin and other cryptocurrencies;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positions in proprietary hash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and/or manufacture application-specific integrated circuits (“ASICs”) and mining rigs at a lower cost;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mining datacenters or begin or complete any project that is “in the pipeline,” contracted or negotiated but not yet under active construction;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generations of mining rigs;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electricity cost;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effective judgments regarding pricing strategy and resource allocation;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upgrade and expand product offerings and to successfully develop our HPC and AI cloud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that may restrict the use of cryptocurrencies or the operation of cryptocurrency networks in a manner that may require us to cease certain or all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our business of earthquakes, fires, floods, and other natural catastrophic events and interruptions by man-made issues such as strikes and terrorist attacks;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market price of our Class A ordinary shares, which could cause the value of your investment to decline;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 active trading market for our Class A ordinary shares may not be sustained;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ordinary shares on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securities, which has been and may continue to be volatile;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or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or resales of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use of proceeds from our financing activities, including this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cash runway;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our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this offering and the Concurrent Note Offering and the potential effects of the Concurrent Note Offering on the trading price of our Class A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the net proceeds from this offering and the net proceeds of the Concurrent Note Offering;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in the section titled “Risk Factors” in this prospectus supplement and in the documents incorporated by reference herein.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the document in which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information incorporated by reference herein and therein with the understanding that our actual future results may be materially different from and worse than what we expect. Other sections of this prospectus supplement (including our Form 20-F and the other information incorporated herein by reference)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 These forward-looking statements are made only as of the date of this prospectus supplement and we do not undertake any obligation, other than as may be required by law, to update or revise any forward-looking statements to reflect future events or developments.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084695" cy="6407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4695" cy="640778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or the information incorporated by reference in this prospectus supplement and does not contain all of the information that is important to you. You should carefully read this entire prospectus supplement and the accompanying prospectus and the documents incorporated by reference in this prospectus supplement carefully, including the information presented under the sections titled “Risk Factors,” “Cautionary Statement Regarding Forward Looking Statements,” and our financial statements before making an investment decision.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world-leading technology company for Bitcoin mining and AI infrastructure. We are committed to providing comprehensive computing solutions for our customers. We handle complex processes involved in computing, such as equipment procurement, transport logistics, datacenter design and construction, equipment management, and daily operations. Additionally, we offer advanced cloud capabilities to support customers with high demand for artificial intelligence (“AI”).</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Headquartered in Singapore, we currently operate nine mining datacenters in the United States, Norway, Bhutan and Ethiopia with an aggregate electrical capacity of 1,658 MW as of January 31, 2026. From these mining datacenters, we generate hash rate under management which is categorized into proprietary and hosting hash rate. As of January 31, 2026, our proprietary hash rate was 65.1 EH/s. Together with the 13.0 EH/s hosting hash rate generated from mining rigs hosted in our mining datacenters, we possessed a total of 78.1 EH/s of hash rate under management as of January 31, 2026. We expect to continue increasing our hash rate through 2026 and beyond through conversion of our existing hosting capacity, executing on pipeline capacity, and pursuing expansion opportunities on a global scale. As of January 31, 2026, we possessed an aggregate pipeline capacity of 1,344 MW in the United States, Canada and Ethiopia.</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primarily operate four business lines – “self-mining,” “cloud hash rate”, “hosting” and “sales of SEALMINERs and accessories”. Self-mining refers to cryptocurrency mining for our own account, which allows us to directly capture the high appreciation potential of cryptocurrency. Through our primary cloud hash rate solution, we sell our proprietary hash rate to customers, offering hash rate subscription plans at fixed prices and sharing mining income with them under certain arrangements. 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 The first three of our four business lines are supported by our self-developed integrated intelligent software platform, which offers software support to significantly reduce time needed for daily maintenance and mining rig upgrade and substantially decrease operations and maintenance headcount. In our sales of SEALMINERs and accessories business, we leverage proprietary application-specific integrated circuit (“ASIC”) technology to develop, manufacture, and commercialize our SEALMINER mining rigs to diversify our business and accelerate the growth of our self-mining operations. We began generating sales revenue from our ASIC and mining rig business in 2025 and deployed some rigs to our mining datacenters to expand our self-mining operations. We believe our ASIC technology platform will increase our vertical integration and enable us to capture the upside of ASIC margins via self-mining and sales of mining rigs to third parties, such as rapid hash rate development, a lower cost structure, enhanced capital efficiency, and an improved supply chain compared to the broader industry.</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are developing a new business line to supplement and support our existing business – our “HPC and AI cloud business” where we offer advanced cloud capabilities and HPC services to customers with high demand for AI and computing. We operate one of the first cloud service platforms in Asia that offers AI cloud services powered by NVIDIA DGX SuperPOD H100, H200, B200 systems and the recently deployed NVIDIA GB200 NVL72. Our AI cloud services help customers accelerate their development of generative AI, large language models (“LLMs”), and other AI workloads.</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084695" cy="7642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4695" cy="7642225"/>
                    </a:xfrm>
                    <a:prstGeom prst="rect">
                      <a:avLst/>
                    </a:prstGeom>
                    <a:noFill/>
                  </pic:spPr>
                </pic:pic>
              </a:graphicData>
            </a:graphic>
          </wp:anchor>
        </w:drawing>
        <w:t>Concurrent Notes Transactions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Concurrently with this offering, we intend to offer, subject to market and other conditions, convertible senior notes due 2032 (the “New Convertible Notes” and such offering, the “Concurrent Note Offering”), in an aggregate principal amount of US$300,000,000. We also intend to grant the initial purchasers in the Concurrent Note Offering an option to purchase, for settlement during a 13-day period beginning on, and including, the first date on which the New Convertible Notes are issued, up to an additional US$45,000,000 aggregate principal amount of New Convertible Notes. The Concurrent Note Offering will be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 the registration and prospectus-delivery requirements of the Securities Act. This prospectus supplement and the accompanying prospectus do not constitute an offer to sell, or the solicitation of an offer to buy, any of the New Convertible Notes, or the Class A ordinary shares, if any, issuable upon conversion of the New Convertible Notes.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intend to use the net proceeds from this offering, plus a portion of the net proceeds from the Concurrent Note Offering, to</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repurchase for cash approximately US$ million in aggregate principal amount of the November 2029 notes for approximately US$ million (including accrued and unpaid interest) in privately negotiated transactions effected through Barclays Capital Inc. or one of its affiliates (each, a “Concurrent Note Repurchase”). The terms of each Concurrent Note Repurchase will depend on a variety of factors. No assurance can be given as to how much, if any, of the November 2029 notes will be repurchased or the terms on which they will be repurchased. This prospectus supplement and the accompanying prospectus do not constitute an offer to buy, or the solicitation of an offer to sell, any of the November 2029 notes.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completion of this offering is contingent on the completion of the Concurrent Note Offering and the Concurrent Note Repurchases, and the completion of the Concurrent Note Repurchases is contingent on the completion of this offering and the Concurrent Note Offering.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titled “The Concurrent Notes Transactions”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January 2025, we executed the Financing Facility and in September 2025, we increased the Financing Facility to US$26.0 million. We previously drew down $26.0 million, which was repaid in full at maturity on February 6, 2026. As of February 18, 2026, we had drawn US$22.7 million of additional borrowings under the Financing Facility, which are due on July 10, 2026. The Financing Facility is unsecured, and bears interest at a rate of 10.31% per annum.</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2025, we entered into the December 2025 Matrixport Loan with Matrixport for a financing facility of up to US$50,000,000. Loans drawn under the December 2025 Matrixport Loan bear a variable interest rate of 9.0% plus a market-based reference rate. Each drawdown is repayable in fixed monthly installments over a 24-month term and is secured by a security interest in: (a) mining rigs; (b) inventories; (c) datacenter assets; and (d) such other collateral as may be mutually agreed between the parties thereto, maintained based on a loan-to-value ratio. As of February 18, 2026, we have fully drawn down US$50.0 million under the December 2025 Matrixport Loan.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2026, we entered into the January 2026 Matrixport Loan with Matrixport for a financing facility of up to US$50,000,000. Loans drawn under the January 2026 Matrixport Loan bear a variable interest rate of 9.0% plus a market-based reference rate. Each drawdown is repayable in fixed monthly installments over a 24-month term and is secured by a security interest in: (a) mining rigs; (b) inventories; (c) datacenter assets; and (d) such other collateral as may be mutually agreed between the parties thereto, maintained based on a loan-to-value ratio. As of February 18, 2026, the Company had fully drawn down US$50.0 million under the January 2026 Matrixport Loan.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12, 2026, we announced our unaudited financial results for the fourth quarter and full year ended December 31, 2025, as set forth in our Current Report on Form 6-K furnished to the SEC on February 12, 2026.</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17, 2026, one of our subsidiaries entered into a short-term collateralized loan agreement with Matrixport (the “BTC Loan”), pursuant to which such subsidiary borrowed 800 Bitcoin from a subsidiary of Matrixport. The BTC Loan bears interest at 3% per annum, amortizes in equal installments on a weekly basis over three months and is secured by stablecoin and/or cash.</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19, 2026, one of our subsidiaries entered into a structured product master agreement (the “February 2026 Matrixport Structured Product Agreement”) with a subsidiary of Matrixport. Under the February 2026 Matrixport Structured Product Agreement, Matrixport will provide a diverse suite of products, including collateralized financing, options, notes, accumulators/decumulators, and other digital asset derivatives.</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084695" cy="6682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4695" cy="6682105"/>
                    </a:xfrm>
                    <a:prstGeom prst="rect">
                      <a:avLst/>
                    </a:prstGeom>
                    <a:noFill/>
                  </pic:spPr>
                </pic:pic>
              </a:graphicData>
            </a:graphic>
          </wp:anchor>
        </w:drawing>
        <w:t>Foreign Private Issuer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subject to different U.S. securities laws than domestic U.S. issuers. The rules governing the information that we must disclose differ from those governing U.S. companies pursuant to the Exchange Act. We are exempt from the rules under the Exchange Act prescribing the furnishing and content of proxy statements to shareholders. Those proxy statements are not expected to conform to Schedule 14A of the proxy rules promulgated under the Exchange Act.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as a “foreign private issuer,” our officers and directors and holders of more than 10% of the issued and outstanding Class A ordinary shares, are exempt from the rules under the Exchange Act requiring insiders to report purchases and sales of ordinary shares as well as from Section 16 short swing profit reporting and liability. See the section titled “Item 3.D. Key Information—Risk Factors—Risks Related to Our Securities—We are a foreign private issuer within the meaning of the rules under the Exchange Act, and as such we are exempt from certain provisions applicable to domestic public companies in the United States” in our Form 20-F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spacing w:after="0" w:line="180" w:lineRule="exact"/>
        <w:rPr>
          <w:sz w:val="20"/>
          <w:szCs w:val="20"/>
          <w:color w:val="auto"/>
        </w:rPr>
      </w:pPr>
    </w:p>
    <w:p>
      <w:pPr>
        <w:ind w:left="660" w:hanging="32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our board of directors consists of independent directors;</w:t>
      </w:r>
    </w:p>
    <w:p>
      <w:pPr>
        <w:spacing w:after="0" w:line="225"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conduct an annual performance evaluation of the nominating and corporate governance and compensation committees;</w:t>
      </w:r>
    </w:p>
    <w:p>
      <w:pPr>
        <w:spacing w:after="0" w:line="225"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nominating and corporate governance committee that is composed entirely of independent directors with a written charter addressing the committee’s purpose and responsibilities;</w:t>
      </w:r>
    </w:p>
    <w:p>
      <w:pPr>
        <w:spacing w:after="0" w:line="161"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compensation committee that is composed entirely of independent directors with a written charter addressing the committee’s purpose and responsibility; and</w:t>
      </w:r>
    </w:p>
    <w:p>
      <w:pPr>
        <w:spacing w:after="0" w:line="161"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director nomination be selected, or recommended for selection by our board of directors, by (i) a majority of our independent directors in a vote in which only our independent directors participate or (ii) a nominations committee composed solely of independent directors.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supplement, we have elected not to comply with any of the requirements listed above, except that a majority of our board of directors consists of independent directors and that our nominating and corporate governance committee and compensation committee have written charters addressing their respective purposes and responsibilities. We may continue to use all or some of these exemptions in the future. As a result, you may not have the same protections afforded to shareholders of companies that are subject to all of the Nasdaq corporate governance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08 Kallang Avenue, Aperia tower 1, #09-03/04, Singapore 339509. Our telephone number at this address is +65 6282-8220. Our registered office in the Cayman Islands is Ogier Global (Cayman) Limited, 89 Nexus Way, Camana Bay, Grand Cayman, KY1-9009, Cayman Islands. Our agent for service of process in the United States is Cogency Global Inc. located at 122 East 42nd Street, 18th Floor, New York, New York 10168. Our corporate website is www.bitdeer.com. The information contained in, or accessible through, our website is not incorporated by reference in or part of this prospectus supplement or the accompanying prospectus.</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w w:val="97"/>
              </w:rPr>
              <w:t>The Offering</w:t>
            </w:r>
          </w:p>
        </w:tc>
        <w:tc>
          <w:tcPr>
            <w:tcW w:w="24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Offered by Us</w:t>
            </w:r>
          </w:p>
        </w:tc>
        <w:tc>
          <w:tcPr>
            <w:tcW w:w="22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Class A ordinary shares.</w:t>
            </w:r>
          </w:p>
        </w:tc>
        <w:tc>
          <w:tcPr>
            <w:tcW w:w="24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10"/>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Outstanding After</w:t>
            </w:r>
          </w:p>
        </w:tc>
        <w:tc>
          <w:tcPr>
            <w:tcW w:w="22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Class A ordinary shares.</w:t>
            </w:r>
          </w:p>
        </w:tc>
        <w:tc>
          <w:tcPr>
            <w:tcW w:w="24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2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14"/>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1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We estimate that the net proceeds from this offering of our Class A ordinary shares will be</w:t>
            </w:r>
          </w:p>
        </w:tc>
      </w:tr>
      <w:tr>
        <w:trPr>
          <w:trHeight w:val="216"/>
        </w:trPr>
        <w:tc>
          <w:tcPr>
            <w:tcW w:w="3900" w:type="dxa"/>
            <w:vAlign w:val="bottom"/>
          </w:tcPr>
          <w:p>
            <w:pPr>
              <w:spacing w:after="0"/>
              <w:rPr>
                <w:sz w:val="18"/>
                <w:szCs w:val="18"/>
                <w:color w:val="auto"/>
              </w:rPr>
            </w:pPr>
          </w:p>
        </w:tc>
        <w:tc>
          <w:tcPr>
            <w:tcW w:w="2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approximately US$</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 after deducting the estimated offering expenses payable</w:t>
            </w:r>
          </w:p>
        </w:tc>
      </w:tr>
      <w:tr>
        <w:trPr>
          <w:trHeight w:val="216"/>
        </w:trPr>
        <w:tc>
          <w:tcPr>
            <w:tcW w:w="3900" w:type="dxa"/>
            <w:vAlign w:val="bottom"/>
          </w:tcPr>
          <w:p>
            <w:pPr>
              <w:spacing w:after="0"/>
              <w:rPr>
                <w:sz w:val="18"/>
                <w:szCs w:val="18"/>
                <w:color w:val="auto"/>
              </w:rPr>
            </w:pPr>
          </w:p>
        </w:tc>
        <w:tc>
          <w:tcPr>
            <w:tcW w:w="71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by us. We estimate that the net proceeds from the Concurrent Note Offering will be</w:t>
            </w:r>
          </w:p>
        </w:tc>
      </w:tr>
      <w:tr>
        <w:trPr>
          <w:trHeight w:val="216"/>
        </w:trPr>
        <w:tc>
          <w:tcPr>
            <w:tcW w:w="3900" w:type="dxa"/>
            <w:vAlign w:val="bottom"/>
          </w:tcPr>
          <w:p>
            <w:pPr>
              <w:spacing w:after="0"/>
              <w:rPr>
                <w:sz w:val="18"/>
                <w:szCs w:val="18"/>
                <w:color w:val="auto"/>
              </w:rPr>
            </w:pPr>
          </w:p>
        </w:tc>
        <w:tc>
          <w:tcPr>
            <w:tcW w:w="2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approximately US$</w:t>
            </w: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million (or approximately 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if the initial purchasers</w:t>
            </w:r>
          </w:p>
        </w:tc>
      </w:tr>
      <w:tr>
        <w:trPr>
          <w:trHeight w:val="216"/>
        </w:trPr>
        <w:tc>
          <w:tcPr>
            <w:tcW w:w="3900" w:type="dxa"/>
            <w:vAlign w:val="bottom"/>
          </w:tcPr>
          <w:p>
            <w:pPr>
              <w:spacing w:after="0"/>
              <w:rPr>
                <w:sz w:val="18"/>
                <w:szCs w:val="18"/>
                <w:color w:val="auto"/>
              </w:rPr>
            </w:pPr>
          </w:p>
        </w:tc>
        <w:tc>
          <w:tcPr>
            <w:tcW w:w="71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in the Concurrent Note Offering fully exercise their option to purchase additional New</w:t>
            </w:r>
          </w:p>
        </w:tc>
      </w:tr>
      <w:tr>
        <w:trPr>
          <w:trHeight w:val="216"/>
        </w:trPr>
        <w:tc>
          <w:tcPr>
            <w:tcW w:w="3900" w:type="dxa"/>
            <w:vAlign w:val="bottom"/>
          </w:tcPr>
          <w:p>
            <w:pPr>
              <w:spacing w:after="0"/>
              <w:rPr>
                <w:sz w:val="18"/>
                <w:szCs w:val="18"/>
                <w:color w:val="auto"/>
              </w:rPr>
            </w:pPr>
          </w:p>
        </w:tc>
        <w:tc>
          <w:tcPr>
            <w:tcW w:w="71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Convertible Notes), after deducting the initial purchasers’ discounts and estimated offering</w:t>
            </w:r>
          </w:p>
        </w:tc>
      </w:tr>
      <w:tr>
        <w:trPr>
          <w:trHeight w:val="234"/>
        </w:trPr>
        <w:tc>
          <w:tcPr>
            <w:tcW w:w="3900" w:type="dxa"/>
            <w:vAlign w:val="bottom"/>
          </w:tcPr>
          <w:p>
            <w:pPr>
              <w:spacing w:after="0"/>
              <w:rPr>
                <w:sz w:val="20"/>
                <w:szCs w:val="20"/>
                <w:color w:val="auto"/>
              </w:rPr>
            </w:pPr>
          </w:p>
        </w:tc>
        <w:tc>
          <w:tcPr>
            <w:tcW w:w="2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expenses payable by us.</w:t>
            </w:r>
          </w:p>
        </w:tc>
        <w:tc>
          <w:tcPr>
            <w:tcW w:w="24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084695" cy="5190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4695" cy="5190490"/>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18"/>
          <w:szCs w:val="18"/>
          <w:color w:val="auto"/>
        </w:rPr>
        <w:t>We intend to use the net proceeds from this offering and the Concurrent Note Offering: (i)</w:t>
      </w:r>
    </w:p>
    <w:p>
      <w:pPr>
        <w:spacing w:after="0" w:line="27" w:lineRule="exact"/>
        <w:rPr>
          <w:sz w:val="20"/>
          <w:szCs w:val="20"/>
          <w:color w:val="auto"/>
        </w:rPr>
      </w:pPr>
    </w:p>
    <w:p>
      <w:pPr>
        <w:jc w:val="both"/>
        <w:ind w:left="4420" w:right="20"/>
        <w:spacing w:after="0" w:line="250" w:lineRule="auto"/>
        <w:rPr>
          <w:sz w:val="20"/>
          <w:szCs w:val="20"/>
          <w:color w:val="auto"/>
        </w:rPr>
      </w:pPr>
      <w:r>
        <w:rPr>
          <w:rFonts w:ascii="Times New Roman" w:cs="Times New Roman" w:eastAsia="Times New Roman" w:hAnsi="Times New Roman"/>
          <w:sz w:val="18"/>
          <w:szCs w:val="18"/>
          <w:color w:val="auto"/>
        </w:rPr>
        <w:t>to pay the approximately US$ million cost of the capped call transactions that we will enter into with one or more option counterparties (as defined in this prospectus</w:t>
      </w:r>
    </w:p>
    <w:p>
      <w:pPr>
        <w:spacing w:after="0" w:line="1" w:lineRule="exact"/>
        <w:rPr>
          <w:sz w:val="20"/>
          <w:szCs w:val="20"/>
          <w:color w:val="auto"/>
        </w:rPr>
      </w:pPr>
    </w:p>
    <w:p>
      <w:pPr>
        <w:ind w:left="4420"/>
        <w:spacing w:after="0"/>
        <w:tabs>
          <w:tab w:leader="none" w:pos="8660" w:val="left"/>
        </w:tabs>
        <w:rPr>
          <w:sz w:val="20"/>
          <w:szCs w:val="20"/>
          <w:color w:val="auto"/>
        </w:rPr>
      </w:pPr>
      <w:r>
        <w:rPr>
          <w:rFonts w:ascii="Times New Roman" w:cs="Times New Roman" w:eastAsia="Times New Roman" w:hAnsi="Times New Roman"/>
          <w:sz w:val="18"/>
          <w:szCs w:val="18"/>
          <w:color w:val="auto"/>
        </w:rPr>
        <w:t>supplement); and (ii) to pay the approximately US$</w:t>
      </w:r>
      <w:r>
        <w:rPr>
          <w:sz w:val="20"/>
          <w:szCs w:val="20"/>
          <w:color w:val="auto"/>
        </w:rPr>
        <w:tab/>
      </w:r>
      <w:r>
        <w:rPr>
          <w:rFonts w:ascii="Times New Roman" w:cs="Times New Roman" w:eastAsia="Times New Roman" w:hAnsi="Times New Roman"/>
          <w:sz w:val="18"/>
          <w:szCs w:val="18"/>
          <w:color w:val="auto"/>
        </w:rPr>
        <w:t>million cost of repurchasing for</w:t>
      </w:r>
    </w:p>
    <w:p>
      <w:pPr>
        <w:spacing w:after="0" w:line="9" w:lineRule="exact"/>
        <w:rPr>
          <w:sz w:val="20"/>
          <w:szCs w:val="20"/>
          <w:color w:val="auto"/>
        </w:rPr>
      </w:pPr>
    </w:p>
    <w:p>
      <w:pPr>
        <w:jc w:val="both"/>
        <w:ind w:left="4420"/>
        <w:spacing w:after="0" w:line="252" w:lineRule="auto"/>
        <w:rPr>
          <w:sz w:val="20"/>
          <w:szCs w:val="20"/>
          <w:color w:val="auto"/>
        </w:rPr>
      </w:pPr>
      <w:r>
        <w:rPr>
          <w:rFonts w:ascii="Times New Roman" w:cs="Times New Roman" w:eastAsia="Times New Roman" w:hAnsi="Times New Roman"/>
          <w:sz w:val="18"/>
          <w:szCs w:val="18"/>
          <w:color w:val="auto"/>
        </w:rPr>
        <w:t>cash approximately US$ million aggregate principal amount of the November 2029 notes (including accrued and unpaid interest) in the Concurrent Note Repurchases. We intend to use the remaining net proceeds from this offering and the Concurrent Note Offering for datacenter expansion, HPC and AI cloud business expansion, and ASIC-based mining rig development and manufacture, as well as working capital and other general corporate purposes.</w:t>
      </w:r>
    </w:p>
    <w:p>
      <w:pPr>
        <w:spacing w:after="0" w:line="190" w:lineRule="exact"/>
        <w:rPr>
          <w:sz w:val="20"/>
          <w:szCs w:val="20"/>
          <w:color w:val="auto"/>
        </w:rPr>
      </w:pPr>
    </w:p>
    <w:p>
      <w:pPr>
        <w:jc w:val="both"/>
        <w:ind w:left="4420"/>
        <w:spacing w:after="0" w:line="255" w:lineRule="auto"/>
        <w:rPr>
          <w:sz w:val="20"/>
          <w:szCs w:val="20"/>
          <w:color w:val="auto"/>
        </w:rPr>
      </w:pPr>
      <w:r>
        <w:rPr>
          <w:rFonts w:ascii="Times New Roman" w:cs="Times New Roman" w:eastAsia="Times New Roman" w:hAnsi="Times New Roman"/>
          <w:sz w:val="18"/>
          <w:szCs w:val="18"/>
          <w:color w:val="auto"/>
        </w:rPr>
        <w:t>If the initial purchasers in the Concurrent Note Offering exercise their option to purchase additional New Convertible Notes (as defined below), we intend to use net proceeds from the sale of the additional New Convertible Notes to enter into additional capped call transactions with the option counterparties and the remaining net proceeds for datacenter expansion, HPC and AI cloud business expansion, and ASIC-based mining rig development and manufacture, as well as working capital and other general corporate purposes as described above.</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See the section titled “Use of Proceeds” for additional information.</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514"/>
        </w:trPr>
        <w:tc>
          <w:tcPr>
            <w:tcW w:w="40" w:type="dxa"/>
            <w:vAlign w:val="bottom"/>
            <w:tcBorders>
              <w:right w:val="single" w:sz="8" w:color="auto"/>
            </w:tcBorders>
          </w:tcPr>
          <w:p>
            <w:pPr>
              <w:spacing w:after="0"/>
              <w:rPr>
                <w:sz w:val="24"/>
                <w:szCs w:val="24"/>
                <w:color w:val="auto"/>
              </w:rPr>
            </w:pPr>
          </w:p>
        </w:tc>
        <w:tc>
          <w:tcPr>
            <w:tcW w:w="4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Capped Call Transactions in Connection with the</w:t>
            </w:r>
          </w:p>
        </w:tc>
        <w:tc>
          <w:tcPr>
            <w:tcW w:w="698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 connection with the pricing of the Concurrent Note Offering, we intend to enter into</w:t>
            </w:r>
          </w:p>
        </w:tc>
        <w:tc>
          <w:tcPr>
            <w:tcW w:w="80" w:type="dxa"/>
            <w:vAlign w:val="bottom"/>
          </w:tcPr>
          <w:p>
            <w:pPr>
              <w:spacing w:after="0"/>
              <w:rPr>
                <w:sz w:val="24"/>
                <w:szCs w:val="24"/>
                <w:color w:val="auto"/>
              </w:rPr>
            </w:pPr>
          </w:p>
        </w:tc>
      </w:tr>
      <w:tr>
        <w:trPr>
          <w:trHeight w:val="220"/>
        </w:trPr>
        <w:tc>
          <w:tcPr>
            <w:tcW w:w="40" w:type="dxa"/>
            <w:vAlign w:val="bottom"/>
            <w:tcBorders>
              <w:right w:val="single" w:sz="8" w:color="auto"/>
            </w:tcBorders>
          </w:tcPr>
          <w:p>
            <w:pPr>
              <w:spacing w:after="0"/>
              <w:rPr>
                <w:sz w:val="19"/>
                <w:szCs w:val="19"/>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Concurrent Note Offering</w:t>
            </w: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privately negotiated capped call transactions with the option counterparties. The capped</w:t>
            </w:r>
          </w:p>
        </w:tc>
        <w:tc>
          <w:tcPr>
            <w:tcW w:w="80" w:type="dxa"/>
            <w:vAlign w:val="bottom"/>
          </w:tcPr>
          <w:p>
            <w:pPr>
              <w:spacing w:after="0"/>
              <w:rPr>
                <w:sz w:val="19"/>
                <w:szCs w:val="19"/>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call transactions will cover, subject to customary adjustments, the number of Class A</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ordinary shares that initially underlie the New Convertible Notes.</w:t>
            </w: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capped call transactions are expected to offset the potential dilution to our Class A</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ordinary shares as a result of any conversion of the New Convertible Notes in the manner</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described in “Description of Capped Call Transactions.”</w:t>
            </w: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If the initial purchasers in the Concurrent Note Offering exercise their option to purchase</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additional New Convertible Notes, we expect to use a portion of the net proceeds from the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sale of the additional New Convertible Notes to enter into additional capped call</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transactions with the option counterparties.</w:t>
            </w: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we</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expect that the option counterparties and/or their respective affiliates may enter into various</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derivative transactions with respect to our Class A ordinary shares concurrently with or</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shortly after the pricing of the New Convertible Notes, including with certain investors in</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New Convertible Notes. This activity could increase (or reduce the size of any decrease</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 the market price of our Class A ordinary shares at that time.</w:t>
            </w: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 addition, we expect that the option counterparties and/or their respective affiliates may</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modify or unwind their hedge positions by entering into or unwinding various derivative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transactions and/or purchasing or selling our Class A ordinary shares or other securities of</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ours in secondary market transactions following the pricing of the New Convertible Notes</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and prior to the maturity of the New Convertible Notes (and are likely to do so during the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40 trading day period beginning on the 41st scheduled trading day prior to the maturity</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date of the New Convertible Notes, or, to the extent we exercise the relevant election under</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capped call transactions, following any repurchase, redemption or conversion of the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New Convertible Notes). This activity could also cause or avoid an increase or a decrease</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 the market price of our Class A ordinary shares.</w:t>
            </w:r>
          </w:p>
        </w:tc>
        <w:tc>
          <w:tcPr>
            <w:tcW w:w="80" w:type="dxa"/>
            <w:vAlign w:val="bottom"/>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For a discussion of the potential impact of any market making or other activity by the</w:t>
            </w:r>
          </w:p>
        </w:tc>
        <w:tc>
          <w:tcPr>
            <w:tcW w:w="80" w:type="dxa"/>
            <w:vAlign w:val="bottom"/>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option counterparties or their respective affiliates in connection with these capped call</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transactions, see “Risk Factors—Risks Related to the Concurrent Note Offering and the</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Existing Notes—The capped call transactions may affect the value of our Class A ordinary</w:t>
            </w:r>
          </w:p>
        </w:tc>
        <w:tc>
          <w:tcPr>
            <w:tcW w:w="80" w:type="dxa"/>
            <w:vAlign w:val="bottom"/>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shares and may result in market activity in our Class A ordinary shares” and “Plan of</w:t>
            </w:r>
          </w:p>
        </w:tc>
        <w:tc>
          <w:tcPr>
            <w:tcW w:w="80" w:type="dxa"/>
            <w:vAlign w:val="bottom"/>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69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Distribution—Capped Call Transactions.”</w:t>
            </w:r>
          </w:p>
        </w:tc>
        <w:tc>
          <w:tcPr>
            <w:tcW w:w="80" w:type="dxa"/>
            <w:vAlign w:val="bottom"/>
          </w:tcPr>
          <w:p>
            <w:pPr>
              <w:spacing w:after="0"/>
              <w:rPr>
                <w:sz w:val="20"/>
                <w:szCs w:val="20"/>
                <w:color w:val="auto"/>
              </w:rPr>
            </w:pPr>
          </w:p>
        </w:tc>
      </w:tr>
      <w:tr>
        <w:trPr>
          <w:trHeight w:val="300"/>
        </w:trPr>
        <w:tc>
          <w:tcPr>
            <w:tcW w:w="40" w:type="dxa"/>
            <w:vAlign w:val="bottom"/>
            <w:tcBorders>
              <w:right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98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S-5</w:t>
            </w: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See “Risk Factors” and the other information included in this prospectus supplement and in the documents incorporated by reference in this prospectus supplement and the accompanying prospectus for a discussion of factors you should consider carefully before deciding to invest in our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-763270</wp:posOffset>
            </wp:positionV>
            <wp:extent cx="7084695" cy="409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4695" cy="409321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3700" w:space="720"/>
            <w:col w:w="6600"/>
          </w:cols>
          <w:pgMar w:left="400" w:top="1008" w:right="4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Nasdaq Stock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Class A ordinary shares: “BTDR”</w:t>
      </w:r>
    </w:p>
    <w:p>
      <w:pPr>
        <w:spacing w:after="0" w:line="207" w:lineRule="exact"/>
        <w:rPr>
          <w:sz w:val="20"/>
          <w:szCs w:val="20"/>
          <w:color w:val="auto"/>
        </w:rPr>
      </w:pPr>
    </w:p>
    <w:p>
      <w:pPr>
        <w:sectPr>
          <w:pgSz w:w="11900" w:h="16838" w:orient="portrait"/>
          <w:cols w:equalWidth="0" w:num="2">
            <w:col w:w="3700" w:space="720"/>
            <w:col w:w="6600"/>
          </w:cols>
          <w:pgMar w:left="400" w:top="1008" w:right="479" w:bottom="1440" w:gutter="0" w:footer="0" w:header="0"/>
          <w:type w:val="continuous"/>
        </w:sectPr>
      </w:pP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Class A ordinary shares to be outstanding after this offering is based on 191,152,162 Class A ordinary shares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excludes:</w:t>
      </w:r>
    </w:p>
    <w:p>
      <w:pPr>
        <w:spacing w:after="0" w:line="207" w:lineRule="exact"/>
        <w:rPr>
          <w:sz w:val="20"/>
          <w:szCs w:val="20"/>
          <w:color w:val="auto"/>
        </w:rPr>
      </w:pPr>
    </w:p>
    <w:p>
      <w:pPr>
        <w:ind w:left="660" w:hanging="32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3,364,711 Class A ordinary shares that have been repurchased but not cancelled;</w:t>
      </w:r>
    </w:p>
    <w:p>
      <w:pPr>
        <w:spacing w:after="0" w:line="225"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7,258,176 Class A ordinary shares reserved for future issuance upon the exercise of awards granted under our 2023 Share Incentive Plan outstanding as of December 31, 2025;</w:t>
      </w:r>
    </w:p>
    <w:p>
      <w:pPr>
        <w:spacing w:after="0" w:line="161"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3,404,713 Class A ordinary shares reserved for future issuance under our 2023 Share Incentive Plan as of December 31, 2025;</w:t>
      </w:r>
    </w:p>
    <w:p>
      <w:pPr>
        <w:spacing w:after="0" w:line="225" w:lineRule="exact"/>
        <w:rPr>
          <w:rFonts w:ascii="Times New Roman" w:cs="Times New Roman" w:eastAsia="Times New Roman" w:hAnsi="Times New Roman"/>
          <w:sz w:val="18"/>
          <w:szCs w:val="18"/>
          <w:color w:val="auto"/>
        </w:rPr>
      </w:pPr>
    </w:p>
    <w:p>
      <w:pPr>
        <w:jc w:val="both"/>
        <w:ind w:left="660" w:right="20" w:hanging="327"/>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1,936,064 Class A ordinary shares that we sold after December 31, 2025 and prior to the date of this prospectus supplement, pursuant to that certain At Market Issuance Sales Agreement, dated as January 3, 2025 (the “Sales Agreement”), by and among us,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for gross proceeds of US$28.2 million;</w:t>
      </w:r>
    </w:p>
    <w:p>
      <w:pPr>
        <w:spacing w:after="0" w:line="183"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ordinary shares that become available subsequent to this offering under our 2023 Performance Share Plan pursuant to provisions thereof that automatically increase the share reserve under such plan in connection with increases in our market capitalization; and</w:t>
      </w:r>
    </w:p>
    <w:p>
      <w:pPr>
        <w:spacing w:after="0" w:line="161"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ordinary shares reserved for issuance upon conversion of the New Convertible Notes or the existing notes.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1008" w:right="47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4761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4695" cy="4761865"/>
                    </a:xfrm>
                    <a:prstGeom prst="rect">
                      <a:avLst/>
                    </a:prstGeom>
                    <a:noFill/>
                  </pic:spPr>
                </pic:pic>
              </a:graphicData>
            </a:graphic>
          </wp:anchor>
        </w:drawing>
        <w:t>CONCURRENT NOTES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Offering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Concurrently with this offering, we intend to offer, subject to market and other conditions, convertible senior notes due 2032 in an aggregate principal amount of US$300,000,000. We also intend to grant the initial purchasers in the Concurrent Note Offering an option to purchase, for settlement during a 13-day period beginning on, and including, the first date on which the New Convertible Notes are issued, up to an additional US$45,000,000 aggregate principal amount of New Convertible Notes. The Concurrent Note Offering will be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 the registration and prospectus-delivery requirements of the Securities Act. This prospectus supplement and the accompanying prospectus do not constitute an offer to sell, or the solicitation of an offer to buy, any of the New Convertible Notes, or the Class A ordinary shares, if any, issuable upon conversion of the New Convertible Notes.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New Convertible Notes will be our general senior unsecured obligations and will rank senior in right of payment to all of our indebtedness that is expressly subordinated in right of payment to the New Convertible Notes, will rank equal in right of payment with all of our liabilities that are not so subordinated, including our existing notes and the Financing Facility, will rank effectively junior in right of payment to any of our secured indebtedness to the extent of the value of the assets securing such indebtedness, including the Matrixport Loans, and will rank structurally junior to all indebtedness and other liabilities (including trade payables) of our subsidiaries. The New Convertible Notes will bear interest at a rate of % per year. Interest on the New Convertible Notes will accrue from February , 2026 and will be payable semiannually in arrears on March 1 and September 1 of each year, beginning on September 1, 2026. The New Convertible Notes will mature on March 1, 2032, unless earlier converted, redeemed or repurchased.</w:t>
      </w:r>
    </w:p>
    <w:p>
      <w:pPr>
        <w:spacing w:after="0" w:line="18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 2031, noteholders will have the right to convert their New Convertible Notes only upon the satisfaction of specified conditions and during certain periods. On or after December 1, 2031 and until the close of business on the second scheduled trading day immediately preceding March 1, 2032, noteholders may convert their New Convertible Notes, in integral</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multiples of US$1,000 principal amount, at any time regardless of these conditions. The initial conversion rate will be Class A ordinary shares per US$1,000 principal amount of New Convertible Notes (equivalent to an initial conversion price of approximately US$ per Class A ordinary share, which represents a premium of approximately % over the last reported sales price of US$ per Class A ordinary share on Nasdaq on February ,</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2026, subject to adjustment in certain circumstances). In addition, following certain corporate events that occur prior March 1, 2032 or if we deliver a notice of redemption, we will, in certain circumstances, increase the conversion rate for a noteholder who elects to convert its New Convertible Notes in connection with such corporate events or convert its New Convertible Notes in connection with such notice of redemption, as the case may be. We will settle conversions of any New Convertible Notes by paying or delivering, as the case may be, cash, Class A ordinary shares or a combination of cash and Class A ordinary shares, at our election.</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13" w:name="page14"/>
    <w:bookmarkEnd w:id="1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5173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4695" cy="5173345"/>
                    </a:xfrm>
                    <a:prstGeom prst="rect">
                      <a:avLst/>
                    </a:prstGeom>
                    <a:noFill/>
                  </pic:spPr>
                </pic:pic>
              </a:graphicData>
            </a:graphic>
          </wp:anchor>
        </w:drawing>
        <w:t>We may redeem for cash all or any portion of the New Convertible Notes (subject to certain limitations), at our option, on a redemption date on or after March 6, 2030 and prior to the 41st scheduled trading day immediately preceding the maturity date, if (i) the last reported sale price of our Class A ordinary shares has been at least 130% of the conversion price for the New Convertible Notes then in effect for at least 20 trading days (whether or not consecutive) during any 30 consecutive trading day period (including the last trading day of such period) ending on, and including, the trading day immediately preceding the date on which we provide notice of optional redemption, and (ii) certain liquidity conditions are satisfied, at a redemption price equal to 100% of the principal amount of the New Convertible Notes to be redeemed, plus accrued and unpaid interest to, but excluding, the redemption date. In addition, we may redeem for cash all but not part of the New Convertible Notes at any time on a redemption date prior to the 41st scheduled trading day immediately preceding the maturity date if less than US$50 million aggregate principal amount of New Convertible Notes remains outstanding at such time, at a redemption price equal to 100% of the principal amount of the New Convertible Notes to be redeemed, plus accrued and unpaid interest to, but excluding, the redemption date. We may also redeem for cash all but not part of the New Convertible Notes in the event of certain tax law changes.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6, 2030 and if we undergo a fundamental change (as defined in the indenture governing the New Convertible Notes), subject to certain conditions and a limited exception set forth in the indenture governing the New Convertible Notes, noteholders may require us to repurchase for cash all or any portion of their New Convertible Notes at a specified repurchase date repurchase price or fundamental change repurchase price, as applicable, equal to 100% of the principal amount of the New Convertible Notes to be repurchased, plus accrued and unpaid interest to, but excluding, the relevant repurchase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Note Repurchases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pricing of this offering, we expect to repurchase for cash approximately US$ million in aggregate principal amount of the November 2029 notes for approximately US$ million (including accrued and unpaid interest) in the Concurrent Note Repurchases. The terms</w:t>
      </w:r>
    </w:p>
    <w:p>
      <w:pPr>
        <w:jc w:val="both"/>
        <w:spacing w:after="0" w:line="255" w:lineRule="auto"/>
        <w:rPr>
          <w:sz w:val="20"/>
          <w:szCs w:val="20"/>
          <w:color w:val="auto"/>
        </w:rPr>
      </w:pPr>
      <w:r>
        <w:rPr>
          <w:rFonts w:ascii="Times New Roman" w:cs="Times New Roman" w:eastAsia="Times New Roman" w:hAnsi="Times New Roman"/>
          <w:sz w:val="18"/>
          <w:szCs w:val="18"/>
          <w:color w:val="auto"/>
        </w:rPr>
        <w:t>of each Concurrent Note Repurchase will depend on a variety of factors. No assurance can be given as to how much, if any, of the November 2029 notes will be repurchased or the terms on which they will be repurchased. This prospectus supplement and the accompanying prospectus do not constitute an offer to buy, or the solicitation of an offer to sell, any of the November 2029 notes.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Concurrent Note Repurchases, we expect that holders of the November 2029 notes who agree to have their November 2029 notes repurchased and who have hedged their equity price risk with respect to such notes (the “hedged holders”) will unwind all or part of their hedge positions by buying our Class A ordinary shares and/or entering into or unwinding various derivative transactions with respect to our Class A ordinary shares. The amount of our Class A ordinary shares to be purchased by the hedged holders or in connection with such derivative transactions may be substantial in relation to the historic average daily trading volume of our Class A ordinary shares. This activity by the hedged holders could increase (or reduce the size of any decrease in) the market price of our Class A ordinary shares, including concurrently with the pricing of this offering. We cannot predict the magnitude of such market activity or the overall effect it will have on the price of the shares offered hereby or our Class A ordinary shares. See the section titled “Risk Factors—Risks Related to the Concurrent Note Offering and the Existing Notes— Any repurchases of the November 2029 notes may affect the value of our Class A ordinary shares.”</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5" w:right="47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6133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4695" cy="6133465"/>
                    </a:xfrm>
                    <a:prstGeom prst="rect">
                      <a:avLst/>
                    </a:prstGeom>
                    <a:noFill/>
                  </pic:spPr>
                </pic:pic>
              </a:graphicData>
            </a:graphic>
          </wp:anchor>
        </w:drawing>
        <w:t>DESCRIPTION OF CAPPED CALL TRANSACTIONS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Concurrent Note Offering, we intend to enter into privately negotiated capped call transactions with the option counterparties. The capped call transactions will cover, subject to customary adjustments, the number of Class A ordinary shares that initially underlie</w:t>
      </w:r>
    </w:p>
    <w:p>
      <w:pPr>
        <w:jc w:val="both"/>
        <w:spacing w:after="0" w:line="260" w:lineRule="auto"/>
        <w:rPr>
          <w:sz w:val="20"/>
          <w:szCs w:val="20"/>
          <w:color w:val="auto"/>
        </w:rPr>
      </w:pPr>
      <w:r>
        <w:rPr>
          <w:rFonts w:ascii="Times New Roman" w:cs="Times New Roman" w:eastAsia="Times New Roman" w:hAnsi="Times New Roman"/>
          <w:sz w:val="18"/>
          <w:szCs w:val="18"/>
          <w:color w:val="auto"/>
        </w:rPr>
        <w:t>the New Convertible Notes. We anticipate that the cap price of the capped call transactions will initially represent a premium of approximately % over the last reported sale price of our Class A ordinary shares on the pricing date of the Concurrent Note Offering.</w:t>
      </w:r>
    </w:p>
    <w:p>
      <w:pPr>
        <w:spacing w:after="0" w:line="18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capped call transactions are separate transactions that will be entered into by us and the option counterparties, are not part of the terms of the New Convertible Notes and will not affect the holders’ rights under the New Convertible Notes.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capped call transactions (or portions thereof) are exercised and the market value per Class A ordinary share, as measured under the terms of the capped call transactions at the time of exercise, is greater than the strike price of the capped call transactions but not greater than the cap price of the capped call transactions, we expect to receive from the option counterparties a number of Class A ordinary shares or, at our election (subject to certain conditions), cash and/or Class A ordinary shares, with an aggregate market value (or, in the case of cash settlement, in an amount) approximately equal to the product of such excess times the number of Class A ordinary shares relating to the capped call transactions (or the portions thereof) being exercised. As a result, the capped call transactions are expected to offset the potential dilution as a result of conversion of the New Convertible Notes unless we elect, at our option and subject to certain condition specified under the capped call transactions, to change the default settlement under the capped call transactions from Class A ordinary shares to cash or a combination of cash and Class A ordinary shares. If, however, the market value per Class A ordinary share, as measured under the terms of the capped call transactions at the time of exercise, exceeds the cap price of the capped call transactions, the number of Class A ordinary shares and/or the amount of cash we expect to receive upon the exercise of the capped call transaction (or portions thereof) will be capped based on (x) the excess of the cap price of the capped call transactions over the strike price of the capped call transactions times (y) the number of Class A ordinary shares relating to the capped call transactions (or the portions thereof) being exercised, and the dilution mitigation under the capped call transactions will be limited to such capped number of Class A ordinary shares we expect to receive.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to the extent that the market value per Class A ordinary share exceeds the conversion price of the New Convertible Notes but does not exceed the strike price of the capped call transactions, we will not be entitled to receive any Class A ordinary shares or cash under the capped call transactions. 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notes. This activity could increase (or reduce the size of any decrease in) the market price of our Class A ordinary shares or the New Convertible Notes at that time.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expect that the option counterparties and/or their respective affiliates described above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New Convertible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prevent an increase or decrease in the market price of our Class A ordinary shares.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the potential impact of any market making or other activity by the option counterparties and/ or their respective affiliates in connection with these capped call transactions, see “Plan of Distribution—Capped Call Transactions” and “Risk Factors—Risks Related to the Concurrent Note Offering and the Existing Notes—The capped call transactions may affect the value of our Class A ordinary shares and may result in market activity in our Class A ordinary shares.”</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 Before making a decision to invest in our securities, you should carefully consider the following risks and those in our Form 20-F, and any updates to those risk factors in our reports on Form 6-K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of Class A ordinary shares in this offering will experience immediate and substantial dilution in the book value of their investment.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the price per Class A ordinary share being offered in this offering is substantially higher than our net tangible book value per share of our outstanding Class A ordinary shares prior to this offering, you will suffer substantial dilution with respect to the net tangible book value of the Class A</w:t>
      </w:r>
    </w:p>
    <w:p>
      <w:pPr>
        <w:jc w:val="both"/>
        <w:spacing w:after="0" w:line="250" w:lineRule="auto"/>
        <w:rPr>
          <w:sz w:val="20"/>
          <w:szCs w:val="20"/>
          <w:color w:val="auto"/>
        </w:rPr>
      </w:pPr>
      <w:r>
        <w:rPr>
          <w:rFonts w:ascii="Times New Roman" w:cs="Times New Roman" w:eastAsia="Times New Roman" w:hAnsi="Times New Roman"/>
          <w:sz w:val="18"/>
          <w:szCs w:val="18"/>
          <w:color w:val="auto"/>
        </w:rPr>
        <w:t>ordinary shares you purchase in this offering. Based on the offering price of US$ per share, and our net tangible book value as of December 31, 2025, if you purchase shares in this offering, you will suffer immediate and substantial dilution of US$ per share with respect to the net tangible book value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A ordinary shares you purchase in this offering. For a more detailed discussion of the foregoing, see the section titled “Dilution”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to raise additional funds through the issuance of additional Class A ordinary shares or other securities convertible into or exchangeable for Class A ordinary shares. From time to time, we engage in discussions with various financing sources to enhance liquidity. Concurrently with this offering, we intend to offer, subject to market and other conditions, New Convertible Notes in the Concurrent Note Offering, in an aggregate principal amount of US$300,000,000. We also intend to grant the initial purchasers in the Concurrent Note Offering an option to purchase, for settlement during a 13-day period beginning on, and including, the first date on which the New Convertible Notes are issued, up to an additional US$45,000,000 aggregate principal amount of New Convertible Notes.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Class A ordinary shares or other securities convertible into or exchangeable for Class A ordinary shares. For example, pursuant to our At Market Issuance Sales Agreement, dated January 3, 2025, with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(each, a “Sales Agent”), and a prospectus supplement dated January 3, 2025, as amended as of November 12, 2025 and February 18, 2026, we may offer and sell, after the date of this prospectus supplement, up to US$569.6 million of our Class A ordinary shares from time to time through or to the Sales Agents, as agent or principal. We cannot assure you that we will be able to sell Class A ordinary shares or other securities in any other offering at a price per Class A ordinary share that is equal to or greater than the price per Class A ordinary share paid by investors in this offering, and investors purchasing Class A ordinary shares or other securities in the future could have rights superior to existing shareholders. The price per Class A ordinary share at which we sell additional Class A ordinary shares or other securities convertible into or exchangeable for Class A ordinary shares in future transactions may be higher or lower than the price per Class A ordinary share in this offering.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Class A ordinary shares or equity-linked securities in the public market could lower the trading price for our Class A ordinary shares.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in the future sell additional Class A ordinary shares or equity-linked securities to raise capital. In addition, a substantial number of Class A ordinary shares are reserved for issuance upon conversion of our debt securities and Class V ordinary shares as well as in connection with the exercise or vesting of awards under our equity incentive plans. We cannot predict the size of future issuances or the effect, if any, that they may have on the market price for our Class A ordinary shares or equity-linked securities in the public market. The issuance and/or sale of substantial amounts of our Class A ordinary shares, or the perception that such issuances and sales may occur (including due to anticipated conversion of our debt securities, depending on the prevailing trading price of our Class A ordinary shares at the time), could adversely affect the trading price of the Class A ordinary shares and impair our ability to raise capital through the sale of additional equity or equity-linked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Concurrent Note Offering and the Existing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repurchases of the November 2029 notes may affect the value of our Class A ordinary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use the net proceeds from this offering, together with a portion of the proceeds from the Concurrent Note Offering, to repurchase approximately US$ million in aggregate principal amount of our November 2029 notes for cash in the Concurrent Note Repurchases. These transactions are expected to occur concurrently with the pricing of this offering and may affect the market price of our Class A ordinary shares.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Concurrent Note Repurchases, we expect that hedged holders will unwind all or part of their hedge positions by buying our Class A ordinary shares and/or entering into or unwinding various derivative transactions with respect to our Class A ordinary shares. The amount of our Class A ordinary shares to be purchased by the hedged holders or in connection with such derivative transactions may be substantial in relation to the historic average daily trading volume of our Class A ordinary shares. This activity by the hedged holders could increase (or reduce the size of any decrease in) the market price of our Class A ordinary shares, including concurrently with the pricing of the shares offered in this offering. We cannot predict the magnitude of such market activity or the overall effect it will have on our Class A ordinary shares.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New Convertible Notes or the existing notes may dilute the ownership interest of the holders of our Class A ordinary shares or may otherwise depress the price of our Class A ordinary shares.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conversion of some or all of the New Convertible Notes or the existing notes may dilute the ownership interests of the holders of our Class A ordinary shares. Upon conversion of the New Convertible or the existing notes, we have the option to pay or deliver, as the case may be, cash, Class A ordinary shares, or a combination of cash and Class A ordinary shares. If we elect to settle our conversion obligation in Class A ordinary shares or a combination of cash and Class A ordinary shares, any sales in the public market of our Class A ordinary shares issuable upon such conversion could adversely affect prevailing market prices of our Class A ordinary shares. In addition, the existence of the New Convertible Notes or the existing notes may encourage short selling by market participants because the conversion of the New Convertible Notes or the existing notes could be used to satisfy short positions, or anticipated conversion of the New Convertible Notes or the existing notes into Class A ordinary shares could depress the price of our Class A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New Convertible Notes, if triggered, may adversely affect our financial condition and operating results.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New Convertible Notes is triggered, holders of New Convertible Notes will be entitled to convert their notes at any time during specified periods at their option. If one or more holders elect to convert their New Convertible Notes, unless we elect to satisfy our conversion obligation by delivering solely Class A ordinary shares (other than paying cash in lieu of delivering any fractional share), we would be required to settle a portion or all of our conversion obligation through the payment of cash, which could adversely affect our liquidity. In addition, even if holders do not elect to convert their New Convertible Notes, we could be required under applicable accounting rules to reclassify all or a portion of the outstanding principal of the New Convertible Notes as a current rather than long-term liability, which would result in a material reduction of our net working capital.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New Convertible Notes or the existing notes, to repurchase the New Convertible Notes on March 6, 2030, to repurchase the New Convertible Notes upon a fundamental change or to repurchase the existing notes when required and our future debt may contain limitations on our ability to pay cash upon conversion or to repurchase the New Convertible Notes or the existing notes.</w:t>
      </w:r>
    </w:p>
    <w:p>
      <w:pPr>
        <w:spacing w:after="0" w:line="18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Holders of the New Convertible Notes will have the right, subject to certain conditions, to require us to repurchase all or any portion of their New Convertible Notes on March 6, 2030 or upon the occurrence of a fundamental change, in each case, at a specified repurchase date repurchase price or fundamental change repurchase price, as applicable, equal to 100% of the principal amount of the notes to be repurchased, plus accrued and unpaid interest to, but excluding, the applicable repurchase date. In addition, upon conversion of the New Convertible Notes, unless we elect to deliver solely Class A ordinary shares to settle such conversion (other than paying cash in lieu of delivering any fractional share), we will be required to make cash payments in respect of the New Convertible Notes being converted. The indentures governing the existing notes contain similar provisions requiring us to offer to repurchase the existing notes on specified repurchase dates or upon the occurrence of a “fundamental change” (as defined in such indenture) and giving us the option to pay cash to settle conversions of the existing notes. The indenture governing the November 2031 notes grants holders of the November 2031 notes the right, subject to certain conditions and except as described therein, to require us to repurchase all or any portion of their November 2031 notes on November 20, 2029. The indenture governing the July 2031 notes grants holders of the July 2031 notes the right, subject to certain conditions and except as described therein, to require us to repurchase all or any portion of their July 2031 notes on July 6, 2029. The indenture governing the November 2029 notes also grants holders of the November 2029 notes the right, subject to certain conditions and except as described therein, to require us to repurchase all or any portion of their November 2029 notes on December 6, 2027. However, we may not have enough available cash or be able to obtain financing at the time we are required to make repurchases of the New Convertible Notes or the existing notes or settle in cash the New Convertible Notes or the existing notes being converted. In addition, our ability to repurchase the New Convertible Notes or the existing notes or to pay cash upon conversions of the notes may be limited by law, by regulatory authority or by agreements governing our future indebtedness. Our failure to repurchase the New Convertible Notes or the existing notes at a time when the repurchase is required by the applicable indenture or to pay any cash payable on future conversions of the New Convertible Notes or the existing notes as required by the applicable indenture would constitute a default under such indenture. A default under the indenture governing the New Convertible Notes or the existing notes could also be a default under our other future outstanding indebtedness (and vice versa) or the fundamental change itself could also lead to a default under agreements governing our existing or any outstanding future indebtedness. If the repayment of our other indebtedness or any outstanding future indebtedness were to be accelerated after any applicable notice or grace periods, we may not have sufficient funds to repay the indebtedness and repurchase or redeem the New Convertible Notes or the existing notes or make cash payments upon conversions thereof.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New Convertible Notes and the existing notes could have a material adverse effect on our reported financial results.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method for reflecting the New Convertible Notes and the existing notes on our consolidated balance sheet, accruing interest expense for the New Convertible Notes and the existing notes and reflecting the underlying Class A ordinary shares in our reported diluted earnings per share may adversely affect our reported earnings and financial condition.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consistent with the existing notes, the New Convertible Notes will be reflected as a liability on our consolidated balance sheet. Our full accounting assessment may conclude that we are required to separately account for the conversion option or other features as embedded derivatives. Alternatively, we may elect the fair value option to account for the entire instrument at fair value. In either case, we will need to record, on a quarterly basis, gains and losses related to such changes in fair value, which could have a material impact on our net income or loss. It could also depress the trading price of our Class A ordinary shares, the New Convertible Notes and the existing notes.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accounting method for reflecting the Class A ordinary shares underlying the New Convertible Notes in our diluted earnings per share may adversely affect our reported earnings and financial condition. We expect that, under applicable accounting principles and consistent with the existing notes, the Class A ordinary shares underlying the New Convertible Notes will be reflected in our diluted earnings per share assuming that all the New Convertible Notes were converted into Class A ordinary shares at the beginning of the reporting period (or, if later, the date the New Convertible Notes are first issued), unless the result would be anti-dilutive. Accounting for the New Convertible Notes in this manner may reduce our diluted earnings per share.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the indentures governing the New Convertible Notes and the existing notes may delay or prevent an otherwise beneficial takeover attempt of us.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provisions in the indenture governing the New Convertible Notes may make it more difficult or expensive for a third party to acquire us. For example, the indenture governing the New Convertible Notes will require us to repurchase the New Convertible Notes for cash upon the occurrence of a fundamental change and, in certain circumstances, to increase the conversion rate for a holder that converts its New Convertible Notes in connection with a make-whole fundamental change. A takeover of us may trigger the requirement that we repurchase the New Convertible Notes and/or increase the conversion rate, which could make it more costly for a potential acquirer to engage in such takeover. Such additional costs may have the effect of delaying or preventing a takeover of us that would otherwise be beneficial to investors. The indentures governing the existing notes contain similar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our Class A ordinary shares and may result in market activity in our Class A ordinary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New Convertible Notes, we intend to enter into privately negotiated capped call transactions with the option counterparties. The capped call transactions will cover, subject to customary adjustments, the number of Class A ordinary shares that initially underlie the New Convertible Notes. The capped call transactions are expected to offset the potential dilution as a result of any conversion of New Convertible Notes. If the initial purchasers of the New Convertible Notes exercise their option to purchase additional notes, we expect to use a portion of the net proceeds from the sale of the additional New Convertible Notes to enter into additional capped call transactions with the option counterparties.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New Convertible Notes. This activity could increase (or reduce the size of any decrease in) the market price of our Class A ordinary shares at that time.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expect that the option counterparties and/or their respective affiliates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avoid an increase or a decrease in the market price of our Class A ordinary shares.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any such capped call transactions fail to become effective, whether or not the offering of New Convertible Notes is completed, the option counterparties or their respective affiliates may unwind their hedge positions with respect to our Class A ordinary shares, which could adversely affect the price of our Class A ordinary shares.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potential effect, if any, of these transactions and activities on the market price of our Class A ordinary shares will depend in part on market conditions and cannot be ascertained at this time. Any of these activities could adversely affect the price of our Class A ordinary shares.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potential effect that the transactions described above may have on the Class A ordinary shares. In addition, we do not make any representation that the option counterparties or their respective affiliates will engage in these transactions or that these transactions, once commenced, will not be discontinued without notice.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will be subject to the risk that one or more of the option counterparties may become insolvent, default or otherwise fail to perform its obligations under the capped call transactions. Our exposure to the credit risk of the option counterparties will not be secured by any collateral and will depend on many factors but, generally, will increase if the market price of our Class A ordinary shares increases. If an option counterparty were to become insolvent, default or otherwise fail to perform its obligations under the capped call transactions, we may suffer more dilution than we currently anticipate with respect to the Class A ordinary shares. We can provide no assurance as to the financial stability or viability of the option counterparties.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Other Legal Matters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and other disputes from time to time arising out of our operations, including disputes with our suppliers, business partners, customers or employees. Our shareholders and business partners are also subject to risks relating to litigation and disputes, which could adversely affect our business or reputation.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from time to time be involved in disputes with various parties arising out of our operations, including suppliers of mining rig components, contract manufacturers and other subcontractors or electricity suppliers, business partners, customers or employees. These disputes may lead to protests or legal or other proceedings and may result in damage to our reputation, substantial costs and diversion of resources and management’s attention from our core business activities. For example, on February 2, 2026, one of our subsidiaries received notice that American Heavy Plate Solutions, LLC (“AHP”) had filed a complaint in the Court of Common Pleas of Monroe County, Ohio against Monroe County Port Authority (“MCPA”), and several of our wholly-owned subsidiaries. AHP is seeking declaratory and injunctive relief concerning certain leasehold rights at an industrial property in Monroe County, Ohio of which MCPA is the landlord. In addition, we may encounter compliance issues with regulatory bodies in the course of our operations, in respect of which we may face administrative proceedings or unfavorable rulings that may result in liabilities and cause delays or disruptions to our services. We may be involved in other proceedings or disputes in the future that may have a material adverse effect on our business, financial condition, results of operations or cash flows. Furthermore, our shareholders and business partners, some of which are market players in the crypto industry, are also subject to risks relating to litigation and disputes. Such litigation and disputes are beyond our control and may adversely affect our business and reputation.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price of Class A ordinary shares has and could in the future subject us to further securities class action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Securities class action litigation has often been brought against a company following a decline in the market price of its securities. We are particularly exposed to market price volatility driven by the price of Bitcoin. We have in the past, are currently, and could in the future face such litigation, which could result in substantial costs and a diversion of management’s attention and resources, which could harm our business. For example, in December 2025 a putative securities class action lawsuit was filed against the Company and certain of our executives, in the U.S. District Court for the Southern District of New York alleging that the defendants violated federal securities laws by making materially false or misleading statements about our business, operations and prospects related to one of ournew generation SEALMINER chips.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of our Class A ordinary shares will be approximately US$ estimated offering expenses payable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after deducting the</w:t>
      </w:r>
    </w:p>
    <w:p>
      <w:pPr>
        <w:spacing w:after="0" w:line="441" w:lineRule="exact"/>
        <w:rPr>
          <w:sz w:val="20"/>
          <w:szCs w:val="20"/>
          <w:color w:val="auto"/>
        </w:rPr>
      </w:pPr>
    </w:p>
    <w:p>
      <w:pPr>
        <w:sectPr>
          <w:pgSz w:w="11900" w:h="16838" w:orient="portrait"/>
          <w:cols w:equalWidth="0" w:num="2">
            <w:col w:w="8520" w:space="720"/>
            <w:col w:w="2000"/>
          </w:cols>
          <w:pgMar w:left="320" w:top="900" w:right="339" w:bottom="1440" w:gutter="0" w:footer="0" w:header="0"/>
          <w:type w:val="continuous"/>
        </w:sect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the Concurrent Note Offering will be approximately US$ million (or approximately US$ million if the initial purchasers in the Concurrent Note Offering fully exercise their option to purchase additional New Convertible Notes), after deducting the initial purchasers’ discounts and estimated offering expenses payable by us.</w:t>
      </w:r>
    </w:p>
    <w:p>
      <w:pPr>
        <w:spacing w:after="0" w:line="176" w:lineRule="exact"/>
        <w:rPr>
          <w:sz w:val="20"/>
          <w:szCs w:val="20"/>
          <w:color w:val="auto"/>
        </w:rPr>
      </w:pPr>
    </w:p>
    <w:p>
      <w:pPr>
        <w:ind w:left="340"/>
        <w:spacing w:after="0"/>
        <w:tabs>
          <w:tab w:leader="none" w:pos="9880" w:val="left"/>
        </w:tabs>
        <w:rPr>
          <w:sz w:val="20"/>
          <w:szCs w:val="20"/>
          <w:color w:val="auto"/>
        </w:rPr>
      </w:pPr>
      <w:r>
        <w:rPr>
          <w:rFonts w:ascii="Times New Roman" w:cs="Times New Roman" w:eastAsia="Times New Roman" w:hAnsi="Times New Roman"/>
          <w:sz w:val="18"/>
          <w:szCs w:val="18"/>
          <w:color w:val="auto"/>
        </w:rPr>
        <w:t>We intend to use the net proceeds from this offering and the Concurrent Note Offering: (i) to pay the approximately US$</w:t>
      </w:r>
      <w:r>
        <w:rPr>
          <w:sz w:val="20"/>
          <w:szCs w:val="20"/>
          <w:color w:val="auto"/>
        </w:rPr>
        <w:tab/>
      </w:r>
      <w:r>
        <w:rPr>
          <w:rFonts w:ascii="Times New Roman" w:cs="Times New Roman" w:eastAsia="Times New Roman" w:hAnsi="Times New Roman"/>
          <w:sz w:val="18"/>
          <w:szCs w:val="18"/>
          <w:color w:val="auto"/>
        </w:rPr>
        <w:t>million cost of the</w:t>
      </w:r>
    </w:p>
    <w:p>
      <w:pPr>
        <w:sectPr>
          <w:pgSz w:w="11900" w:h="16838" w:orient="portrait"/>
          <w:cols w:equalWidth="0" w:num="1">
            <w:col w:w="11240"/>
          </w:cols>
          <w:pgMar w:left="320" w:top="900"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capped call transactions that we will enter into with one or more of the initial purchasers or affiliates thereof and/or other financial institutions (the “option</w:t>
      </w: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counterparties”) as described under “Description of Capped Call Transactions;” and (ii) to pay the approximately US$ million cost of repurchasing for cash approximately US million aggregate principal amount of the November 2029 notes (including accrued and unpaid interest) in the</w:t>
      </w: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 Note Repurchases described in “Concurrent Notes Transactions—Concurrent Note Repurchases.” We intend to use the remaining net proceeds from this offering and the Concurrent Note Offering for datacenter expansion, HPC and AI cloud business expansion and ASIC-based mining rig development and manufacture, as well as working capital and other general corporate purposes.</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initial purchasers in the Concurrent Note Offering exercise their option to purchase additional New Convertible Notes, we intend to use net proceeds from the sale of the additional New Convertible Notes to enter into additional capped call transactions with the option counterparties and the remaining net proceeds for datacenter expansion, HPC and AI cloud business expansion and ASIC-based mining rig development and manufacture, as well as working capital and other general corporate purposes as described above.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November 2029 notes bear interest at a rate of 5.25% per annum and mature on December 1, 2029, unless earlier converted, redeemed or repurchased by us.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1" w:name="page22"/>
    <w:bookmarkEnd w:id="21"/>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2025:</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sale of our Class A ordinary shares in this offering and the Concurrent Note Offering (assuming the initial purchasers do not exercise their option to purchase additional New Convertible Notes, and after deducting the initial purchasers’ discounts and commissions and the estimated offering expenses payable by us), but without giving effect to the use of proceeds from this offering.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our unaudited consolidated statements of financial position contained in a press release attached as Exhibit 99.1 to our Report on Form 6-K filed with the Securities and Exchange Commission on February 12, 2026 and incorporated by reference in this prospectus supplement.</w:t>
      </w:r>
    </w:p>
    <w:p>
      <w:pPr>
        <w:spacing w:after="0" w:line="172"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5715</wp:posOffset>
            </wp:positionV>
            <wp:extent cx="17056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7" w:lineRule="exact"/>
        <w:rPr>
          <w:sz w:val="20"/>
          <w:szCs w:val="20"/>
          <w:color w:val="auto"/>
        </w:rPr>
      </w:pPr>
    </w:p>
    <w:p>
      <w:pPr>
        <w:ind w:left="8760"/>
        <w:spacing w:after="0"/>
        <w:tabs>
          <w:tab w:leader="none" w:pos="10080" w:val="left"/>
        </w:tabs>
        <w:rPr>
          <w:sz w:val="20"/>
          <w:szCs w:val="20"/>
          <w:color w:val="auto"/>
        </w:rPr>
      </w:pPr>
      <w:r>
        <w:rPr>
          <w:rFonts w:ascii="Times New Roman" w:cs="Times New Roman" w:eastAsia="Times New Roman" w:hAnsi="Times New Roman"/>
          <w:sz w:val="18"/>
          <w:szCs w:val="18"/>
          <w:b w:val="1"/>
          <w:bCs w:val="1"/>
          <w:color w:val="auto"/>
        </w:rPr>
        <w:t>Actual</w:t>
      </w:r>
      <w:r>
        <w:rPr>
          <w:sz w:val="20"/>
          <w:szCs w:val="20"/>
          <w:color w:val="auto"/>
        </w:rPr>
        <w:tab/>
      </w:r>
      <w:r>
        <w:rPr>
          <w:rFonts w:ascii="Times New Roman" w:cs="Times New Roman" w:eastAsia="Times New Roman" w:hAnsi="Times New Roman"/>
          <w:sz w:val="18"/>
          <w:szCs w:val="18"/>
          <w:b w:val="1"/>
          <w:bCs w:val="1"/>
          <w:color w:val="auto"/>
        </w:rPr>
        <w:t>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19685</wp:posOffset>
            </wp:positionV>
            <wp:extent cx="17056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16"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b w:val="1"/>
          <w:bCs w:val="1"/>
          <w:color w:val="auto"/>
        </w:rPr>
        <w:t>(US$ in thousands, except par</w:t>
      </w:r>
    </w:p>
    <w:p>
      <w:pPr>
        <w:spacing w:after="0" w:line="9"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b w:val="1"/>
          <w:bCs w:val="1"/>
          <w:color w:val="auto"/>
        </w:rPr>
        <w:t>value and share amounts)</w:t>
      </w:r>
    </w:p>
    <w:p>
      <w:pPr>
        <w:sectPr>
          <w:pgSz w:w="11900" w:h="16838" w:orient="portrait"/>
          <w:cols w:equalWidth="0" w:num="1">
            <w:col w:w="11240"/>
          </w:cols>
          <w:pgMar w:left="320" w:top="900"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67"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Principal amount of</w:t>
      </w:r>
      <w:r>
        <w:rPr>
          <w:sz w:val="20"/>
          <w:szCs w:val="20"/>
          <w:color w:val="auto"/>
        </w:rPr>
        <w:tab/>
      </w:r>
      <w:r>
        <w:rPr>
          <w:rFonts w:ascii="Times New Roman" w:cs="Times New Roman" w:eastAsia="Times New Roman" w:hAnsi="Times New Roman"/>
          <w:sz w:val="17"/>
          <w:szCs w:val="17"/>
          <w:color w:val="auto"/>
        </w:rPr>
        <w:t xml:space="preserve">% Convertible Senior Notes due 2032 offered in the Concurrent Note Offering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4" w:lineRule="auto"/>
        <w:rPr>
          <w:sz w:val="20"/>
          <w:szCs w:val="20"/>
          <w:color w:val="auto"/>
        </w:rPr>
      </w:pPr>
      <w:r>
        <w:rPr>
          <w:rFonts w:ascii="Times New Roman" w:cs="Times New Roman" w:eastAsia="Times New Roman" w:hAnsi="Times New Roman"/>
          <w:sz w:val="18"/>
          <w:szCs w:val="18"/>
          <w:color w:val="auto"/>
        </w:rPr>
        <w:t>Principal amount of 4.00% Convertible Senior Notes due 2031</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5" w:lineRule="auto"/>
        <w:rPr>
          <w:sz w:val="20"/>
          <w:szCs w:val="20"/>
          <w:color w:val="auto"/>
        </w:rPr>
      </w:pPr>
      <w:r>
        <w:rPr>
          <w:rFonts w:ascii="Times New Roman" w:cs="Times New Roman" w:eastAsia="Times New Roman" w:hAnsi="Times New Roman"/>
          <w:sz w:val="18"/>
          <w:szCs w:val="18"/>
          <w:color w:val="auto"/>
        </w:rPr>
        <w:t>Principal amount of 4.875% Convertible Senior Notes due 2031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84" w:lineRule="auto"/>
        <w:rPr>
          <w:sz w:val="20"/>
          <w:szCs w:val="20"/>
          <w:color w:val="auto"/>
        </w:rPr>
      </w:pPr>
      <w:r>
        <w:rPr>
          <w:rFonts w:ascii="Times New Roman" w:cs="Times New Roman" w:eastAsia="Times New Roman" w:hAnsi="Times New Roman"/>
          <w:sz w:val="18"/>
          <w:szCs w:val="18"/>
          <w:color w:val="auto"/>
        </w:rPr>
        <w:t>Principal amount of 5.25% Convertible Senior Notes due 2029</w:t>
      </w:r>
      <w:r>
        <w:rPr>
          <w:rFonts w:ascii="Times New Roman" w:cs="Times New Roman" w:eastAsia="Times New Roman" w:hAnsi="Times New Roman"/>
          <w:sz w:val="29"/>
          <w:szCs w:val="29"/>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auto"/>
        <w:rPr>
          <w:sz w:val="20"/>
          <w:szCs w:val="20"/>
          <w:color w:val="auto"/>
        </w:rPr>
      </w:pPr>
      <w:r>
        <w:rPr>
          <w:rFonts w:ascii="Times New Roman" w:cs="Times New Roman" w:eastAsia="Times New Roman" w:hAnsi="Times New Roman"/>
          <w:sz w:val="18"/>
          <w:szCs w:val="18"/>
          <w:color w:val="auto"/>
        </w:rPr>
        <w:t>Matrixport Loans</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w:t>
      </w:r>
    </w:p>
    <w:p>
      <w:pPr>
        <w:spacing w:after="0" w:line="204" w:lineRule="auto"/>
        <w:rPr>
          <w:sz w:val="20"/>
          <w:szCs w:val="20"/>
          <w:color w:val="auto"/>
        </w:rPr>
      </w:pPr>
      <w:r>
        <w:rPr>
          <w:rFonts w:ascii="Times New Roman" w:cs="Times New Roman" w:eastAsia="Times New Roman" w:hAnsi="Times New Roman"/>
          <w:sz w:val="18"/>
          <w:szCs w:val="18"/>
          <w:color w:val="auto"/>
        </w:rPr>
        <w:t>Financing Facility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r>
        <w:rPr>
          <w:rFonts w:ascii="Times New Roman" w:cs="Times New Roman" w:eastAsia="Times New Roman" w:hAnsi="Times New Roman"/>
          <w:sz w:val="29"/>
          <w:szCs w:val="29"/>
          <w:b w:val="1"/>
          <w:bCs w:val="1"/>
          <w:color w:val="auto"/>
          <w:vertAlign w:val="superscript"/>
        </w:rPr>
        <w:t>(4)</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Class A ordinary shares (par value of $0.0000001 per share; authorized: 499,600,000,000 shares; issued and</w:t>
      </w:r>
    </w:p>
    <w:p>
      <w:pPr>
        <w:spacing w:after="0" w:line="7" w:lineRule="exact"/>
        <w:rPr>
          <w:sz w:val="20"/>
          <w:szCs w:val="20"/>
          <w:color w:val="auto"/>
        </w:rPr>
      </w:pPr>
    </w:p>
    <w:p>
      <w:pPr>
        <w:ind w:left="180"/>
        <w:spacing w:after="0"/>
        <w:tabs>
          <w:tab w:leader="none" w:pos="3760" w:val="left"/>
        </w:tabs>
        <w:rPr>
          <w:sz w:val="20"/>
          <w:szCs w:val="20"/>
          <w:color w:val="auto"/>
        </w:rPr>
      </w:pPr>
      <w:r>
        <w:rPr>
          <w:rFonts w:ascii="Times New Roman" w:cs="Times New Roman" w:eastAsia="Times New Roman" w:hAnsi="Times New Roman"/>
          <w:sz w:val="18"/>
          <w:szCs w:val="18"/>
          <w:color w:val="auto"/>
        </w:rPr>
        <w:t>outstanding: 191,152,162 shares, actual, and</w:t>
      </w:r>
      <w:r>
        <w:rPr>
          <w:sz w:val="20"/>
          <w:szCs w:val="20"/>
          <w:color w:val="auto"/>
        </w:rPr>
        <w:tab/>
      </w:r>
      <w:r>
        <w:rPr>
          <w:rFonts w:ascii="Times New Roman" w:cs="Times New Roman" w:eastAsia="Times New Roman" w:hAnsi="Times New Roman"/>
          <w:sz w:val="17"/>
          <w:szCs w:val="17"/>
          <w:color w:val="auto"/>
        </w:rPr>
        <w:t>shares,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Class V ordinary shares (par value of $0.0000001 per share; authorized: 200,000,000 shares; issued and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outstanding: 44,399,922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Reserves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7830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149,352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17056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3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–300,000</w:t>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400,000400,000</w:t>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375,000375,000</w:t>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200,000200,000</w:t>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521,831521,831</w:t>
      </w:r>
    </w:p>
    <w:p>
      <w:pPr>
        <w:spacing w:after="0" w:line="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26,00026,000</w:t>
      </w:r>
    </w:p>
    <w:p>
      <w:pPr>
        <w:spacing w:after="0" w:line="36" w:lineRule="exact"/>
        <w:rPr>
          <w:sz w:val="20"/>
          <w:szCs w:val="20"/>
          <w:color w:val="auto"/>
        </w:rPr>
      </w:pPr>
    </w:p>
    <w:p>
      <w:pPr>
        <w:ind w:left="420"/>
        <w:spacing w:after="0"/>
        <w:tabs>
          <w:tab w:leader="none" w:pos="1960" w:val="left"/>
        </w:tabs>
        <w:rPr>
          <w:sz w:val="20"/>
          <w:szCs w:val="20"/>
          <w:color w:val="auto"/>
        </w:rPr>
      </w:pPr>
      <w:r>
        <w:rPr>
          <w:rFonts w:ascii="Times New Roman" w:cs="Times New Roman" w:eastAsia="Times New Roman" w:hAnsi="Times New Roman"/>
          <w:sz w:val="18"/>
          <w:szCs w:val="18"/>
          <w:color w:val="auto"/>
        </w:rPr>
        <w:t>1,522,831</w:t>
      </w:r>
      <w:r>
        <w:rPr>
          <w:sz w:val="20"/>
          <w:szCs w:val="20"/>
          <w:color w:val="auto"/>
        </w:rPr>
        <w:tab/>
      </w:r>
      <w:r>
        <w:rPr>
          <w:rFonts w:ascii="Times New Roman" w:cs="Times New Roman" w:eastAsia="Times New Roman" w:hAnsi="Times New Roman"/>
          <w:sz w:val="18"/>
          <w:szCs w:val="18"/>
          <w:color w:val="auto"/>
        </w:rPr>
        <w:t>1,822,831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(325,597)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(325,597)</w:t>
            </w:r>
          </w:p>
        </w:tc>
      </w:tr>
      <w:tr>
        <w:trPr>
          <w:trHeight w:val="216"/>
        </w:trPr>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1,776,852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1,776,852</w:t>
            </w:r>
          </w:p>
        </w:tc>
        <w:tc>
          <w:tcPr>
            <w:tcW w:w="60" w:type="dxa"/>
            <w:vAlign w:val="bottom"/>
          </w:tcPr>
          <w:p>
            <w:pPr>
              <w:spacing w:after="0"/>
              <w:rPr>
                <w:sz w:val="18"/>
                <w:szCs w:val="18"/>
                <w:color w:val="auto"/>
              </w:rPr>
            </w:pPr>
          </w:p>
        </w:tc>
      </w:tr>
      <w:tr>
        <w:trPr>
          <w:trHeight w:val="255"/>
        </w:trPr>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(583,407)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(583,407)</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867,848</w:t>
            </w:r>
          </w:p>
        </w:tc>
        <w:tc>
          <w:tcPr>
            <w:tcW w:w="4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867,848</w:t>
            </w:r>
          </w:p>
        </w:tc>
        <w:tc>
          <w:tcPr>
            <w:tcW w:w="60" w:type="dxa"/>
            <w:vAlign w:val="bottom"/>
          </w:tcPr>
          <w:p>
            <w:pPr>
              <w:spacing w:after="0"/>
              <w:rPr>
                <w:sz w:val="19"/>
                <w:szCs w:val="19"/>
                <w:color w:val="auto"/>
              </w:rPr>
            </w:pPr>
          </w:p>
        </w:tc>
      </w:tr>
      <w:tr>
        <w:trPr>
          <w:trHeight w:val="250"/>
        </w:trPr>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2,390,679</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00" w:space="640"/>
            <w:col w:w="2800"/>
          </w:cols>
          <w:pgMar w:left="320" w:top="900" w:right="339" w:bottom="1440" w:gutter="0" w:footer="0" w:header="0"/>
          <w:type w:val="continuous"/>
        </w:sectPr>
      </w:pPr>
    </w:p>
    <w:p>
      <w:pPr>
        <w:spacing w:after="0" w:line="3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amount less than US$1,000</w:t>
      </w:r>
    </w:p>
    <w:p>
      <w:pPr>
        <w:spacing w:after="0" w:line="25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principal amount without reflecting debt discount or issuance costs that we are required to recognize. As of February 18, 2026,</w:t>
      </w:r>
    </w:p>
    <w:p>
      <w:pPr>
        <w:spacing w:after="0" w:line="27"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we had approximately US$479.4 million of outstanding borrowings and approximately US$282.0 million of availability under the Matrixport Loans and approximately US$22.7 million of outstanding borrowings and approximately US$3.3 million of availability under the Financing Facility and (ii) one of our subsidiaries borrowed 800 Bitcoin under the BTC Loan.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2" w:name="page23"/>
    <w:bookmarkEnd w:id="22"/>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does not reflect the repurchase of any November 2029 notes that we expect to repurchase in the Concurrent Note Repurchases.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does not reflect (i) the borrowing of US$50.0 million under the January Matrixport Loan, (ii) the repayment in full of the outstanding amount under the September 2025 Matrixport Loan, and (iii) the repayment and borrowing under the Financing Facility since December 31, 2025 and (iv) the borrowing under the BTC Loan.</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 information is as of December 31, 2025 and excludes as of that date (i) 3,364,711 Class A ordinary shares that have been repurchased but not cancelled, (ii) 7,258,176 Class A ordinary shares reserved for future issuance upon the exercise of awards granted under our 2023 Share Incentive Plan; (iii) 3,404,713 Class A ordinary shares reserved for future issuance under our 2023 Share Incentive Plan as of December 31, 2025; (iv) any Class A ordinary shares that become available subsequent to this offering under our 2023 Performance Share Plan pursuant to provisions thereof that automatically increase the share reserve under such plan in connection with increases in our market capitalization; (v) 1,936,064 Class A ordinary shares that we sold after December 31, 2025 and prior to the date of this prospectus, pursuant to the Sales Agreement; and (vi) the Class A ordinary shares reserved for issuance upon conversion of the New Convertible Notes or the existing notes. Additionally, the figures in the above table do not reflect (a) Class A ordinary shares issued upon exercise or vesting of share incentive awards under the 2023 Share Incentive Plan and the 2023 Performance Share Plan after December 31, 2025; and (b) the effect of shareholding changes in certain subsidiaries after December 31, 2025.</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preliminary results set forth above and otherwise included in this prospectus supplement are unaudited, are based on management’s initial review of our results for the year ended December 31, 2025, and are subject to revision based upon our year-end closing procedures and the completion and external audit of our year-end financial statements. The unaudited financial results as of December 31, 2025, set forth above, have not been audited, reviewed or compiled by our independent public accounting firm, MaloneBailey, LLP, and accordingly MaloneBailey, LLP does not express an opinion or any other form of assurance with respect thereto. Actual results may differ materially from these preliminary unaudited results following the completion of year-end closing procedures, final adjustments or other developments arising between now and the time that our financial results are finalized. In addition, these preliminary unaudited results are not a comprehensive statement of our financial results for the year ended December 31, 2025, should not be viewed as a substitute for full, audited financial statements prepared in accordance with generally accepted accounting principles, and are not necessarily indicative of our results for any future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purchase our Class A ordinary shares in this offering, your ownership interest will be immediately diluted to the extent of the difference between the offering price per share and the pro forma as adjusted net tangible book value per ordinary share after this offering and the Concurrent Notes Transactions.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net tangible book value of our ordinary shares as of December 31, 2025 was approximately US$644.4 million, or approximately US$2.74 per ordinary share, based upon 235,522,084 ordinary shares outstanding, including 191,152,162 Class A ordinary shares and 44,399,922 Class V ordinary shares. Net tangible book value per ordinary share is equal to our total tangible assets, less our total liabilities, divided by the total number of ordinary shares outstanding as of December 31, 2025.</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Our pro forma net tangible book value as of December 31, 2025 was US$ million, or US$ per ordinary share. Pro forma net tangible book value represents the amount of our total tangible assets, less our total liabilities, after giving effect to the Concurrent Note Offering, assuming we sell an aggregate of US$345 million of New Convertible Notes in the Concurrent Note Offering (which assumes the exercise in full by the initial purchasers of their option to purchase additional New Convertible Notes). Pro forma net tangible book value per ordinary share represents pro forma net tangible book value divided by the total number of ordinary shares outstanding as of December 31, 2025, after giving effect to the pro forma adjustment described above.</w:t>
      </w:r>
    </w:p>
    <w:p>
      <w:pPr>
        <w:spacing w:after="0" w:line="200" w:lineRule="exact"/>
        <w:rPr>
          <w:sz w:val="20"/>
          <w:szCs w:val="20"/>
          <w:color w:val="auto"/>
        </w:rPr>
      </w:pPr>
    </w:p>
    <w:p>
      <w:pPr>
        <w:spacing w:after="0" w:line="20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After giving further effect to (i) the sale of Class A ordinary shares in this offering at the offering price of US$ per share, after deducting estimated offering expenses payable by us, and (ii) the concurrent repurchase for US$ million of an aggregate of US$ million of</w:t>
      </w:r>
    </w:p>
    <w:p>
      <w:pPr>
        <w:spacing w:after="0"/>
        <w:rPr>
          <w:sz w:val="20"/>
          <w:szCs w:val="20"/>
          <w:color w:val="auto"/>
        </w:rPr>
      </w:pPr>
      <w:r>
        <w:rPr>
          <w:rFonts w:ascii="Times New Roman" w:cs="Times New Roman" w:eastAsia="Times New Roman" w:hAnsi="Times New Roman"/>
          <w:sz w:val="18"/>
          <w:szCs w:val="18"/>
          <w:color w:val="auto"/>
        </w:rPr>
        <w:t>November 2029 notes in the Concurrent Note Repurchases, our pro forma as adjusted net tangible book value as of December 31, 2025 would have been</w:t>
      </w:r>
    </w:p>
    <w:p>
      <w:pPr>
        <w:spacing w:after="0" w:line="200" w:lineRule="exact"/>
        <w:rPr>
          <w:sz w:val="20"/>
          <w:szCs w:val="20"/>
          <w:color w:val="auto"/>
        </w:rPr>
      </w:pPr>
    </w:p>
    <w:p>
      <w:pPr>
        <w:spacing w:after="0" w:line="205"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8"/>
          <w:szCs w:val="18"/>
          <w:color w:val="auto"/>
        </w:rPr>
        <w:t>US$          million, or US$          per ordinary share. This amount represents an immediate increase in pro forma net tangible book value of US$ per ordinary share to our existing shareholders and immediate dilution of US$          per ordinary share to new investors in this offering.</w:t>
      </w:r>
    </w:p>
    <w:p>
      <w:pPr>
        <w:spacing w:after="0" w:line="260" w:lineRule="auto"/>
        <w:rPr>
          <w:sz w:val="20"/>
          <w:szCs w:val="20"/>
          <w:color w:val="auto"/>
        </w:rPr>
      </w:pPr>
      <w:r>
        <w:rPr>
          <w:rFonts w:ascii="Times New Roman" w:cs="Times New Roman" w:eastAsia="Times New Roman" w:hAnsi="Times New Roman"/>
          <w:sz w:val="18"/>
          <w:szCs w:val="18"/>
          <w:color w:val="auto"/>
        </w:rPr>
        <w:t>We determine dilution by subtracting the pro forma as adjusted net tangible book value per ordinary share after this offering and the Concurrent Notes Transactions from the amount of cash that a new investor paid for a Class A ordinary share in this offering.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Class A ordinary share</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ordinary share as of December 31, 2025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increase in historical net tangible book value per ordinary share attributable to the pro forma</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described in the preceding paragraphs</w:t>
            </w: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 forma net tangible book value per ordinary share as of December 31, 2025</w:t>
            </w:r>
          </w:p>
        </w:tc>
        <w:tc>
          <w:tcPr>
            <w:tcW w:w="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2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 forma as adjusted net tangible book value per ordinary share immediately after this offering and the</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Concurrent Notes Transactions</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ordinary share to new investors in this offering</w:t>
            </w:r>
          </w:p>
        </w:tc>
        <w:tc>
          <w:tcPr>
            <w:tcW w:w="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S-18</w:t>
            </w: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2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4" w:name="page25"/>
    <w:bookmarkEnd w:id="24"/>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number of ordinary shares to be outstanding after this offering is based on 235,552,084 ordinary shares outstanding, including 191,152,162 Class A ordinary shares and 44,399,922 Class V ordinary shares, as of December 31, 2025, and excludes:</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3,364,711 Class A ordinary shares that have been repurchased but not cancelled;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7,258,176 Class A ordinary shares reserved for future issuance upon the exercise of awards granted under our 2023 Share Incentive Plan outstanding as of December 31,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3,404,713 Class A ordinary shares reserved for future issuance under our 2023 Share Incentive Plan as of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1,936,064 Class A ordinary shares that we sold after December 31, 2025 and prior to the date of this prospectus supplement, pursuant to Sales Agreement, for gross proceeds of US$28.2 million;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ordinary shares that become available subsequent to this offering under our 2023 Performance Share Plan pursuant to provisions thereof that automatically increase the share reserve under such plan in connection with increases in our market capitalization;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A ordinary shares reserved for issuance upon conversion of the New Convertible Notes or the existing notes.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table does not give effect to the exercise of any outstanding options or warrants or conversion of any of our debt securities. To the extent options or warrants are exercised or our debt securities are converted into Class A ordinary shares, there may be further dilution to new investors.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preliminary results set forth above and otherwise included in this prospectus supplement are unaudited, are based on management’s initial review of our results for the year ended December 31, 2025, and are subject to revision based upon our year-end closing procedures and the completion and external audit of our year-end financial statements. The unaudited financial results as of December 31, 2025, set forth above, have not been audited, reviewed or compiled by our independent public accounting firm, MaloneBailey, LLP, and accordingly MaloneBailey, LLP does not express an opinion or any other form of assurance with respect thereto. Actual results may differ materially from these preliminary unaudited results following the completion of year-end closing procedures, final adjustments or other developments arising between now and the time that our financial results are finalized. In addition, these preliminary unaudited results are not a comprehensive statement of our financial results for the year ended December 31, 2025, should not be viewed as a substitute for full, audited financial statements prepared in accordance with generally accepted accounting principles, and are not necessarily indicative of our results for any future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tabs>
          <w:tab w:leader="none" w:pos="2400" w:val="left"/>
        </w:tabs>
        <w:rPr>
          <w:sz w:val="20"/>
          <w:szCs w:val="20"/>
          <w:color w:val="auto"/>
        </w:rPr>
      </w:pPr>
      <w:r>
        <w:rPr>
          <w:rFonts w:ascii="Times New Roman" w:cs="Times New Roman" w:eastAsia="Times New Roman" w:hAnsi="Times New Roman"/>
          <w:sz w:val="18"/>
          <w:szCs w:val="18"/>
          <w:color w:val="auto"/>
        </w:rPr>
        <w:t>We are offering</w:t>
      </w:r>
      <w:r>
        <w:rPr>
          <w:sz w:val="20"/>
          <w:szCs w:val="20"/>
          <w:color w:val="auto"/>
        </w:rPr>
        <w:tab/>
      </w:r>
      <w:r>
        <w:rPr>
          <w:rFonts w:ascii="Times New Roman" w:cs="Times New Roman" w:eastAsia="Times New Roman" w:hAnsi="Times New Roman"/>
          <w:sz w:val="18"/>
          <w:szCs w:val="18"/>
          <w:color w:val="auto"/>
        </w:rPr>
        <w:t>Class A ordinary shares in a registered direct offering to certain institutional investors in privately negotiated transactions</w:t>
      </w:r>
    </w:p>
    <w:p>
      <w:pPr>
        <w:spacing w:after="0" w:line="27" w:lineRule="exact"/>
        <w:rPr>
          <w:sz w:val="20"/>
          <w:szCs w:val="20"/>
          <w:color w:val="auto"/>
        </w:rPr>
      </w:pPr>
    </w:p>
    <w:p>
      <w:pPr>
        <w:spacing w:after="0"/>
        <w:tabs>
          <w:tab w:leader="none" w:pos="7200" w:val="left"/>
        </w:tabs>
        <w:rPr>
          <w:sz w:val="20"/>
          <w:szCs w:val="20"/>
          <w:color w:val="auto"/>
        </w:rPr>
      </w:pPr>
      <w:r>
        <w:rPr>
          <w:rFonts w:ascii="Times New Roman" w:cs="Times New Roman" w:eastAsia="Times New Roman" w:hAnsi="Times New Roman"/>
          <w:sz w:val="18"/>
          <w:szCs w:val="18"/>
          <w:color w:val="auto"/>
        </w:rPr>
        <w:t>pursuant to this prospectus supplement and the accompanying prospectus at a price of US$</w:t>
      </w:r>
      <w:r>
        <w:rPr>
          <w:sz w:val="20"/>
          <w:szCs w:val="20"/>
          <w:color w:val="auto"/>
        </w:rPr>
        <w:tab/>
      </w:r>
      <w:r>
        <w:rPr>
          <w:rFonts w:ascii="Times New Roman" w:cs="Times New Roman" w:eastAsia="Times New Roman" w:hAnsi="Times New Roman"/>
          <w:sz w:val="17"/>
          <w:szCs w:val="17"/>
          <w:color w:val="auto"/>
        </w:rPr>
        <w:t>per share.</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retained Barclays Capital Inc. (“Barclays”) as the sole placement agent for this offering. Barclays has agreed to act as placement agent in connection with the offering described in this prospectus supplement subject to the terms and conditions of an agency agreement between us and Barclays (the “Placement Agency Agreement”). Barclays is not purchasing or selling any of the Class A ordinary shares offered pursuant to this prospectus supplement or the accompanying prospectus, nor is Barclays required to arrange the purchase or sale of any specific number or dollar amount of Class A ordinary shares, but has agreed to use its reasonable best efforts to arrange for the sale of all of the Class A ordinary shares offered pursuant to this prospectus supplement. Therefore, we will enter into securities purchase agreements (the “Securities Purchase Agreements”) directly with investors in connection with the offering pursuant to this prospectus supplement and accompanying prospectus, and will only sell to investors who have entered into a Securities Purchase Agreement. However, Barclays may be deemed to be an underwriter within the meaning of Section 2(a)(11) of the Securities Act.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anticipate that the closing of the sale of such Class A ordinary shares will take place on or about February , 2026, which will be the fourth business day following the initial trade date for such Class A ordinary shares (this settlement cycle being referred to as “T+4”). Investors will also be informed of the date and manner in which they must transmit the purchase price for their Class A ordinary shares purchased. Under Rule 15c6-1 under the Exchange Act, trades in the secondary market generally are required to settle in one business day, unless the parties to any such trade expressly agree otherwise. Accordingly, purchasers who wish to trade the Class A ordinary shares more than one business day prior to the original issue date will be required, by virtue of the fact that the Class A ordinary shares will initially settle in T+4, to specify alternate settlement arrangements at the time of any such trade to prevent a failed settlement. Purchasers of the Class A ordinary shares who wish to trade the Class A ordinary shares prior to the business day preceding the settlement date should consult their own advisors.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completion of this offering is contingent on the completion of the Concurrent Note Offering and the Concurrent Note Repurchases, and the completion of the Concurrent Note Repurchases is contingent on the completion of this offering and the Concurrent Note Offering. The completion of the Concurrent Note Offering is not contingent on the completion of this offering or the Concurrent Note Repurchases. An investor’s obligation to purchase Class A ordinary shares is subject to the conditions set forth in the Securities Purchase Agreements, which may be waived. There is no requirement that any minimum number or dollar amount of Class A ordinary shares be sold in this offering, and there can be no assurance that we will sell all or any of the Class A ordinary shares being offered.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Barclays is not entitled to receive any compensation under the Placement Agency Agreement. We have agreed to reimburse Barclays for certain expenses pursuant to the Placement Agency Agreement in an amount up to US$35,000. The obligations of the placement agent under the Placement Agency Agreement are subject to certain conditions precedent, including the absence of any material adverse change in our business and the receipt of certain customary legal opinions, certificates and comfort letters.</w:t>
      </w:r>
    </w:p>
    <w:p>
      <w:pPr>
        <w:sectPr>
          <w:pgSz w:w="11900" w:h="16838" w:orient="portrait"/>
          <w:cols w:equalWidth="0" w:num="1">
            <w:col w:w="11240"/>
          </w:cols>
          <w:pgMar w:left="320" w:top="900" w:right="339" w:bottom="1440" w:gutter="0" w:footer="0" w:header="0"/>
        </w:sectPr>
      </w:pP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estimate the total expenses that will be payable accompanying prospectus will be approximately US$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hanging="154"/>
        <w:spacing w:after="0" w:line="282" w:lineRule="auto"/>
        <w:rPr>
          <w:sz w:val="20"/>
          <w:szCs w:val="20"/>
          <w:color w:val="auto"/>
        </w:rPr>
      </w:pPr>
      <w:r>
        <w:rPr>
          <w:rFonts w:ascii="Times New Roman" w:cs="Times New Roman" w:eastAsia="Times New Roman" w:hAnsi="Times New Roman"/>
          <w:sz w:val="18"/>
          <w:szCs w:val="18"/>
          <w:color w:val="auto"/>
        </w:rPr>
        <w:t>by us in connection with the offering described in this prospectus supplement and the million, which include legal, accounting and printing costs.</w:t>
      </w:r>
    </w:p>
    <w:p>
      <w:pPr>
        <w:spacing w:after="0" w:line="162" w:lineRule="exact"/>
        <w:rPr>
          <w:sz w:val="20"/>
          <w:szCs w:val="20"/>
          <w:color w:val="auto"/>
        </w:rPr>
      </w:pPr>
    </w:p>
    <w:p>
      <w:pPr>
        <w:sectPr>
          <w:pgSz w:w="11900" w:h="16838" w:orient="portrait"/>
          <w:cols w:equalWidth="0" w:num="2">
            <w:col w:w="4380" w:space="240"/>
            <w:col w:w="6620"/>
          </w:cols>
          <w:pgMar w:left="320" w:top="900" w:right="339" w:bottom="1440" w:gutter="0" w:footer="0" w:header="0"/>
          <w:type w:val="continuous"/>
        </w:sect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certain liabilities, including liabilities under the Securities Act and the Exchange Act, and contribute to payments that the placement agent may be required to make in respect of such liabilities.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all of the Securities Purchase Agreements are terminated pursuant to their terms, the Placement Agency Agreement will automatically terminate, with no need for further action by the parties to the Placement Agency Agreement, except that the expense reimbursement and indemnity provisions will at all times be effective and will survive such termination.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6" w:name="page27"/>
    <w:bookmarkEnd w:id="2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Placement Agency Agreement may also be terminated by the placement agent if there is a failure to satisfy or waive certain customary closing conditions under the Placement Agency Agreement, except that the expense reimbursement and indemnity provisions will at all times be effective and will survive such termination. The termination of the Placement Agency Agreement with respect to the placement agent will have no impact on the obligations of the parties pursuant to the Securities Purchase Agreements. Our obligation to issue and sell Class A ordinary shares to the investors is subject to the conditions set forth in the Securities Purchase Agreements.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is a brief summary of the material provisions of the Placement Agency Agreement and the Securities Purchase Agreements that we entered into and does not purport to be a complete statement of the terms and conditions of such agreements.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have the Class A ordinary shares offered hereby approved for listing on Nasdaq under the symbol “BTDR.”</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placement agent may engage in transactions with, or perform other services for, us in the ordinary course of business. The placement agent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its affiliates have, from time to time, performed, and may in the future perform, various financial advisory and investment banking services for us, for which they received or will receive customary fees and expenses. For example, the placement agent is acting as an initial purchaser in connection with the Concurrent Note Offering and as our agent in connection with the Concurrent Note Repurchase. The placement agent is also one of the sales agents pursuant to the Sales Agreement, pursuant to which we may offer and sell Class A ordinary shares in “at the market” offerings as defined in Rule 415 under the Securities Act through or to the sales agents.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placement agent and its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placement agent and its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shares offered hereby are not being offered outside of the United States of America. Other than in the United States, no action has been taken by us or the placement agent that would permit a public offering of the securities offered by this prospectus supplement and the accompanying prospectus in any jurisdiction where action for that purpose is required. The securities offered by this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 This prospectus supplement and the accompanying prospectus does not constitute an offer to sell or a solicitation of an offer to buy any securities offered by this prospectus supplement and the accompanying prospectus in any jurisdiction in which such an offer or a solicitation is unlawful.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New Convertible Notes, we intend to enter into privately negotiated capped call transactions with the option counterparties, which may include Barclays. The capped call transactions will cover, subject to customary adjustments, the number of Class A ordinary shares that initially underlie the New Convertible Notes. The capped call transactions are expected to offset the potential dilution to our Class A ordinary shares as a result of any conversion of the New Convertible Notes. If the initial purchasers in the Concurrent Note Offering exercise their option to purchase additional New Convertible Notes, we expect to use a portion of the net proceeds from the sale of the additional New Convertible Notes to enter into additional capped call transactions with the option counterparties.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we expect that the option counterparties and/or their respective affiliates may enter into various derivative transactions with respect to our Class A ordinary shares concurrently with or shortly after the pricing of the New Convertible Notes, including with certain investors in the New Convertible Notes. This activity could increase (or reduce the size of any decrease in) the market price of our Class A ordinary shares at that time.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expect that the option counterparties and/or their respective affiliates may modify or unwind their hedge positions by entering into or unwinding various derivative transactions and/or purchasing or selling our Class A ordinary shares or other securities of ours in secondary market transactions following the pricing of the New Convertible Notes and prior to the maturity of the New Convertible Notes (and are likely to do so during the 40 trading day period beginning on the 41st scheduled trading day prior to the maturity date of the New Convertible Notes, or, to the extent we exercise the relevant election under the capped call transactions, following any repurchase, redemption or conversion of the New Convertible Notes). This activity could also cause or avoid an increase or a decrease in the market price of our Class A ordinary shares.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the potential impact of any market making or other activity by the option counterparties or their respective affiliates in connection with these capped call transactions, see “Risk Factors— Risks Related to the Concurrent Note Offering and the Existing Notes—The capped call transactions may affect the value of our Class A ordinary shares and may result in market activity in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of which we refer to as a relevant state (“Relevant State”), no Class A ordinary shares have been offered or will be offered pursuant to the offering to the public in that Relevant State prior to the publication of a prospectus in relation to the Class A ordinary shares which has been approved by the competent authority in that Relevant State or, where appropriate, approved in another Relevant State and notified to the competent authority in that Relevant State, all in accordance with the Prospectus Regulation, except that offers of Class A ordinary shares may be made to the public in that Relevant State at any time under the following exemptions under the Prospectus Regulation:</w:t>
      </w:r>
    </w:p>
    <w:p>
      <w:pPr>
        <w:spacing w:after="0" w:line="183" w:lineRule="exact"/>
        <w:rPr>
          <w:sz w:val="20"/>
          <w:szCs w:val="20"/>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161" w:lineRule="exact"/>
        <w:rPr>
          <w:rFonts w:ascii="Times New Roman" w:cs="Times New Roman" w:eastAsia="Times New Roman" w:hAnsi="Times New Roman"/>
          <w:sz w:val="18"/>
          <w:szCs w:val="18"/>
          <w:color w:val="auto"/>
        </w:rPr>
      </w:pPr>
    </w:p>
    <w:p>
      <w:pPr>
        <w:jc w:val="both"/>
        <w:ind w:firstLine="332"/>
        <w:spacing w:after="0" w:line="258" w:lineRule="auto"/>
        <w:tabs>
          <w:tab w:leader="none" w:pos="5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Class A ordinary shares shall require the Company or the placement agent to publish a prospectus pursuant to Article 3 of the Prospectus Regulation or supplement a prospectus pursuant to Article 23 of the Prospectus Regulation and each person who initially acquires any Class A ordinary shares or to whom any offer is made will be deemed to have represented, acknowledged and agreed to and with the placement agent and the Company that it is a “qualified investor” within the meaning of Article 2 of the Prospectus Regulation.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case of any Class A ordinary shares being offered to a financial intermediary as that term is used in Article 5(1) of the Prospectus Regulation, each such financial intermediary will be deemed to have represented, acknowledged and agreed that the Class A ordinary shares acquired by it in the offer have not been acquired on a non-discretionary basis on behalf of, nor have they been acquired with a view to their offer or resale to, persons in circumstances which may give rise to an offer of any Class A ordinary shares to the public other than their offer or resale in a Relevant State to qualified investors as so defined or in circumstances in which the prior consent of the placement agent has been obtained to each such proposed offer or resale.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the placement agent and their respective affiliates will rely upon the truth and accuracy of the foregoing representations, acknowledgements and agreements.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Class A ordinary shares in any Relevant State means the communication in any form and by any means of sufficient information on the terms of the offer and any Class A ordinary shares to be offered so as to enable an investor to decide to purchase or subscribe for any Class A ordinary shares, and the expression “Prospectus Regulation” means Regulation (EU) 2017/1129.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Class A ordinary shares have been offered or will be offered pursuant to the offering to the public in the United Kingdom prior to the publication of a prospectus in relation to the Class A ordinary shares which has been approved by the Financial Conduct Authority, except that the Class A ordinary shares may be offered to the public in the United Kingdom at any time:</w:t>
      </w:r>
    </w:p>
    <w:p>
      <w:pPr>
        <w:spacing w:after="0" w:line="176" w:lineRule="exact"/>
        <w:rPr>
          <w:sz w:val="20"/>
          <w:szCs w:val="20"/>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61" w:lineRule="exact"/>
        <w:rPr>
          <w:rFonts w:ascii="Times New Roman" w:cs="Times New Roman" w:eastAsia="Times New Roman" w:hAnsi="Times New Roman"/>
          <w:sz w:val="18"/>
          <w:szCs w:val="18"/>
          <w:color w:val="auto"/>
        </w:rPr>
      </w:pPr>
    </w:p>
    <w:p>
      <w:pPr>
        <w:jc w:val="both"/>
        <w:ind w:firstLine="332"/>
        <w:spacing w:after="0" w:line="258" w:lineRule="auto"/>
        <w:tabs>
          <w:tab w:leader="none" w:pos="5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the FSMA; provided that no such offer of the Class A ordinary shares shall require the Company or the placement agent to publish a prospectus pursuant to Section 85 of the FSMA or supplement a prospectus pursuant to Article 23 of the U.K. Prospectus Regulation and each person who initially acquires any Class A ordinary shares or to whom any offer is made will be deemed to have represented, acknowledged and agreed to and with the placement agent and the Company that it is a “qualified investor” within the meaning of Article 2 of the U.K. Prospectus Regulation.</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case of any Class A ordinary shares being offered to a financial intermediary as that term is used in Article 5(1) of the U.K. Prospectus Regulation, each such financial intermediary will be deemed to have represented, acknowledged and agreed that the Class A ordinary shares acquired by it in the offer have not been acquired on a non-discretionary basis on behalf of, nor have they been acquired with a view to their offer or resale to, persons in circumstances which may give rise to an offer of any Class A ordinary shares to the public other than their offer or resale in the United Kingdom to qualified investors as so defined or in circumstances in which the prior consent of the placement agent has been obtained to each such proposed offer or resale.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the placement agent and their respective affiliates will rely upon the truth and accuracy of the foregoing representations, acknowledgements and agreements.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Class A ordinary shares in the United Kingdom means the communication in any form and by any means of sufficient information on the terms of the offer and any Class A ordinary shares to be offered so as to enable an investor to decide to purchase or subscribe for any Class A ordinary shares and the expression “U.K. Prospectus Regulation” means Regulation (EU) 2017/1129 as it forms part of domestic law by virtue of the European Union (Withdrawal) Act 2018.</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(ii) falling within Article 49(2)(a) to (d) (“high net worth companies, unincorporated associations etc.”) of the Order or (iii) who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In the United Kingdom, any investment or investment activity to which this document relates is only available to, and will be engaged in with, relevant persons. Any person in the United Kingdom who is not a relevant person must not act on or rely upon this document or any of its contents. The Class A ordinary shares are not being offered to the public in the United Kingdom.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Class A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Class A ordinary shares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placement agent is not required to comply with the disclosure requirements of NI 33-105 regarding underwriters conflicts of interest in connection with this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Ogier Global (Cayman) Limited will pass upon the validity of the sale of the ordinary shares offered hereby for us. Cooley LLP is representing us with respect to legal matters of United States federal securities and New York State law. Cooley LLP may rely upon Ogier with respect to matters governed by Cayman Islands law. Certain legal matters in connection with this offering will be passed upon for the placement agent by Goodwin Procter LLP. Maples and Calder (Cayman) LLP is acting as counsel for the placement agent in connection with this offering with respect to Cayman Islands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Bitdeer Technologies Group incorporated in this prospectus by reference to the annual report on Form 20-F for the three years ended December 31, 2024 have been so incorporated in reliance on the report of MaloneBailey, LLP, an independent registered public accounting firm, given on the authority of said firm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F-3 under the Securities Act. This prospectus supplement, which is part of the registration statement,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applicable to foreign private issuers. Accordingly, we are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are not required under the Exchange Act to file periodic reports and financial statements with the SEC as frequently or as promptly as U.S. companies whose securities are registered under the Exchange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incorporates by reference important information about the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statement contained in any document incorporated or deemed to be incorporated by reference herein shall be deemed to be modified or superseded for purposes of this prospectus supplement to the extent that a statement contained in this prospectus supplement or any accompanying prospectus,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We incorporate by reference:</w:t>
      </w:r>
    </w:p>
    <w:p>
      <w:pPr>
        <w:spacing w:after="0" w:line="19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12, 2023, and any amendment or report filed for the purpose of updating such description;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59">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May 15, 2025 that attaches as an exhibit our unaudited financial results for the three months ended March 31, 2024 and 2025 (other than to the extent the filing includes forward-looking guidance or projections);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0">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May 30, 2025 that announces the completion of our US$20.0 million share repurchase program approved in February 2025 and the approval of a new US$40.0 million share repurchase program;</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1">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June 6, 2025 that announces (i) the resignation of Mr. Linghui Kong as a member of the Company’s board of directors (the “Board”), a member of the compensation committee of the Board (the “Compensation Committee”) and a member of the nominating and corporate governance committee of the Board (the “Nominating and Corporate Governance Committee”), (ii) the appointment of Ms. Chao Suo to serve as a member of the Compensation Committee, and (iii) the appointment of Mr. Yeow Beng Lim to serve as a member of the Board and a member of the Nominating and Corporate Governance Committee;</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2">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June 18, 2025 that announces the pricing of our offering of US$330.0 million of 4.875% Convertible Senior Notes due 2031;</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3">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June 23, 2025 that announces the closing of our offering of US$330.0 million of 4.875% Convertible Senior Notes due 2031;</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4">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June 30, 2025 that announces the completion of private placement of an additional US$45.0 million principal amount of 4.875% Convertible Senior Notes due 2031, pursuant to the full exercise by the initial purchasers of their option granted in connection with the Company’s previously announced private placement of US$330.0 million principal amount of notes;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5">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August 19, 2025 that attaches as an exhibit a press release related to our unaudited financial results for the second quarter of 2025 (other than to the extent the filing includes forward-looking guidance or projections);</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7">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September 8, 2025 that announces the cleanup redemption for all $7,700,000 aggregate principal amount outstanding of its 8.5% Convertible Senior Notes due 2029;</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8">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September 29, 2025 that attaches as an exhibit our Unaudited Interim Condensed Consolidated Financial Statements, as of June 30, 2025 and December 31, 2024 and for the Six Months Ended June 30, 2025 and 2024, and an exhibit related to certain recent developments (other than to the extent the filing includes forward-looking guidance or projections);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69">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November 10, 2025 that attaches as an exhibit our unaudited financial results, both for the three and nine months ended September 30, 2024 and 2025 (other than to the extent the filing includes forward-looking guidance or projections);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0">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November 13, 2025 that announced the pricing of the offering of our offering of US$400.0 million of 4.00% Convertible Senior Notes due 2031 and the registered direct offering of 10,661,140 of our Class A ordinary shares;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1">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November 19, 2025 that announced the closing of the offering of our offering of US$400.0 million of 4.00% Convertible Senior Notes due 2031 and the registered direct offering of 10,661,140 of our Class A ordinary shares;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2">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February 5, 2026 that announced the filing of certain legal proceedings against our subsidiaries in the state of Ohio; and</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73">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February 12, 2025 that attaches as an exhibit our unaudited financial results for the three and twelve months ended December 31, 2024 and 2025 (other than to the extent the filing includes forward-looking guidance or projections).</w:t>
      </w:r>
    </w:p>
    <w:p>
      <w:pPr>
        <w:spacing w:after="0" w:line="162" w:lineRule="exact"/>
        <w:rPr>
          <w:rFonts w:ascii="Times New Roman" w:cs="Times New Roman" w:eastAsia="Times New Roman" w:hAnsi="Times New Roman"/>
          <w:sz w:val="18"/>
          <w:szCs w:val="18"/>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subsequent annual reports on Form 20-F, Form 40-F or Form 10-K that we file with the SEC, all subsequent filings on Forms 10-Q and 8-K filed by us with the SEC pursuant to the Exchange Act (excluding, in each case, any information or documents deemed to be furnished and not filed with the SEC), and all subsequent filings on Form 6-K filed by us with the SEC pursuant to the Exchange Act that we specifically indicate are incorporated by reference into the registration statement of which this prospectus supplement and the accompany prospectus are a part, after the date hereof and prior to the termination or expiration of the offering covered by this prospectus supplement, shall be incorporated by reference.</w:t>
      </w:r>
    </w:p>
    <w:p>
      <w:pPr>
        <w:spacing w:after="0" w:line="183"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filings with the SEC, including annual reports on Form 20-F and current reports on Form 6-K and amendments to those reports, are available electronically on the SEC’s website at www.sec.gov.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+65 62828220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156845</wp:posOffset>
            </wp:positionV>
            <wp:extent cx="2082800" cy="514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20828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Bitdeer Technologies Group</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US$1,000,000,000</w:t>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offer, issue and sell from time to time up to US$1,000,000,000 of any combination of our ordinary shares, debt securities and warrants (collectively, the “securities”), in one or more offerings. We may offer, issue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the section titled “Plan of Distribution” beginning on page 21 of this prospectus.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currently listed on The Nasdaq Capital Market (“Nasdaq”) under the symbol “BTDR.” On December 10, 2024, the closing price of our Class A ordinary shares was US$18.9 per share.</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section titled “Risk Factors” beginning on page 6 of this prospectus and, if applicable, any risk factors described in any applicable prospectus supplement and in our U.S. Securities and Exchange Commission (“SEC”) filings that are incorporated by reference in this prospectus.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None of the SEC or any state securities commission has approved or disapproved of the securities or determined if this prospectus is accurate or adequate. Any representation to the contrary is a criminal offense.</w:t>
      </w:r>
    </w:p>
    <w:p>
      <w:pPr>
        <w:spacing w:after="0" w:line="159" w:lineRule="exact"/>
        <w:rPr>
          <w:sz w:val="20"/>
          <w:szCs w:val="20"/>
          <w:color w:val="auto"/>
        </w:rPr>
      </w:pPr>
    </w:p>
    <w:tbl>
      <w:tblPr>
        <w:tblLayout w:type="fixed"/>
        <w:tblInd w:w="404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00" w:type="dxa"/>
            <w:vAlign w:val="bottom"/>
            <w:tcBorders>
              <w:bottom w:val="single" w:sz="8" w:color="CCEEFF"/>
            </w:tcBorders>
            <w:gridSpan w:val="8"/>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i</w:t>
            </w:r>
          </w:p>
        </w:tc>
      </w:tr>
      <w:tr>
        <w:trPr>
          <w:trHeight w:val="176"/>
        </w:trPr>
        <w:tc>
          <w:tcPr>
            <w:tcW w:w="8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MARKET PRICE INFORMATION</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6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5"/>
        </w:trPr>
        <w:tc>
          <w:tcPr>
            <w:tcW w:w="634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30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380" w:type="dxa"/>
            <w:vAlign w:val="bottom"/>
            <w:tcBorders>
              <w:bottom w:val="single" w:sz="8" w:color="CCEEFF"/>
            </w:tcBorders>
            <w:gridSpan w:val="15"/>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8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76"/>
        </w:trPr>
        <w:tc>
          <w:tcPr>
            <w:tcW w:w="86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9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FORMS OF SECURITIES</w:t>
            </w:r>
          </w:p>
        </w:tc>
        <w:tc>
          <w:tcPr>
            <w:tcW w:w="6680" w:type="dxa"/>
            <w:vAlign w:val="bottom"/>
            <w:tcBorders>
              <w:bottom w:val="single" w:sz="8" w:color="CCEEFF"/>
            </w:tcBorders>
            <w:gridSpan w:val="11"/>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8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6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 RELATED TO THE OFFERING</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334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TAX CONSIDERATIONS</w:t>
            </w:r>
          </w:p>
        </w:tc>
        <w:tc>
          <w:tcPr>
            <w:tcW w:w="5300" w:type="dxa"/>
            <w:vAlign w:val="bottom"/>
            <w:tcBorders>
              <w:top w:val="single" w:sz="8" w:color="CCEEFF"/>
            </w:tcBorders>
            <w:gridSpan w:val="4"/>
          </w:tcPr>
          <w:p>
            <w:pPr>
              <w:spacing w:after="0"/>
              <w:rPr>
                <w:sz w:val="15"/>
                <w:szCs w:val="15"/>
                <w:color w:val="auto"/>
              </w:rPr>
            </w:pPr>
          </w:p>
        </w:tc>
        <w:tc>
          <w:tcPr>
            <w:tcW w:w="260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6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6"/>
        </w:trPr>
        <w:tc>
          <w:tcPr>
            <w:tcW w:w="14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180" w:type="dxa"/>
            <w:vAlign w:val="bottom"/>
            <w:tcBorders>
              <w:top w:val="single" w:sz="8" w:color="CCEEFF"/>
            </w:tcBorders>
            <w:gridSpan w:val="14"/>
          </w:tcPr>
          <w:p>
            <w:pPr>
              <w:spacing w:after="0"/>
              <w:rPr>
                <w:sz w:val="15"/>
                <w:szCs w:val="15"/>
                <w:color w:val="auto"/>
              </w:rPr>
            </w:pPr>
          </w:p>
        </w:tc>
        <w:tc>
          <w:tcPr>
            <w:tcW w:w="260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75"/>
        </w:trPr>
        <w:tc>
          <w:tcPr>
            <w:tcW w:w="86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LIABILITY</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75"/>
        </w:trPr>
        <w:tc>
          <w:tcPr>
            <w:tcW w:w="86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 using a “shelf” registration process. Under this shelf registration process, we may, from time to time, sell up to US$1,000,000,000 of any combination of the securities described in this prospectus. This prospectus provides you with a general description of the securities that may be offered by us. Each time we sell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Before buying any of the securities we are offering, you should carefully read both this prospectus and any prospectus supplement with all of the information incorporated by reference in this prospectus, as well as the additional information described in the sections titled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Neither we nor any underwriters, dealers or agents have authorized anyone to provide any information or to make any representations other than those contained in this prospectus, any accompanying prospectus supplement or any free writing prospectus we have prepared. Neither we nor any underwriters, dealers or agents take responsibility for, or provide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cover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“Where You Can Find More Information.”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proprietary rights to trademarks used in this prospectus that are important to our business, many of which are registered (or pending registration) under applicable intellectual property laws. 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INFORMATION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currently listed on Nasdaq under the symbol “BTDR.” On December 10, 2024, the closing price for each Class A ordinary share was US$18.9. The market price of Class A ordinary shares could vary at any time.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that involve substantial risks and uncertainties. The Private Securities Litigation Reform Act of 1995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Bitdeer desires to take advantage of the safe harbor provisions of the PSLRA and is including this cautionary statement in connection with this safe harbor legislation.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spacing w:after="0" w:line="18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volatility of Bitcoin and other cryptocurrencies;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positions in proprietary hash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and/or manufacture mining rigs at a lower cost;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mining datacenters or begin or complete any project that is “in the pipeline,” contracted or negotiated but not yet under active construction;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generations of mining rigs;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electricity cost;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effective judgments regarding pricing strategy and resource allocation;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upgrade and expand product offerings and to successfully develop our ASIC and HPC/AI business lines;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that may restrict the use of cryptocurrencies or the operation of cryptocurrency networks in a manner that may require us to cease certain or all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our business of earthquakes, fires, floods, and other natural catastrophic events and interruptions by man-made issues such as strikes and terrorist attacks;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market price of our Class A ordinary shares, which could cause the value of your investment to decline;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 active trading market for our Class A ordinary shares may never develop or be sustained;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Class A ordinary shares on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securities, which has been and may continue to be volatile;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or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or resales of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use of proceeds from our financing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cash runway;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our markets;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described in the section titled “Item 3.D. – Risk Factors” in our most recent annual report on Form 20-F for the year ended December 31, 2023, filed with the SEC on March 28, 2024, incorporated herein by reference.</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caution you not to rely on forward-looking statements, which reflect current beliefs and are based on information currently available as of the date a forward-looking statement is made. Forward-looking statements set forth herein speak only as of the date of this prospectus.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For additional information, see the section titled “Where You Can Find More Information.”</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ranking and industry data used throughout this prospectus,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150495</wp:posOffset>
            </wp:positionV>
            <wp:extent cx="7127875" cy="64763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discussed in the section titled “Risk Factors” beginning on page 6 of this prospectus, along with our consolidated financial statements and notes to those consolidated financial statements and the other information incorporated by reference in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world-leading technology company for blockchain and high-performance computing. We are committed to providing comprehensive computing solutions for our customers. We handle complex processes involved in computing, such as equipment procurement, transport logistics, datacenter design and construction, equipment management, and daily operations. We also offer advanced cloud capabilities to customers with high demand for artificial intelligence (AI). Headquartered in Singapore, we currently operate six mining datacenters in the United States, Norway and Bhutan with an aggregate electrical capacity of 895 MW as of November 30, 2024. From these mining datacenters, we generate hash rate under management which is categorized into proprietary and hosting hash rate. As of November 30, 2024, our proprietary hash rate was 8.8 EH/s. Together with the 11.9 EH/s hosting hash rate generated from mining rigs hosted in our mining datacenters, we possessed a total of 20.7 EH/s of hash rate under management as of November 30, 2024. We expect to continue increasing our hash rate through 2024 and beyond through conversion of our existing hosting capacity, executing on pipeline capacity, and pursuing expansion opportunities on a global scale. As of November 30, 2024, we possessed an aggregate pipeline capacity of 1,645 MW in the United States, Norway and Bhutan.</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primarily operate three business lines – “self-mining,” “hash rate sharing” and “hosting.” Self-mining refers to cryptocurrency mining for our own account, which allows us to directly capture the high appreciation potential of cryptocurrency. We offer two types of hash rate sharing solutions – Cloud Hash Rate and Hash Rate Marketplace. Through Cloud Hash Rate, our primary hash rate sharing solution, we sell our proprietary hash rate to customers, offering hash rate subscription plans at fixed prices and sharing mining income with them under certain arrangements. Through our Hash Rate Marketplace solution, we connect reliable third-party hash rate suppliers with hash rate users to facilitate hash rate sales and generate revenue from charging service fees. Our hosting services offer customers one-stop mining rig hosting solutions encompassing deployment, maintenance and management services for efficient cryptocurrency mining. Among a wide selection of hosting services, customers can either subscribe to our Cloud Hosting service for the specified mining rigs from which they derive computing power under a “group-buying” model, or send their mining rigs to our mining datacenters for hosting under the General Hosting option or the Membership Hosting option. All of our three business lines are supported by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our self-developed integrated intelligent software platform, which offers software support to significantly reduce time needed for daily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mining rig upgrade and substantially decrease operations and maintenance headcount.</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source mining rigs from a wide variety of manufacturers and traders with whom we have built robust relationships over the years. As a result, the majority of our mining rigs are the most recent and most commonly used models procured at a favorable price, which ensures high energy efficiency and stable hash rate supply both in quality and in quantum. We also engage in the sales of mining rigs from time to time. We stay at the forefront of technology development. As a market player with our proprietary hash rate slicing technology, we have been successfully maintaining a less than 2% fluctuation for 98% of our hash rate sales contracts as of December 31, 2023.</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are developing two new business lines – “application-specific integrated circuit (ASIC) business” and “cloud high-performance computing (HPC) and AI business.” In our ASIC business, we leverage proprietary ASIC technology to develop, manufacture, and commercialize our SEALMINER mining rigs to diversify our revenue streams and accelerate the growth of our self-mining operations. We believe our ASIC technology platform will allow vertical integration and enable us to capture the upside ASIC margins via self-mining and sales of mining rigs to third parties. In our cloud HPC/AI business, we offer advanced cloud capabilities and HPC services to customers with high demand for AI and computing. We operate the first cloud service platform in Asia that offers AI cloud services powered by our NVIDIA DGX SuperPOD H100 system. Our AI cloud services help customers accelerate their development of generative AI, large language models (LLMs), and other AI workloads.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150495</wp:posOffset>
            </wp:positionV>
            <wp:extent cx="7127875" cy="7333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27875" cy="733361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 investment in our notes involves risks. Before you decide to buy our notes, you should consider carefully all of the information in this offering memorandum as well as the documents incorporated herein by reference, including the risk factors set forth in the section titled “Item 3. Key Information—D. Risk Factors” in our most recent annual report on Form 20-F for the year ended December 31, 2023, filed with the SEC on March 28, 2024, incorporated herein by reference. Any of these risks could have a material adverse effect on our business, prospects, financial condition and results of operations. In any such case, the trading price of our Class A ordinary shares and the value of the notes may decline, and you could lose all or part of your investment. See the section titled “Where You Can Find More Information” in this prospectus for information on where you can find the documents we have filed with or furnished to the SEC and which are incorporated by reference in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Industry and Financial Condition</w:t>
      </w:r>
    </w:p>
    <w:p>
      <w:pPr>
        <w:spacing w:after="0" w:line="229" w:lineRule="exact"/>
        <w:rPr>
          <w:sz w:val="20"/>
          <w:szCs w:val="20"/>
          <w:color w:val="auto"/>
        </w:rPr>
      </w:pPr>
    </w:p>
    <w:p>
      <w:pPr>
        <w:jc w:val="both"/>
        <w:ind w:left="640" w:right="20" w:hanging="324"/>
        <w:spacing w:after="0" w:line="266"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cryptocurrency industry in which we operate is characterized by constant changes. If we fail to continuously innovate and to provide solutions or services that meet the expectations of our customers, we may not be able to attract new customers or retain existing customers, and hence our business and results of operations may be adversely affected.</w:t>
      </w:r>
    </w:p>
    <w:p>
      <w:pPr>
        <w:spacing w:after="0" w:line="17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have been and are expected to continue to be significantly impacted by Bitcoin price fluctuation.</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expansion of existing mining datacenters or the construction of new mining datacenters or significant cost overruns could present significant risks to our business and could have a material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of Bitcoins available for mining is limited and we may not be able to quickly adapt to new businesses when all the Bitcoins have been mined.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an organic way of growing our mining fleets, our business is nevertheless capital intensive. We may need additional capital but may not be able to obtain it in a timely manner and on favorable terms or at all.</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our competitive position as cryptocurrency networks are witnessing increases in the total network hash rate.</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execute our growth strategies or effectively maintain our rapid growth trends.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the development and use of AI may result in reputational or competitive harm or liability.</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succeed in ASIC, cloud HPC and AI industry or other markets we seek to penetrate into, our revenues, growth prospects and financial condition could be materially and adversely affected.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ASIC business currently depends on supplies from a third-party foundry partner, and any failure to obtain sufficient foundry capacity from such third-party foundry partner would significantly delay the shipment of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Cryptocurrencies</w:t>
      </w:r>
    </w:p>
    <w:p>
      <w:pPr>
        <w:spacing w:after="0" w:line="229" w:lineRule="exact"/>
        <w:rPr>
          <w:sz w:val="20"/>
          <w:szCs w:val="20"/>
          <w:color w:val="auto"/>
        </w:rPr>
      </w:pPr>
    </w:p>
    <w:p>
      <w:pPr>
        <w:ind w:left="640" w:right="20" w:hanging="324"/>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has been limited precedent set for financial accounting for Bitcoin and other cryptocurrencies, the determinations that we have made for how to account for cryptocurrencies transactions may be subject to change.</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destruction of a private key required to access our cryptocurrency is irreversible. We also may temporarily lose access to our cryptocurrencies.</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61"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largely unregulated, and thus may be exposed to fraud and failure. Incorrect or fraudulent cryptocurrency transactions may be irreversible.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150495</wp:posOffset>
            </wp:positionV>
            <wp:extent cx="7127875" cy="66821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27875" cy="668210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640" w:hanging="324"/>
        <w:spacing w:after="0" w:line="266"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adequate sources of recovery if the cryptocurrencies held by us are lost, stolen or destroyed due to third-party cryptocurrencies custodial services or if we cannot redeem or withdraw our cryptocurrencies invested in crypto lending or investing activities. Such incidents could have a material adverse effect on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that, in the event of a bankruptcy filing by a custodian, cryptocurrency held in custody could be determined to be property of a bankruptcy estate and we could be considered a general unsecured creditor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Compliance and Other Legal Matters</w:t>
      </w:r>
    </w:p>
    <w:p>
      <w:pPr>
        <w:spacing w:after="0" w:line="256" w:lineRule="exact"/>
        <w:rPr>
          <w:sz w:val="20"/>
          <w:szCs w:val="20"/>
          <w:color w:val="auto"/>
        </w:rPr>
      </w:pPr>
    </w:p>
    <w:p>
      <w:pPr>
        <w:ind w:left="640" w:hanging="324"/>
        <w:spacing w:after="0" w:line="28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highly-evolving regulatory landscape and any adverse changes to, or our failure to comply with, any laws and regulations could adversely affect our business, reputation, prospects or operations.</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interactions with a blockchain may expose us to specially designated nationals (“SDN”) or blocked persons or cause us to violate provisions of law that did not contemplate distribute ledger technology.</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mining datacenters may be located on property whose owner has not obtained the approval of relevant authorities, and we may be ordered to relocate from that property.</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continue to expand and localize our international activities, our obligations to comply with the laws, rules, regulations and policies of a variety of jurisdictions will increase and we may be subject to investigations and enforcement actions by U.S. and non-U.S. regulators and governmental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w:t>
      </w:r>
    </w:p>
    <w:p>
      <w:pPr>
        <w:spacing w:after="0" w:line="256" w:lineRule="exact"/>
        <w:rPr>
          <w:sz w:val="20"/>
          <w:szCs w:val="20"/>
          <w:color w:val="auto"/>
        </w:rPr>
      </w:pPr>
    </w:p>
    <w:p>
      <w:pPr>
        <w:ind w:left="640" w:hanging="32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Class A ordinary shares may not develop, which would adversely affect the liquidity and price of Class A ordinary shares.</w:t>
      </w:r>
    </w:p>
    <w:p>
      <w:pPr>
        <w:spacing w:after="0" w:line="22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Class A ordinary shares or other equity or convertible debt securities without approval of the holders of Class A ordinary shares, which would dilute existing ownership interests and may depress the market price of Class A ordinary shares.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of our ordinary shares may adversely affect price and liquidity of Class A ordinary shares.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the possibility of future sales of, a substantial number of our ordinary shares may depress the price of such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Taxation</w:t>
      </w:r>
    </w:p>
    <w:p>
      <w:pPr>
        <w:spacing w:after="0" w:line="256" w:lineRule="exact"/>
        <w:rPr>
          <w:sz w:val="20"/>
          <w:szCs w:val="20"/>
          <w:color w:val="auto"/>
        </w:rPr>
      </w:pPr>
    </w:p>
    <w:p>
      <w:pPr>
        <w:ind w:left="640" w:hanging="32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tax risks related to our multinational operations.</w:t>
      </w:r>
    </w:p>
    <w:p>
      <w:pPr>
        <w:spacing w:after="0" w:line="22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do not believe we were a PFIC for taxable year ended December 31, 2023, we may be or become a PFIC, which could result in adverse U.S. federal income tax consequences to U.S. Holders of Class A ordinary shares.</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under certain attribution rules the Company’s non-U.S. subsidiaries may be treated as controlled foreign corporations for U.S. federal income tax purposes, there could be adverse U.S. federal income tax consequences to certain U.S. Holders of Class A ordinary shares who own, directly or indirectly, ten percent or more of Class A ordinary shares.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220" w:right="47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150495</wp:posOffset>
            </wp:positionV>
            <wp:extent cx="7127875" cy="6767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27875" cy="676783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JOBS Act also exempts us from having to provide an auditor attestation of internal control over financial reporting under Section 404(b) of Sarbanes-Oxley Act of 2002. We expect to lose emerging growth company status on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will be subject to different U.S. securities laws than domestic U.S. issuers. The rules governing the information that we must disclose differ from those governing U.S. companies pursuant to the Exchange Act. We will be exempt from the rules under the Exchange Act prescribing the furnishing and content of proxy statements to shareholders. Those proxy statements are not expected to conform to Schedule 14A of the proxy rules promulgated under the Exchange Act.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as a “foreign private issuer,” our officers and directors and holders of more than 10% of the issued and outstanding Class A ordinary shares, will be exempt from the rules under the Exchange Act requiring insiders to report purchases and sales of ordinary shares as well as from Section 16 short swing profit reporting and liability. See the section titled “Item 3.D. Key Information—Risk Factors—Risks Related to Our Securities —We are a foreign private issuer within the meaning of the rules under the Exchange Act, and as such we are exempt from certain provisions applicable to domestic public companies in the United States” in our most recent annual report on Form 20-F for the year ended December 31, 2023, filed with the SEC on March 28, 2024,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spacing w:after="0" w:line="207" w:lineRule="exact"/>
        <w:rPr>
          <w:sz w:val="20"/>
          <w:szCs w:val="20"/>
          <w:color w:val="auto"/>
        </w:rPr>
      </w:pPr>
    </w:p>
    <w:p>
      <w:pPr>
        <w:ind w:left="640" w:hanging="32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our board of directors consists of independent directors;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conduct an annual performance evaluation of the nominating and corporate governance and compensation committees;</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nominating and corporate governance committee that is composed entirely of independent directors with a written charter addressing the committee’s purpose and responsibilities;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compensation committee that is composed entirely of independent directors with a written charter addressing the committee’s purpose and responsibility; and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director nomination be selected, or recommended for selection by our board of directors, by (i) a majority of our independent directors in a vote in which only our independent directors participate or (ii) a nominations committee composed solely of independent directors.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we have elected not to comply with any of the requirements listed above, except that our nominating and corporate governance committee and compensation committee have written charters addressing their respective purposes and responsibilities. We may continue to use all or some of these exemptions in the future. As a result, you may not have the same protections afforded to shareholders of companies that are subject to all of the Nasdaq corporate governance requirements.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150495</wp:posOffset>
            </wp:positionV>
            <wp:extent cx="7127875" cy="44361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27875" cy="443611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08 Kallang Avenue, Aperia tower 1, #09-03/04, Singapore 339509. Our telephone number at this address is +65 6282-8220. Our registered office in the Cayman Islands is Ogier Global (Cayman) Limited, 89 Nexus Way, Camana Bay, Grand Cayman, KY1-9009. Our agent for service of process in the United States is Cogency Global Inc. located at 122 East 42nd Street, 18th Floor, New York, New York 10168. Our corporate website is www.bitdeer.com. The information contained in, or accessible through, our website is not part of, and is not incorporated into, this prospectus, and investors should not rely on any such information in deciding whether to invest in our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this prospectus, except where the context otherwise requires and for purposes of this prospectus only:</w:t>
      </w:r>
    </w:p>
    <w:p>
      <w:pPr>
        <w:spacing w:after="0" w:line="225" w:lineRule="exact"/>
        <w:rPr>
          <w:sz w:val="20"/>
          <w:szCs w:val="20"/>
          <w:color w:val="auto"/>
        </w:rPr>
      </w:pPr>
    </w:p>
    <w:p>
      <w:pPr>
        <w:ind w:left="640" w:hanging="32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Companies Act” means the Companies Act (As Revised) of the Cayman Islands;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means the Class A ordinary shares, par value US$0.0000001, in the share capital of our company;</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V ordinary shares” means the Class V ordinary shares, par value US$0.0000001, in the share capital of our company;</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“JOBS Act” means the Jumpstart our Business Startups Act of 2012;</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means Class A ordinary shares and/or Class V ordinary shares (as appropriate);</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Securities and Exchange Commission; and</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“the company,” “our company” “our group,” “our” or “Bitdeer” refers to Bitdeer Technologies Group, a Cayman Islands exempted company, and its subsidiaries.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risk. Before making a decision to invest in our securities, you should carefully consider the risks described in the section titled “Risk Factors” in the applicable prospectus supplement and in our then-most recent annual report on Form 20-F, and any updates to those risk factors in our reports on Form 6-K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declare dividends on our ordinary shares from time to time. The declaration, payment and amount of any future dividends will be made at the discretion of our board of directors and will depend upon, among other things, the results of operations, cash flows and financial condition, operating and capital requirements, and other factors as our board of directors considers relevant. There is no assurance that future dividends will be paid, and if dividends are paid, there is no assurance with respect to the amount of any such dividend.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distribution of dividends may also be limited by the Cayman Companies Act, which permits the distribution of dividends only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 Under our articles of association, dividend distributions may be determined by our board of directors, without the need for shareholder approval. See the sections titled “Description of Securities” and “Tax Considerations” for additional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Cayman Islands exempted company incorporated with limited liability, and our affairs are governed by our amended and restated memorandum and articles of association, the Cayman Companies Act and the common law of the Cayman Islands.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Nasdaq and are registered under Section 12(b) of the Exchange Act. Setting forth below is a description of the rights of the holders of Class A ordinary shares and Class V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ordinary shares are issued in registered form and are issued when registered in our register of shareholders. We may not issue shares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bearer. Our shareholders who are nonresidents of the Cayman Islands may freely hold and vote their Ordinary Shares. Our ordinary shares are divided into Class A ordinary shares and Class V ordinary shares. Holders of our Class A ordinary shares and Class V ordinary shares shall have the same rights except for voting and conversion rights. See “––Voting Rights” below for additional information. Class V ordinary shares shall only be held by (i) Mr. Jihan Wu (the “Founder”), (ii) all limited partnerships, private companies or other vehicles of which more than 50% beneficial ownership or voting power are held directly or indirectly by the Founder, and (iii) a trust controlled by the Founder for the benefit of the Founder or his family, and all limited partnership, private companies or other vehicles wholly owned by such trust, including without limitation, Victory Courage Limited (collectively, “Founder Entities”).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Class V ordinary share shall automatically convert into one Class A ordinary share (as adjusted for share splits, share combinations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similar transactions) on any transfer by a Founder Entity to a person or entity that is not a Founder Entity of any beneficial ownership of, or economic interest in, such Class V ordinary share or the control over the voting rights attached to such Class V ordinary share (through any contracts, voting proxies or otherwise); provided, however, that on the grant by a Founder Entity of any lien, charge, mortgage or other encumbrance (a “Security Interest”) over the Class V ordinary shares held by it, unless and until the legal ownership of such shares is transferred pursuant to such Security Interest (including any enforcement or foreclosure in connection therewith).</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Class V ordinary share is convertible into one Class A ordinary share (as adjusted for share splits, share combinations and similar transactions) at any time at the option of the holder thereof. Each Class V ordinary share held by a Founder Entity shall automatically convert into one Class A ordinary share (as adjusted for share splits, share combinations and similar transactions) upon the death or incapacity of the Founder.</w:t>
      </w:r>
    </w:p>
    <w:p>
      <w:pPr>
        <w:spacing w:after="0" w:line="1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In addition, our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declare dividends by ordinary resolution, but no dividend shall exceed the amount recommended by our directors. Our amended and restated memorandum and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we may pay a dividend out of either profit or the credit standing in our share premium account, provided that in no circumstances may a dividend be paid if this would result in us being unable to pay its debts as they fall due in the ordinary course of business immediately following the date on which the distribution or dividend is proposed to be paid.</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ordinary shares have the right to receive notice of, attend and vote at general meetings of our company.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and Class V ordinary shares shall, at all times, vote together as one class on all matters submitted to a vote by our shareholders at any general meeting of our company. Each Class A ordinary share shall be entitled to one (1) vote and each Class V ordinary share shall be entitled to ten (10) votes on all matters subject to vote at general meetings of the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 which are present in person or by proxy at the meeting.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of our ordinary shares which are cast by those of our shareholders who are entitled to do so attend and vote at the meeting, while a special resolution requires the affirmative vote of no less than two-thirds of the votes of ordinary shares which cast by those of our shareholders who are entitled to do so attend and vote at the meeting.</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special resolution will be required for important matters such as a change of name or making changes to our amended and restated memorandum and articles of association. Holders of the ordinary shares may, among other things, divide or combine their shares by ordinary resolution.</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Cayman Companies Act, to call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general meetings. Our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our board of directors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one or more shareholder present or by proxy, who alone or together hold not less than 50% of all votes attaching to all of our shares in issue and entitled to vote at such general meeting.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Cayman Companies Act does not provide shareholders with an express right to put forth any proposal before an annual meeting of the shareholders. However, the Cayman Companies Act may provide shareholders with limited rights to requisition a general meeting, but such rights must be stipulated in the articles of association of our company.</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set out below, any of our shareholders may transfer all or any of his or her Ordinary Shares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instrument of transfer in the usual or common form or any other form approved by our board of directors.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2"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Nasdaq may determine to be payable or such lesser sum as our directors may from time to time require is paid to us in respect thereof.</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 repay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 amounts unpaid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a notice served to such shareholders at least 14 calendar days prior to the specified time and place of payment. The shares that have been called upon and remain unpaid are subject to forfeiture.</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Subject to the Cayman Companies Act, our amended and restated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and to any applicable requirements imposed from time to time by the Nasdaq, the SEC, or by any other recognized stock exchange on which our securities are listed, we may issue shares on terms that such shares are subject to redemption, at our option or at the option of the holders of these shares, on such terms and in such manner as may be determined by our board of directors or by a special resolution of our shareholders and we may also repurchase any of our shares on such terms and in such manner as have been approved by our board of directors or by an ordinary resolution of our shareholders.</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Cayman Companies Act, the redemption or repurchase of any share may be paid out of our profits or out of the proceeds of a fresh issue of shares made for the purpose of such redemption or repurchase, or out of capital (including share premium account) if our company can, immediately following on which such payment is proposed to be made, pay its debts as they fall due in the ordinary course of business. In addition, under the Cayman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or series of shares, the rights attached to any class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 or the redemption or purchase of any shares of any class by us. The rights of the holders of shares shall not be deemed to be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amended and restated memorandum of association authorizes our board of directors to issue additional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from time to time as our board of directors shall determine, to the extent of available authorized but unissued shares.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conversion rights, 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w:t>
      </w:r>
    </w:p>
    <w:p>
      <w:pPr>
        <w:spacing w:after="0" w:line="2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 or obtain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corporate records (other than copies of our memorandum and articles, the register of mortgages or charges, and any special resolutions passed by our shareholders). However, we will provide our shareholders with annual audited financial statements.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amended and restated memorandum and articles of association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w:t>
      </w:r>
    </w:p>
    <w:p>
      <w:pPr>
        <w:spacing w:after="0" w:line="160" w:lineRule="exact"/>
        <w:rPr>
          <w:sz w:val="20"/>
          <w:szCs w:val="20"/>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Cayman Companies Act. The Cayman Companies Act distinguishes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Cayman Companies Act is derived, to a large extent, from the older Companies Acts of England but does not follow recent English statutory enactments and accordingly there are significant differences between the Cayman Companies Act and the current Companies Act of England. In addition, the Cayman Companies Act differs from laws applicable to U.S. corporations and their shareholders. Set forth below is a summary of certain significant differences between the provisions of the Cayman Companies Act applicable to us and the comparable laws applicable to companies incorporated in the United States.</w:t>
      </w:r>
    </w:p>
    <w:p>
      <w:pPr>
        <w:spacing w:after="0" w:line="1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Cayman Companies Act permits mergers and consolidations between Cayman Islands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Cayman Islands companies and non-Cayman Islands companies provided that the laws of the foreign jurisdiction permit such merger or consolidation.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new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or her shares (which, if not agreed between the parties, will be determined by the Cayman Islands court) upon dissenting to the merger or consolidation, provided that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Cayman Companies Act also contains statutory provisions that facilitate the reconstruction and amalgamation of companies by way of schemes of arrangement, provided that the arrangement is approved by (a) seventy-five percent (75%) in value of the shareholders or class of shareholders, as the case may be, or (b) a majority in number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9"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Cayman Companies Act.</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Cayman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so that a non-controlling shareholder may be permitted to commence a class action against or derivative actions in the name of the company to challenge:</w:t>
      </w:r>
    </w:p>
    <w:p>
      <w:pPr>
        <w:spacing w:after="0" w:line="18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illegal or ultra vires with respect to the company and is therefore incapable of ratification by the shareholders ;</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although not ultra vires, requires authorization by a qualified (or special) majority (that is, more than a simple majority) which has not been obtained;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on the minority” where the wrongdoers are themselves in control of the company.</w:t>
      </w:r>
    </w:p>
    <w:p>
      <w:pPr>
        <w:spacing w:after="0" w:line="25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the consequences of committing a crime. or against the indemnified person’s own fraud, dishonesty, willful default or willful neglect. Our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amended and restated memorandum and articles of association.</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Resolution. </w:t>
      </w:r>
      <w:r>
        <w:rPr>
          <w:rFonts w:ascii="Times New Roman" w:cs="Times New Roman" w:eastAsia="Times New Roman" w:hAnsi="Times New Roman"/>
          <w:sz w:val="18"/>
          <w:szCs w:val="18"/>
          <w:color w:val="auto"/>
        </w:rPr>
        <w:t>Under the Delaware General Corporation Law, a corporation may eliminate the right of shareholders to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written consent by amendment to its certificate of incorporation. Cayman Islands law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Cayman Companies Act provides shareholders with only limited rights to requisition a general meeting. However, these rights may be provided in a company’s articles of association. Our amended and restated articles of association provide that upon the requisition of any one or more of our shareholders who alone or together hold shares which carry in aggregate not less than one-third of the total number of votes attaching to all issued and outstanding shares of our company entitled to vote at general meetings on the date of deposit of the requisition, our board of directors will be required to convene an extraordinary general meeting. As a Cayman Islands exempted company, we may but are not obliged by law to call shareholders’ annual general meetings. See “—Description of Securities—General Meetings of Shareholders” for more information on the rights of our shareholders’ rights to put proposals before the annual general meeting.</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with the approval of a majority of the outstanding shares entitled to vote, unless the certificate of incorporation provides otherwise. Under our amended and restated articles of association,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amended and restated memorandum and articles of association.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Cayman Islands law has no comparable statute. </w:t>
      </w:r>
      <w:r>
        <w:rPr>
          <w:rFonts w:ascii="Times New Roman" w:cs="Times New Roman" w:eastAsia="Times New Roman" w:hAnsi="Times New Roman"/>
          <w:sz w:val="18"/>
          <w:szCs w:val="18"/>
          <w:color w:val="auto"/>
        </w:rPr>
        <w:t>As a result, we cannot avail ourselves of the types of protections afforded by the Delaware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 dissolution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Cayman Companies Act and our amended and restated articles of association, our company may be dissolved, liquidated or wound up by a special resolution of our shareholders.</w:t>
      </w:r>
    </w:p>
    <w:p>
      <w:pPr>
        <w:sectPr>
          <w:pgSz w:w="11900" w:h="16838" w:orient="portrait"/>
          <w:cols w:equalWidth="0" w:num="1">
            <w:col w:w="11240"/>
          </w:cols>
          <w:pgMar w:left="320" w:top="220"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the outstanding shares of such class, unless the certificate of incorporation provides otherwise. Under Cayman Islands law and our amended and restated articles of association, if at any time our share capital is divided into different classes of shares, the rights attached to any class of shares (unless otherwise provided by the terms of issue of the shares of that class), whether or not we are being wound-up, may be varied with the consent in writing of the holders of two-thirds of the issued shares of that class or with the sanction of a special resolution passed at a separate meeting of the holders of the shares of the class.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entitled to vote, unless the certificate of incorporation provides otherwise. Under the Cayman Companies Act and our amended and restated memorandum and articles of association, our memorandum and articles of association may only be amended by a special resolution of our shareholders.</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amended and restated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6, 2024, our board of directors approved a share repurchase program under which we may repurchase up to US$10,000,000 worth of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effective from September 9, 2024 through September 8, 2025. As of the date of this prospectus, we have repurchased 145,762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for approximately US$0.9 million under the share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Debt Securities, Warrants and Rights and Other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Debt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debt securities, which may be secured or unsecured and may be exchangeable for and/or convertible into other securities, including our Class A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to the extent required and as applicable, the following terms (non-exhaustive) of the debt securities in respect of which the prospectus supplement is delivered:</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interest, if any, will be payable and any regular record date for the interest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 of US$1,000 or any integral multiple of that number;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to the extent required and as applicable, the following terms (non-exhaustive) of the warrants in respect of which the prospectus supplement is delivered:</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 which the securities or other rights purchasable upon exercise of such warrants may be purchased;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any material United States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Bitdeer Technologies Group, the trustees, the warrant agents, the unit agents or any other agent of Bitdeer Technologies Group,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public offering price and any discounts or concessions allowed or reallowed or paid to dealers may be changed from time to time.</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w:t>
      </w:r>
    </w:p>
    <w:p>
      <w:pPr>
        <w:spacing w:after="0" w:line="16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 basis for the period of its appointment.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(a) in two business days, prior to May 28, 2024 and (b) in one business day starting on May 28, 2024,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153,100</w:t>
            </w:r>
          </w:p>
        </w:tc>
      </w:tr>
      <w:tr>
        <w:trPr>
          <w:trHeight w:val="256"/>
        </w:trPr>
        <w:tc>
          <w:tcPr>
            <w:tcW w:w="98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FINRA Filing Fee</w:t>
            </w:r>
            <w:r>
              <w:rPr>
                <w:rFonts w:ascii="Times New Roman" w:cs="Times New Roman" w:eastAsia="Times New Roman" w:hAnsi="Times New Roman"/>
                <w:sz w:val="29"/>
                <w:szCs w:val="29"/>
                <w:color w:val="auto"/>
                <w:vertAlign w:val="superscript"/>
              </w:rPr>
              <w:t>(1)</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98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Accounting Fees and Expenses</w:t>
            </w:r>
            <w:r>
              <w:rPr>
                <w:rFonts w:ascii="Times New Roman" w:cs="Times New Roman" w:eastAsia="Times New Roman" w:hAnsi="Times New Roman"/>
                <w:sz w:val="29"/>
                <w:szCs w:val="29"/>
                <w:color w:val="auto"/>
                <w:vertAlign w:val="superscript"/>
              </w:rPr>
              <w:t>(1)</w:t>
            </w: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98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Legal Fees and Expenses</w:t>
            </w:r>
            <w:r>
              <w:rPr>
                <w:rFonts w:ascii="Times New Roman" w:cs="Times New Roman" w:eastAsia="Times New Roman" w:hAnsi="Times New Roman"/>
                <w:sz w:val="29"/>
                <w:szCs w:val="29"/>
                <w:color w:val="auto"/>
                <w:vertAlign w:val="superscript"/>
              </w:rPr>
              <w:t>(1)</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0"/>
        </w:trPr>
        <w:tc>
          <w:tcPr>
            <w:tcW w:w="9800" w:type="dxa"/>
            <w:vAlign w:val="bottom"/>
            <w:tcBorders>
              <w:bottom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Financial Printing and Miscellaneous Expenses</w:t>
            </w:r>
            <w:r>
              <w:rPr>
                <w:rFonts w:ascii="Times New Roman" w:cs="Times New Roman" w:eastAsia="Times New Roman" w:hAnsi="Times New Roman"/>
                <w:sz w:val="29"/>
                <w:szCs w:val="29"/>
                <w:color w:val="auto"/>
                <w:vertAlign w:val="superscript"/>
              </w:rPr>
              <w:t>(1)</w:t>
            </w:r>
          </w:p>
        </w:tc>
        <w:tc>
          <w:tcPr>
            <w:tcW w:w="4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8"/>
        </w:trPr>
        <w:tc>
          <w:tcPr>
            <w:tcW w:w="9800" w:type="dxa"/>
            <w:vAlign w:val="bottom"/>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(1)</w:t>
            </w: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9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and expenses depend on the securities offered and the number of issuances, and accordingly cannot be estimated at this time and will be reflected in the applicable prospectus supplement.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generally applicable to the acquisition, ownership, and disposition of ordinary shares by a “U.S. Holder” (as defined below). This discussion applies only to ordinary shares that are held by a U.S. Holder as “capital assets” within the meaning of Section 1221 of the U.S. Internal Revenue Code of 1986, as amended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the alternative minimum tax, the special tax accounting rules under Section 451(b) of the Code, the Medicare contribution tax on net investment income, or any tax consequences that may be relevant to U.S. Holders that are subject to special tax rules, including, without limitation:</w:t>
      </w:r>
    </w:p>
    <w:p>
      <w:pPr>
        <w:spacing w:after="0" w:line="189"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or retirement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dealers in securities or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or estates;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Ordinary Shares as part of a “straddle,” “hedge,” “conversion,” “synthetic security,”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owning (directly, indirectly, or constructively) 5% (by vote or value) or more of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Ordinary Shares pursuant to an exercise of employee stock options or otherwise as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pass-through entities for U.S. federal income tax purposes and investors in such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within the meaning of Section 957(a)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within the meaning of Section 1297(a) of the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TAX CONSEQUENCES OF THE ACQUISITION, OWNERSHIP, AND DISPOSITION OF ORDINARY SHARES IN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Ordinary Shares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Subject to the passive foreign investment company (“PFIC”) rules discussed below under “––Passive Foreign Investment Company Rules,”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spacing w:after="0" w:line="1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Taxable Disposition of Ordinary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PFIC rules discussed below under “—Passive Foreign Investment Company Rules,”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royalties, rents,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our analysis of our income, assets, activities, and market capitalization, we believe that we were not a PFIC, for U.S. federal income tax purposes, for the taxable year ended December 31, 2023. However, our PFIC status for any taxable year is a factual annual determination that can be made only after the end of the year and will depend on the composition of our income and assets and the value of our assets from time to time (including the value of our goodwill, which may be determined in large part by reference to the market price of the Class A ordinary shares from time to time, which could be volatile). In addition, the risk of us being a PFIC for any taxable year will increase if our market capitalization declines substantially during that year. Furthermore, whether and to which extent our income and assets, including goodwill, will be characterized as active or passive will depend on various factors that are subject to uncertainty, including our future business plan and the application of laws that are subject to varying interpretation. For example, there is no authority that directly addresses the proper treatment of certain items of our income, such as income from cryptocurrency self-mining, hash rate sharing, or hosting for purposes of the PFIC rules and, although we currently treat these items of income as active, such treatment is uncertain. Moreover, certain of our business activities generate passive income and, although the amount of such income is currently small, our risk of being a PFIC will increase if the proportion of our revenue earned from such business activities increases in future taxable years. Accordingly, there can be no assurances that we will not be a PFIC for its current or any future taxable year, and our U.S. counsel expresses no opinion with respect to our PFIC status for any taxable year.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PFIC status is generally determined annually, if we are determined to be a PFIC for any taxable year (or portion thereof) that is included in the holding period of a U.S. Holder in its ordinary shares and the U.S. Holder did not make either a mark-to-market election or a qualifying electing fund (“QEF”) election or,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 Under these rules:</w:t>
      </w:r>
    </w:p>
    <w:p>
      <w:pPr>
        <w:spacing w:after="0" w:line="188"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in its ordinary shares;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the U.S. Holder’s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PFIC Elections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treated as a PFIC and our ordinary shares constitute “marketable stock,” a U.S. Holder may avoid the adverse PFIC tax consequences discussed above if such U.S. Holder makes a mark-to-market election with respect to its ordinary shares for the first taxable year in which the U.S. Holder holds (or is deemed to hold) the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made, a mark-to-market election would be effective for the taxable year for which the election was made and for all subsequent taxable years unless our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ordinary shares solely for purposes of the PFIC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PFIC Rules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treated as a PFIC and, at any time, has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PFIC RULES ARE VERY COMPLEX AND U.S. HOLDERS SHOULD CONSULT THEIR TAX ADVISORS REGARDING THE APPLICATION OF SUCH RULES IN THEIR PARTICULAR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information reporting requirements and the application of the backup withholding rules in their particular circumstances.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professional advisers on the possible tax consequences of buying, holding or selling any shares under the laws of their country of citizenship, residence or domicile.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 Existing Cayman Islands Laws: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our securities will not be subject to taxation in the Cayman Islands and no withholding will be required on the payment of interest and principal or a dividend or capital to any 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our securities or on an instrument of transfer in respect of our securities, except for stamp duties which may be applicable on instruments executed in, or, after execution, brought within the jurisdiction of the Cayman Islands.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w:t>
      </w:r>
    </w:p>
    <w:p>
      <w:pPr>
        <w:sectPr>
          <w:pgSz w:w="11900" w:h="16838" w:orient="portrait"/>
          <w:cols w:equalWidth="0" w:num="1">
            <w:col w:w="11240"/>
          </w:cols>
          <w:pgMar w:left="320" w:top="220"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being represented by Cooley LLP with respect to certain legal matters as to United States federal securities and New York State law. The validity of ordinary shares has been passed on by Ogier.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Bitdeer Technologies Group incorporated in this prospectus by reference to the annual report on Form 20-F for the year ended December 31, 2023 have been so incorporated in reliance on the report of MaloneBailey, LLP, an independent registered public accounting firm, given on the authority of said firm as experts in auditing and accounting.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6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neutrality;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252"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those of the United States;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directors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Ogier, our counsel as to Cayman Islands law, has advised us that there is uncertainty as to whether the courts of the Cayman Islands would (i) recognize or enforce against us judgments of courts of the United States based on certain civil liability provisions of U.S. securities laws, and (ii) entertain original actions brought in the Cayman Islands against us or our directors or officers that are predicated upon the federal securities laws of the United States or the securities laws of any state in the United States.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spacing w:after="0" w:line="176"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by a foreign court of competent jurisdiction;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the judgment debtor a liability to pay a liquidated sum for which the judgment has been given;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final and conclusive;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obtained by fraud;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of a kind the enforcement of which is contrary to natural justice or the public policy of the Cayman Islands.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ectPr>
          <w:pgSz w:w="11900" w:h="16838" w:orient="portrait"/>
          <w:cols w:equalWidth="0" w:num="1">
            <w:col w:w="11240"/>
          </w:cols>
          <w:pgMar w:left="320" w:top="220"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F-3 under the Securities Act. This prospectus, which is part of the registration statement,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applicable to foreign private issuers. Accordingly, we will be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will not be required under the Exchange Act to file periodic reports and financial statements with the SEC as frequently or as promptly as U.S. companies whose securities are registered under the Exchange Act.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SEC filings, including the registration statement, are available to you on the SEC’s website at http://www.sec.gov. This site contains reports, proxy and information statements and other information regarding issuers that file electronically with the SEC. We also maintain a website at https://www.bitdeer.com/.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0" w:name="page71"/>
    <w:bookmarkEnd w:id="70"/>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This registration statement incorporates by reference important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any document incorporated or deemed to be incorporated by reference herein shall be deemed to be modified or superseded for purposes of this prospectus to the extent that a statement contained in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spacing w:after="0" w:line="19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for the year ended December 31, 2023 on </w:t>
      </w:r>
      <w:hyperlink r:id="rId120">
        <w:r>
          <w:rPr>
            <w:rFonts w:ascii="Times New Roman" w:cs="Times New Roman" w:eastAsia="Times New Roman" w:hAnsi="Times New Roman"/>
            <w:sz w:val="18"/>
            <w:szCs w:val="18"/>
            <w:u w:val="single" w:color="auto"/>
            <w:color w:val="0000EE"/>
          </w:rPr>
          <w:t>Form 20-F</w:t>
        </w:r>
      </w:hyperlink>
      <w:r>
        <w:rPr>
          <w:rFonts w:ascii="Times New Roman" w:cs="Times New Roman" w:eastAsia="Times New Roman" w:hAnsi="Times New Roman"/>
          <w:sz w:val="18"/>
          <w:szCs w:val="18"/>
          <w:color w:val="auto"/>
        </w:rPr>
        <w:t>, filed with the SEC on March 28,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12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12, 2023, and any amendment or report filed for the purpose of updating such description;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22">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May 14, 2024 that attaches as an exhibit our Unaudited Interim Condensed Consolidated Financial Statements, both for the three months ended March 31, 2023 and 2024 (other than to the extent the filing includes forward-looking guidance or projections);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23">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August 12, 2024 that attaches as an exhibit our Unaudited Interim Condensed Consolidated Financial Statements, both for the three and six months ended June 30, 2023 and 2024 (other than to the extent the filing includes forward-looking guidance or projections);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24">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September 3, 2024 that announces the appointment of Ms. Chao Suo to serve as the Chief Operating Officer;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25">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September 23, 2024 that attaches as exhibits our unaudited condensed consolidated financial statements as of June 30, 2024 and December 31, 2024 and for the six months ended June 30, 2024 and 2023 and disclosure regarding recent developments of our Company;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26">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November 18, 2024 that attaches as an exhibit our unaudited interim condensed consolidated financial statements, both for the three and nine months ended September 30, 2023 and 2024 (other than to the extent the filing includes forward-looking guidance or projections);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27">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November 22, 2024 that attaches as exhibits (i) announcement of proposed private placement of US$360.0 million principal amount of convertible senior notes due 2029, (ii) announcement of the pricing of US$360.0 million principal amount of 5.25% convertible senior notes due 2029 and (iii) our recent developments and risk factors;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28">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November 27, 2024 that attaches as exhibits (i) Indenture, dated November 26, 2024 by and between us and U.S. Bank Trust Company, National Association, (ii) form of zero-strike call confirmation, and (iii) form of global note, representing our 5.25% convertible senior note due 2029;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29">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to the SEC on December 5, 2024 that attaches as an exhibit our November 2024 production and operations update.</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after the filing of the registration statement of which this prospectus forms a part and prior to the effectiveness of such registration statement and (ii) after the date of this prospectus and prior to the completion of an offering of securities under this prospectus.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filings with the SEC, including annual reports on Form 20-F and current reports on Form 6-K and amendments to those reports, are available electronically on the SEC’s website at www.sec.gov.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+65 62828220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or any accompanying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156845</wp:posOffset>
            </wp:positionV>
            <wp:extent cx="3120390" cy="6000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312039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Placement Agent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Barclays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60"/>
        <w:spacing w:after="0"/>
        <w:tabs>
          <w:tab w:leader="none" w:pos="4980" w:val="left"/>
        </w:tabs>
        <w:rPr>
          <w:sz w:val="20"/>
          <w:szCs w:val="20"/>
          <w:color w:val="auto"/>
        </w:rPr>
      </w:pPr>
      <w:r>
        <w:rPr>
          <w:rFonts w:ascii="Times New Roman" w:cs="Times New Roman" w:eastAsia="Times New Roman" w:hAnsi="Times New Roman"/>
          <w:sz w:val="18"/>
          <w:szCs w:val="18"/>
          <w:b w:val="1"/>
          <w:bCs w:val="1"/>
          <w:color w:val="auto"/>
        </w:rPr>
        <w:t>February</w:t>
      </w:r>
      <w:r>
        <w:rPr>
          <w:sz w:val="20"/>
          <w:szCs w:val="20"/>
          <w:color w:val="auto"/>
        </w:rPr>
        <w:tab/>
      </w: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1391285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2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endash "/>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2"/>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6"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jpe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jpeg"/><Relationship Id="rId133" Type="http://schemas.openxmlformats.org/officeDocument/2006/relationships/image" Target="media/image100.png"/><Relationship Id="rId57" Type="http://schemas.openxmlformats.org/officeDocument/2006/relationships/hyperlink" Target="http://www.sec.gov/Archives/edgar/data/1899123/000114036125014766/ef20038928_20f.htm" TargetMode="External"/><Relationship Id="rId58" Type="http://schemas.openxmlformats.org/officeDocument/2006/relationships/hyperlink" Target="http://www.sec.gov/Archives/edgar/data/1899123/000110465923044314/tm2312555d1_8a12b.htm" TargetMode="External"/><Relationship Id="rId59" Type="http://schemas.openxmlformats.org/officeDocument/2006/relationships/hyperlink" Target="http://www.sec.gov/Archives/edgar/data/1899123/000121390025043726/ea0242111-6k_bitdeer.htm" TargetMode="External"/><Relationship Id="rId60" Type="http://schemas.openxmlformats.org/officeDocument/2006/relationships/hyperlink" Target="http://www.sec.gov/Archives/edgar/data/1899123/000121390025049129/ea0244021-6k_bitdeer.htm" TargetMode="External"/><Relationship Id="rId61" Type="http://schemas.openxmlformats.org/officeDocument/2006/relationships/hyperlink" Target="http://www.sec.gov/Archives/edgar/data/1899123/000121390025052079/ea0244945-6k_bitdeer.htm" TargetMode="External"/><Relationship Id="rId62" Type="http://schemas.openxmlformats.org/officeDocument/2006/relationships/hyperlink" Target="http://www.sec.gov/Archives/edgar/data/1899123/000121390025055406/ea0246053-6k_bitdeer.htm" TargetMode="External"/><Relationship Id="rId63" Type="http://schemas.openxmlformats.org/officeDocument/2006/relationships/hyperlink" Target="http://www.sec.gov/Archives/edgar/data/1899123/000121390025056729/ea0246533-6k_bitdeer.htm" TargetMode="External"/><Relationship Id="rId64" Type="http://schemas.openxmlformats.org/officeDocument/2006/relationships/hyperlink" Target="http://www.sec.gov/Archives/edgar/data/1899123/000121390025059212/ea0247488-6k_bitdeer.htm" TargetMode="External"/><Relationship Id="rId65" Type="http://schemas.openxmlformats.org/officeDocument/2006/relationships/hyperlink" Target="http://www.sec.gov/Archives/edgar/data/1899123/000121390025078134/ea0253320-6k_bitdeer.htm" TargetMode="External"/><Relationship Id="rId67" Type="http://schemas.openxmlformats.org/officeDocument/2006/relationships/hyperlink" Target="http://www.sec.gov/Archives/edgar/data/1899123/000121390025085290/ea0256374-6k_bitdeer.htm" TargetMode="External"/><Relationship Id="rId68" Type="http://schemas.openxmlformats.org/officeDocument/2006/relationships/hyperlink" Target="http://www.sec.gov/ix?doc=/Archives/edgar/data/1899123/000121390025093073/ea0256190-6k_bitdeer.htm" TargetMode="External"/><Relationship Id="rId69" Type="http://schemas.openxmlformats.org/officeDocument/2006/relationships/hyperlink" Target="http://www.sec.gov/Archives/edgar/data/1899123/000121390025107865/ea026473801-6k_bitdeer.htm" TargetMode="External"/><Relationship Id="rId70" Type="http://schemas.openxmlformats.org/officeDocument/2006/relationships/hyperlink" Target="http://www.sec.gov/Archives/edgar/data/1899123/000121390025109606/ea0265409-6k_bitdeer.htm" TargetMode="External"/><Relationship Id="rId71" Type="http://schemas.openxmlformats.org/officeDocument/2006/relationships/hyperlink" Target="http://www.sec.gov/Archives/edgar/data/1899123/000121390025112603/ea0266381-6k_bitdeer.htm" TargetMode="External"/><Relationship Id="rId72" Type="http://schemas.openxmlformats.org/officeDocument/2006/relationships/hyperlink" Target="http://www.sec.gov/Archives/edgar/data/1899123/000121390026012756/ea0275775-6k_bitdeer.htm" TargetMode="External"/><Relationship Id="rId73" Type="http://schemas.openxmlformats.org/officeDocument/2006/relationships/hyperlink" Target="http://www.sec.gov/Archives/edgar/data/1899123/000121390026015251/ea0276780-6k_bitdeer.htm" TargetMode="External"/><Relationship Id="rId120" Type="http://schemas.openxmlformats.org/officeDocument/2006/relationships/hyperlink" Target="http://www.sec.gov/Archives/edgar/data/1899123/000114036124016150/ef200119374_20f.htm" TargetMode="External"/><Relationship Id="rId121" Type="http://schemas.openxmlformats.org/officeDocument/2006/relationships/hyperlink" Target="https://www.sec.gov/Archives/edgar/data/1899123/000110465923044314/tm2312555d1_8a12b.htm" TargetMode="External"/><Relationship Id="rId122" Type="http://schemas.openxmlformats.org/officeDocument/2006/relationships/hyperlink" Target="https://www.sec.gov/Archives/edgar/data/1899123/000114036124025827/ef20028792_6k.htm" TargetMode="External"/><Relationship Id="rId123" Type="http://schemas.openxmlformats.org/officeDocument/2006/relationships/hyperlink" Target="https://www.sec.gov/Archives/edgar/data/1899123/000114036124036828/ef20033833_6k.htm" TargetMode="External"/><Relationship Id="rId124" Type="http://schemas.openxmlformats.org/officeDocument/2006/relationships/hyperlink" Target="https://www.sec.gov/Archives/edgar/data/1899123/000114036124039855/ef20035365_6k.htm" TargetMode="External"/><Relationship Id="rId125" Type="http://schemas.openxmlformats.org/officeDocument/2006/relationships/hyperlink" Target="https://www.sec.gov/Archives/edgar/data/1899123/000114036124041606/ef20035247_6k.htm" TargetMode="External"/><Relationship Id="rId126" Type="http://schemas.openxmlformats.org/officeDocument/2006/relationships/hyperlink" Target="https://www.sec.gov/Archives/edgar/data/1899123/000114036124047159/ef20038562_6k.htm" TargetMode="External"/><Relationship Id="rId127" Type="http://schemas.openxmlformats.org/officeDocument/2006/relationships/hyperlink" Target="https://www.sec.gov/Archives/edgar/data/1899123/000114036124047636/ef20039115_6k.htm" TargetMode="External"/><Relationship Id="rId128" Type="http://schemas.openxmlformats.org/officeDocument/2006/relationships/hyperlink" Target="https://www.sec.gov/Archives/edgar/data/1899123/000114036124047972/ef20039196_6k.htm" TargetMode="External"/><Relationship Id="rId129" Type="http://schemas.openxmlformats.org/officeDocument/2006/relationships/hyperlink" Target="https://www.sec.gov/Archives/edgar/data/1899123/000114036124048440/ef20039505_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2026-02-19T07:54:41Z</dcterms:created>
  <dcterms:modified xsi:type="dcterms:W3CDTF">2026-02-19T07:54:41Z</dcterms:modified>
</cp:coreProperties>
</file>