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286-6k_bitdeer.htm"/>
      <w:bookmarkStart w:id="1" w:name="ksea03012866k_bitdeer"/>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month of August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Current Report on Form 6-K (this “Current Report”) is hereby incorporated by reference in the registration statements of Bitdeer Technologies Group (the “Company”) on Form F-3 (No. </w:t>
      </w:r>
      <w:hyperlink r:id="rId2">
        <w:r>
          <w:rPr>
            <w:rStyle w:val="InternetLink"/>
            <w:rFonts w:ascii="Times New Roman;Times;Serif" w:hAnsi="Times New Roman;Times;Serif"/>
            <w:b w:val="false"/>
            <w:i w:val="false"/>
            <w:caps w:val="false"/>
            <w:smallCaps w:val="false"/>
            <w:sz w:val="20"/>
          </w:rPr>
          <w:t>333-273905</w:t>
        </w:r>
      </w:hyperlink>
      <w:r>
        <w:rPr>
          <w:rFonts w:ascii="Times New Roman;Times;Serif" w:hAnsi="Times New Roman;Times;Serif"/>
          <w:b w:val="false"/>
          <w:i w:val="false"/>
          <w:caps w:val="false"/>
          <w:smallCaps w:val="false"/>
          <w:sz w:val="20"/>
        </w:rPr>
        <w:t xml:space="preserve">, No. </w:t>
      </w:r>
      <w:hyperlink r:id="rId3">
        <w:r>
          <w:rPr>
            <w:rStyle w:val="InternetLink"/>
            <w:rFonts w:ascii="Times New Roman;Times;Serif" w:hAnsi="Times New Roman;Times;Serif"/>
            <w:b w:val="false"/>
            <w:i w:val="false"/>
            <w:caps w:val="false"/>
            <w:smallCaps w:val="false"/>
            <w:sz w:val="20"/>
          </w:rPr>
          <w:t>333-278027</w:t>
        </w:r>
      </w:hyperlink>
      <w:r>
        <w:rPr>
          <w:rFonts w:ascii="Times New Roman;Times;Serif" w:hAnsi="Times New Roman;Times;Serif"/>
          <w:b w:val="false"/>
          <w:i w:val="false"/>
          <w:caps w:val="false"/>
          <w:smallCaps w:val="false"/>
          <w:sz w:val="20"/>
        </w:rPr>
        <w:t xml:space="preserve">, No. </w:t>
      </w:r>
      <w:hyperlink r:id="rId4">
        <w:r>
          <w:rPr>
            <w:rStyle w:val="InternetLink"/>
            <w:rFonts w:ascii="Times New Roman;Times;Serif" w:hAnsi="Times New Roman;Times;Serif"/>
            <w:b w:val="false"/>
            <w:i w:val="false"/>
            <w:caps w:val="false"/>
            <w:smallCaps w:val="false"/>
            <w:sz w:val="20"/>
          </w:rPr>
          <w:t>333-278029</w:t>
        </w:r>
      </w:hyperlink>
      <w:r>
        <w:rPr>
          <w:rFonts w:ascii="Times New Roman;Times;Serif" w:hAnsi="Times New Roman;Times;Serif"/>
          <w:b w:val="false"/>
          <w:i w:val="false"/>
          <w:caps w:val="false"/>
          <w:smallCaps w:val="false"/>
          <w:sz w:val="20"/>
        </w:rPr>
        <w:t xml:space="preserve">, No. </w:t>
      </w:r>
      <w:hyperlink r:id="rId5">
        <w:r>
          <w:rPr>
            <w:rStyle w:val="InternetLink"/>
            <w:rFonts w:ascii="Times New Roman;Times;Serif" w:hAnsi="Times New Roman;Times;Serif"/>
            <w:b w:val="false"/>
            <w:i w:val="false"/>
            <w:caps w:val="false"/>
            <w:smallCaps w:val="false"/>
            <w:sz w:val="20"/>
          </w:rPr>
          <w:t>333-280041</w:t>
        </w:r>
      </w:hyperlink>
      <w:r>
        <w:rPr>
          <w:rFonts w:ascii="Times New Roman;Times;Serif" w:hAnsi="Times New Roman;Times;Serif"/>
          <w:b w:val="false"/>
          <w:i w:val="false"/>
          <w:caps w:val="false"/>
          <w:smallCaps w:val="false"/>
          <w:sz w:val="20"/>
        </w:rPr>
        <w:t xml:space="preserve">, No. </w:t>
      </w:r>
      <w:hyperlink r:id="rId6">
        <w:r>
          <w:rPr>
            <w:rStyle w:val="InternetLink"/>
            <w:rFonts w:ascii="Times New Roman;Times;Serif" w:hAnsi="Times New Roman;Times;Serif"/>
            <w:b w:val="false"/>
            <w:i w:val="false"/>
            <w:caps w:val="false"/>
            <w:smallCaps w:val="false"/>
            <w:sz w:val="20"/>
          </w:rPr>
          <w:t>333-283732</w:t>
        </w:r>
      </w:hyperlink>
      <w:r>
        <w:rPr>
          <w:rFonts w:ascii="Times New Roman;Times;Serif" w:hAnsi="Times New Roman;Times;Serif"/>
          <w:b w:val="false"/>
          <w:i w:val="false"/>
          <w:caps w:val="false"/>
          <w:smallCaps w:val="false"/>
          <w:sz w:val="20"/>
        </w:rPr>
        <w:t xml:space="preserve">, No. </w:t>
      </w:r>
      <w:hyperlink r:id="rId7">
        <w:r>
          <w:rPr>
            <w:rStyle w:val="InternetLink"/>
            <w:rFonts w:ascii="Times New Roman;Times;Serif" w:hAnsi="Times New Roman;Times;Serif"/>
            <w:b w:val="false"/>
            <w:i w:val="false"/>
            <w:caps w:val="false"/>
            <w:smallCaps w:val="false"/>
            <w:sz w:val="20"/>
          </w:rPr>
          <w:t>333-289855</w:t>
        </w:r>
      </w:hyperlink>
      <w:r>
        <w:rPr>
          <w:rFonts w:ascii="Times New Roman;Times;Serif" w:hAnsi="Times New Roman;Times;Serif"/>
          <w:b w:val="false"/>
          <w:i w:val="false"/>
          <w:caps w:val="false"/>
          <w:smallCaps w:val="false"/>
          <w:sz w:val="20"/>
        </w:rPr>
        <w:t xml:space="preserve"> and No. </w:t>
      </w:r>
      <w:hyperlink r:id="rId8">
        <w:r>
          <w:rPr>
            <w:rStyle w:val="InternetLink"/>
            <w:rFonts w:ascii="Times New Roman;Times;Serif" w:hAnsi="Times New Roman;Times;Serif"/>
            <w:b w:val="false"/>
            <w:i w:val="false"/>
            <w:caps w:val="false"/>
            <w:smallCaps w:val="false"/>
            <w:sz w:val="20"/>
          </w:rPr>
          <w:t>333-298172</w:t>
        </w:r>
      </w:hyperlink>
      <w:r>
        <w:rPr>
          <w:rFonts w:ascii="Times New Roman;Times;Serif" w:hAnsi="Times New Roman;Times;Serif"/>
          <w:b w:val="false"/>
          <w:i w:val="false"/>
          <w:caps w:val="false"/>
          <w:smallCaps w:val="false"/>
          <w:sz w:val="20"/>
        </w:rPr>
        <w:t xml:space="preserve">) and Form S-8 (No. </w:t>
      </w:r>
      <w:hyperlink r:id="rId9">
        <w:r>
          <w:rPr>
            <w:rStyle w:val="InternetLink"/>
            <w:rFonts w:ascii="Times New Roman;Times;Serif" w:hAnsi="Times New Roman;Times;Serif"/>
            <w:b w:val="false"/>
            <w:i w:val="false"/>
            <w:caps w:val="false"/>
            <w:smallCaps w:val="false"/>
            <w:sz w:val="20"/>
          </w:rPr>
          <w:t>333-272858</w:t>
        </w:r>
      </w:hyperlink>
      <w:r>
        <w:rPr>
          <w:rFonts w:ascii="Times New Roman;Times;Serif" w:hAnsi="Times New Roman;Times;Serif"/>
          <w:b w:val="false"/>
          <w:i w:val="false"/>
          <w:caps w:val="false"/>
          <w:smallCaps w:val="false"/>
          <w:sz w:val="20"/>
        </w:rPr>
        <w:t xml:space="preserve"> and No. </w:t>
      </w:r>
      <w:hyperlink r:id="rId10">
        <w:r>
          <w:rPr>
            <w:rStyle w:val="InternetLink"/>
            <w:rFonts w:ascii="Times New Roman;Times;Serif" w:hAnsi="Times New Roman;Times;Serif"/>
            <w:b w:val="false"/>
            <w:i w:val="false"/>
            <w:caps w:val="false"/>
            <w:smallCaps w:val="false"/>
            <w:sz w:val="20"/>
          </w:rPr>
          <w:t>333-275342</w:t>
        </w:r>
      </w:hyperlink>
      <w:r>
        <w:rPr>
          <w:rFonts w:ascii="Times New Roman;Times;Serif" w:hAnsi="Times New Roman;Times;Serif"/>
          <w:b w:val="false"/>
          <w:i w:val="false"/>
          <w:caps w:val="false"/>
          <w:smallCaps w:val="false"/>
          <w:sz w:val="20"/>
        </w:rPr>
        <w:t>),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August 10, 2026, the Company filed an automatic shelf registration statement on Form F-3ASR (File No. </w:t>
      </w:r>
      <w:hyperlink r:id="rId11">
        <w:r>
          <w:rPr>
            <w:rStyle w:val="InternetLink"/>
            <w:rFonts w:ascii="Times New Roman;Times;Serif" w:hAnsi="Times New Roman;Times;Serif"/>
            <w:b w:val="false"/>
            <w:i w:val="false"/>
            <w:caps w:val="false"/>
            <w:smallCaps w:val="false"/>
            <w:sz w:val="20"/>
          </w:rPr>
          <w:t>333-298172</w:t>
        </w:r>
      </w:hyperlink>
      <w:r>
        <w:rPr>
          <w:rFonts w:ascii="Times New Roman;Times;Serif" w:hAnsi="Times New Roman;Times;Serif"/>
          <w:b w:val="false"/>
          <w:i w:val="false"/>
          <w:caps w:val="false"/>
          <w:smallCaps w:val="false"/>
          <w:sz w:val="20"/>
        </w:rPr>
        <w:t>) (the “Registration Statement”) with the Securities and Exchange Commission, which became effective automatically upon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the Company filed a prospectus supplement (the “Prospectus Supplement”) under the Registration Statement to register the offer, sale and issuance of up to an aggregate of US$1,000,000,000 of the Class A ordinary shares (the “Shares”) under the Securities Act of 1933, as amended. The Shares are offered under the ATM program established in accordance with the At Market Issuance Sales Agreement (as amended and supplemented, the “Sales Agreement”; the program under the Sales Agreement, the “ATM program”) dated January 3, 2025 by and among the Company and Barclays Capital Inc., Cantor Fitzgerald &amp; Co., A.G.P./Alliance Global Partners, Benchmark, StoneX Company, B. Riley Securities, Inc., BTIG, LLC, Keefe, Bruyette &amp; Woods, Inc., Needham &amp; Company, LLC, Northland Securities, Inc., Rosenblatt Securities Inc., Roth Capital Partners, LLC and StockBlock Securities LLC as sales agents (the “sales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Sales Agreement was filed as Exhibit 1.1 to the Company’s report on Form 6-K furnished to the Securities and Exchange Commission on January 3,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opinion of Ogier, Cayman counsel to the Company, relating to the validity of the Shares to be issued pursuant to the Sales Agreement is filed herewith as 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COLOCATION LEASE AND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announced its entry into a data center lease agreement and a data center services agreement (collectively, as amended, the “colocation lease and services agreement” or the “agreement”) through its subsidiary, Tydal Data Center AS (“TDC”) with Volta Tydal AS (“Volta” or “Tenant”). The announcement has been furnished on a current report on Form 6-K with the U.S. Securities and Exchange Commission. The key transaction terms are outlined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Economics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 value: Approximately $4.7 billion over the initial 16-year base term; Tenant has a no fee termination right at 10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Tenant’s renewal option: 8-year extension increases potential total contract value to approximately $8.0 billion over 24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Modified gross lease: 16-year average rate of approximately $202/kW/month total; electricity costs fully reimbursed by tenant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per IT megawatts (MW): Expected average annual revenue of $2.4 million per IT MW over 16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96"/>
        <w:gridCol w:w="9843"/>
      </w:tblGrid>
      <w:tr>
        <w:trPr/>
        <w:tc>
          <w:tcPr>
            <w:tcW w:w="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w:t>
            </w:r>
          </w:p>
        </w:tc>
        <w:tc>
          <w:tcPr>
            <w:tcW w:w="98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NOI margin: Estimated NOI Margin of approximately 90%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6"/>
        <w:gridCol w:w="9893"/>
      </w:tblGrid>
      <w:tr>
        <w:trPr/>
        <w:tc>
          <w:tcPr>
            <w:tcW w:w="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Escalators: 3% annual increases on both lease and services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Delivery &amp; Expansion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TDC will deliver 121 IT MW of contracted critical load, supported by an estimated 133 gross MW of capacity, at the Tydal, Norway campus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Two equal-sized phases across 4 data halls: Phase 1 target commencement December 31, 2026; Phase 2 target commencement March 31,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Support &amp; Other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Institutional-grade Credit Support: Volta’s obligations are anticipated to be backed by Letters of Credit arranged by affiliates of J.P. Morgan and another top-tier global financial institution, totaling approximately $1.3 billion and subject to customary conditions. Company has the right to terminate the agreement if Volta fails to meet certain milestones relating to the credit backstop.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1"/>
        <w:gridCol w:w="9910"/>
      </w:tblGrid>
      <w:tr>
        <w:trPr/>
        <w:tc>
          <w:tcPr>
            <w:tcW w:w="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Company affiliates retain 100% ownership of the Tydal, Norway campus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2"/>
        <w:gridCol w:w="9934"/>
      </w:tblGrid>
      <w:tr>
        <w:trPr/>
        <w:tc>
          <w:tcPr>
            <w:tcW w:w="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Company equity securities or warrants were issued as part of this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Capex: Remaining capex of approximately $500 million (approximately $4.0 million per IT MW for 121 MW of critical IT power)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contains forward-looking statements within the meaning of Section 27A of the Securities Act of 1933, as amended, Section 21E of the Securities Exchange Act of 1934, as amended, and the safe harbor provisions of the U.S. Private Securities Litigation Reform Act of 1995. All statements other than statements of historical fact contained in this Report are forward-looking statements. In some cases, forward-looking statements can be identified by terminology such as “may,” “will,” “should,” “expects,” “intends,” “plans,” “anticipates,” “believes,” “estimates,” “predicts,” “potential,” “targets,” “continue,” “become,” “develop,” or the negative of these terms or other comparable terminology.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Report include, without limitation, statements regarding the colocation lease and services agreement and its expected financial terms, capacity delivery and commissioning timelines, lease structure and unit economics, credit support arrangements, future construction and expansion plans, capital raising intentions, regulatory applications, and the Company’s broader strategy as a global AI infrastructure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management’s current expectations, assumptions, estimates and projections about the Company and the industry in which it operates, and involve known and unknown risks, uncertainties and other factors that may cause actual results, performance or achievements to differ materially from those expressed or implied by any forward-looking statement. These risks and uncertainties include, but are not limited to: the Company’s ability to complete construction and commissioning of the Tydal campus on the anticipated timeline and within the estimated capital expenditure budget; the ability of Volta, and of its customers and business partners, to satisfy their obligations under the lease and services agreement; whether the contemplated credit support arrangements are entered into on the terms currently anticipated, or at all, and the effectiveness and adequacy of any such arrangements; the availability and cost of power, equipment and construction services in Norway; risks associated with the deployment and performance of NVIDIA GPU infrastructure; changes in demand for AI and high-performance computing services; the Company’s ability to access the capital markets and raise financing on acceptable terms, and the dilutive effect of any equity issuances; competition in the data center colocation and AI infrastructure markets; volatility in the price of Bitcoin and in hash price, and the effect of digital asset fair value changes on the Company’s reported results; macroeconomic conditions, including fluctuations in interest rates, currency exchange rates and energy costs; geopolitical risks and changes in laws and regulations applicable to the Company’s operations in Norway, Singapore and other jurisdictions; and the other risks and uncertainties described under “Item 3. Key Information, D. Risk Factors” in the Company’s most recent Annual Report on Form 20-F and in the Company’s subsequent reports furnished to the U.S. Securities and Exchange Commission on Form 6-K, which are available at www.sec.gov and on the Company’s investor relations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this Report. The Company undertakes no obligation to update or revise any forward-looking statement, whether as a result of new information, future events or otherwise, except as required by applicable law. Investors are cautioned not to place undue reliance on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5800" w:type="dxa"/>
        <w:jc w:val="left"/>
        <w:tblInd w:w="0" w:type="dxa"/>
        <w:tblLayout w:type="fixed"/>
        <w:tblCellMar>
          <w:top w:w="0" w:type="dxa"/>
          <w:left w:w="0" w:type="dxa"/>
          <w:bottom w:w="28" w:type="dxa"/>
          <w:right w:w="0" w:type="dxa"/>
        </w:tblCellMar>
      </w:tblPr>
      <w:tblGrid>
        <w:gridCol w:w="1205"/>
        <w:gridCol w:w="60"/>
        <w:gridCol w:w="453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453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1205" w:type="dxa"/>
            <w:tcBorders/>
            <w:shd w:fill="CCEEFF" w:val="clear"/>
            <w:tcMar>
              <w:bottom w:w="0" w:type="dxa"/>
            </w:tcMar>
            <w:vAlign w:val="center"/>
          </w:tcPr>
          <w:p>
            <w:pPr>
              <w:pStyle w:val="TableContents"/>
              <w:bidi w:val="0"/>
              <w:spacing w:before="0" w:after="283"/>
              <w:jc w:val="left"/>
              <w:rPr>
                <w:b/>
                <w:sz w:val="20"/>
              </w:rPr>
            </w:pPr>
            <w:r>
              <w:rPr>
                <w:b/>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hyperlink w:anchor="ea030128601ex5-1.htm">
              <w:r>
                <w:rPr>
                  <w:rStyle w:val="InternetLink"/>
                  <w:sz w:val="20"/>
                </w:rPr>
                <w:t>Opinion of Ogier relating to the Class A ordinary shares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590"/>
        <w:gridCol w:w="4940"/>
      </w:tblGrid>
      <w:tr>
        <w:trPr/>
        <w:tc>
          <w:tcPr>
            <w:tcW w:w="75"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left"/>
              <w:rPr>
                <w:b/>
              </w:rPr>
            </w:pPr>
            <w:r>
              <w:rPr>
                <w:b/>
              </w:rPr>
              <w:t>Bitdeer Technologies Group</w:t>
            </w:r>
          </w:p>
        </w:tc>
      </w:tr>
      <w:tr>
        <w:trPr/>
        <w:tc>
          <w:tcPr>
            <w:tcW w:w="75" w:type="dxa"/>
            <w:tcBorders/>
            <w:vAlign w:val="center"/>
          </w:tcPr>
          <w:p>
            <w:pPr>
              <w:pStyle w:val="TableContents"/>
              <w:bidi w:val="0"/>
              <w:spacing w:before="0" w:after="283"/>
              <w:jc w:val="left"/>
              <w:rPr/>
            </w:pPr>
            <w:r>
              <w:rPr/>
              <w:t> </w:t>
            </w:r>
          </w:p>
        </w:tc>
        <w:tc>
          <w:tcPr>
            <w:tcW w:w="55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4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Jihan Wu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4940" w:type="dxa"/>
            <w:tcBorders/>
            <w:vAlign w:val="center"/>
          </w:tcPr>
          <w:p>
            <w:pPr>
              <w:pStyle w:val="TableContents"/>
              <w:bidi w:val="0"/>
              <w:spacing w:before="0" w:after="283"/>
              <w:jc w:val="left"/>
              <w:rPr>
                <w:sz w:val="20"/>
              </w:rPr>
            </w:pPr>
            <w:r>
              <w:rPr>
                <w:sz w:val="20"/>
              </w:rPr>
              <w:t>Jihan Wu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940" w:type="dxa"/>
            <w:tcBorders/>
            <w:vAlign w:val="center"/>
          </w:tcPr>
          <w:p>
            <w:pPr>
              <w:pStyle w:val="TableContents"/>
              <w:bidi w:val="0"/>
              <w:spacing w:before="0" w:after="283"/>
              <w:jc w:val="left"/>
              <w:rPr/>
            </w:pPr>
            <w:r>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28601ex5-1.htm"/>
      <w:bookmarkStart w:id="3" w:name="ksea030128601ex51"/>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239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1123950" cy="4572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2735"/>
        <w:gridCol w:w="60"/>
        <w:gridCol w:w="3665"/>
      </w:tblGrid>
      <w:tr>
        <w:trPr/>
        <w:tc>
          <w:tcPr>
            <w:tcW w:w="2735" w:type="dxa"/>
            <w:vMerge w:val="restart"/>
            <w:tcBorders/>
            <w:vAlign w:val="center"/>
          </w:tcPr>
          <w:p>
            <w:pPr>
              <w:pStyle w:val="TableContents"/>
              <w:bidi w:val="0"/>
              <w:spacing w:before="0" w:after="283"/>
              <w:jc w:val="left"/>
              <w:rPr/>
            </w:pPr>
            <w:r>
              <w:rPr/>
              <w:t>Bitdeer Technologies Group</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rFonts w:ascii="Times New Roman;Times;Serif" w:hAnsi="Times New Roman;Times;Serif"/>
                <w:b/>
              </w:rPr>
              <w:t>D  </w:t>
            </w:r>
            <w:r>
              <w:rPr>
                <w:b/>
              </w:rPr>
              <w:t>+852 3656 6054 / +852 3656 6073</w:t>
            </w:r>
          </w:p>
        </w:tc>
      </w:tr>
      <w:tr>
        <w:trPr/>
        <w:tc>
          <w:tcPr>
            <w:tcW w:w="27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jc w:val="left"/>
              <w:rPr/>
            </w:pPr>
            <w:r>
              <w:rPr>
                <w:rFonts w:ascii="Times New Roman;Times;Serif" w:hAnsi="Times New Roman;Times;Serif"/>
                <w:b/>
              </w:rPr>
              <w:t xml:space="preserve">E </w:t>
            </w:r>
            <w:r>
              <w:rPr/>
              <w:t>   </w:t>
            </w:r>
            <w:r>
              <w:rPr>
                <w:b/>
              </w:rPr>
              <w:t>nathan.powell@ogier.com</w:t>
            </w:r>
            <w:r>
              <w:rPr/>
              <w:t xml:space="preserve"> </w:t>
            </w:r>
          </w:p>
          <w:p>
            <w:pPr>
              <w:pStyle w:val="TableContents"/>
              <w:bidi w:val="0"/>
              <w:spacing w:before="0" w:after="283"/>
              <w:ind w:left="360" w:right="0" w:hanging="0"/>
              <w:jc w:val="left"/>
              <w:rPr>
                <w:b/>
              </w:rPr>
            </w:pPr>
            <w:r>
              <w:rPr>
                <w:b/>
              </w:rPr>
              <w:t>rachel.huang@ogier.com</w:t>
            </w:r>
          </w:p>
        </w:tc>
      </w:tr>
      <w:tr>
        <w:trPr/>
        <w:tc>
          <w:tcPr>
            <w:tcW w:w="27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273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both"/>
              <w:rPr/>
            </w:pPr>
            <w:r>
              <w:rPr/>
              <w:t>Reference: NMP/RYH/181962.00002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the offering and sale of up to US$1,000,000,000 of the class A ordinary shares of a par value of US$0.0000001 each of the Company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under the At Market Issuance Sales Agreement among the Company, Barclays Capital Inc., Cantor Fitzgerald &amp; Co., A.G.P./Alliance Global Partners, Benchmark, StoneX Company, B. Riley Securities, Inc., BTIG, LLC, Keefe, Bruyette &amp; Woods, Inc., Needham &amp; Company, LLC, Northland Securities, Inc., Rosenblatt Securities Inc., Roth Capital Partners, LLC and StockBlock Securities LLC, dated 3 January 2025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xml:space="preserve">), and the Company’s registration statement on Form F-3 (333-298172) dated 10 August 2026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as amended, the prospectus contained therein, and the prospectus supplement dated 10 August 2026, forming a part of such prospectus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We are furnishing this opinion as Exhibit 5.1 to the Company’s current report on Form 6-K to be furnished to the Commission on 10 August 2026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herein as to any matter pertaining to the contents of the Form 6-K and the Registration Statement other than as expressly stated herein with respect to the issue of the Ordinary Shares.</w:t>
      </w:r>
    </w:p>
    <w:p>
      <w:pPr>
        <w:pStyle w:val="TextBody"/>
        <w:bidi w:val="0"/>
        <w:spacing w:before="0" w:after="0"/>
        <w:ind w:left="0" w:right="0" w:hanging="0"/>
        <w:jc w:val="both"/>
        <w:rPr>
          <w:caps w:val="false"/>
          <w:smallCaps w:val="false"/>
        </w:rPr>
      </w:pPr>
      <w:r>
        <w:rPr>
          <w:caps w:val="false"/>
          <w:smallCaps w:val="false"/>
        </w:rPr>
        <w:t> </w:t>
      </w:r>
    </w:p>
    <w:tbl>
      <w:tblPr>
        <w:tblW w:w="8630" w:type="dxa"/>
        <w:jc w:val="left"/>
        <w:tblInd w:w="0" w:type="dxa"/>
        <w:tblLayout w:type="fixed"/>
        <w:tblCellMar>
          <w:top w:w="0" w:type="dxa"/>
          <w:left w:w="0" w:type="dxa"/>
          <w:bottom w:w="0" w:type="dxa"/>
          <w:right w:w="0" w:type="dxa"/>
        </w:tblCellMar>
      </w:tblPr>
      <w:tblGrid>
        <w:gridCol w:w="3005"/>
        <w:gridCol w:w="1355"/>
        <w:gridCol w:w="1430"/>
        <w:gridCol w:w="2840"/>
      </w:tblGrid>
      <w:tr>
        <w:trPr/>
        <w:tc>
          <w:tcPr>
            <w:tcW w:w="300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Providing advice on British Virgin Islands,</w:t>
              <w:br/>
              <w:t>Cayman Islands and Guernsey 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Floor 11 Central Tower</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 Queen’s Road Central</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Central</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 +852 3656 6000</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 +852 3656 6001</w:t>
            </w:r>
          </w:p>
          <w:p>
            <w:pPr>
              <w:pStyle w:val="TableContents"/>
              <w:bidi w:val="0"/>
              <w:spacing w:before="0" w:after="0"/>
              <w:ind w:left="0" w:right="0" w:hanging="0"/>
              <w:jc w:val="both"/>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ogier.com</w:t>
            </w:r>
          </w:p>
        </w:tc>
        <w:tc>
          <w:tcPr>
            <w:tcW w:w="135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Partners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Nicholas Plowman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Nathan Powell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Anthony Oakes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Oliver Payne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Kate Hodson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Nelson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Joanne Collett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Dennis Li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Cecilia Li </w:t>
            </w:r>
          </w:p>
        </w:tc>
        <w:tc>
          <w:tcPr>
            <w:tcW w:w="14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Yuki Yan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Lin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Alan Wong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Janice Chu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Zhao Rong Ooi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Rachel Huang**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Florence Chan*</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16"/>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Richard Bennett**</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16"/>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James Bergstrom</w:t>
            </w:r>
            <w:r>
              <w:rPr>
                <w:rFonts w:ascii="Times New Roman;Times;Serif" w:hAnsi="Times New Roman;Times;Serif"/>
                <w:b w:val="false"/>
                <w:i w:val="false"/>
                <w:caps w:val="false"/>
                <w:smallCaps w:val="false"/>
                <w:position w:val="5"/>
                <w:sz w:val="13"/>
                <w:sz w:val="16"/>
              </w:rPr>
              <w:t>‡</w:t>
            </w:r>
            <w:r>
              <w:rPr>
                <w:rFonts w:ascii="Times New Roman;Times;Serif" w:hAnsi="Times New Roman;Times;Serif"/>
                <w:b w:val="false"/>
                <w:i w:val="false"/>
                <w:caps w:val="false"/>
                <w:smallCaps w:val="false"/>
                <w:sz w:val="16"/>
              </w:rPr>
              <w:t> </w:t>
            </w:r>
          </w:p>
        </w:tc>
        <w:tc>
          <w:tcPr>
            <w:tcW w:w="28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New Zealand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England and Wales </w:t>
            </w:r>
          </w:p>
          <w:p>
            <w:pPr>
              <w:pStyle w:val="TableContents"/>
              <w:bidi w:val="0"/>
              <w:spacing w:before="0" w:after="0"/>
              <w:ind w:left="0" w:right="0" w:hanging="0"/>
              <w:jc w:val="left"/>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16"/>
              </w:rPr>
              <w:t>not ordinarily resident in Hong Kong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(as defined below). A reference to a Schedule is a reference to a schedule to this opinion and the headings herein are for convenience only and do not affect the construction of this opinion.</w:t>
      </w:r>
    </w:p>
    <w:p>
      <w:pPr>
        <w:pStyle w:val="TextBody"/>
        <w:bidi w:val="0"/>
        <w:spacing w:before="0" w:after="0"/>
        <w:ind w:left="709" w:right="0" w:hanging="709"/>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155"/>
        <w:gridCol w:w="2090"/>
      </w:tblGrid>
      <w:tr>
        <w:trPr/>
        <w:tc>
          <w:tcPr>
            <w:tcW w:w="155"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283"/>
              <w:jc w:val="both"/>
              <w:rPr/>
            </w:pPr>
            <w:r>
              <w:rPr/>
              <w:t>Documents examined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documents set forth in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709" w:right="0" w:hanging="709"/>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55"/>
        <w:gridCol w:w="1265"/>
      </w:tblGrid>
      <w:tr>
        <w:trPr/>
        <w:tc>
          <w:tcPr>
            <w:tcW w:w="155" w:type="dxa"/>
            <w:tcBorders/>
            <w:vAlign w:val="center"/>
          </w:tcPr>
          <w:p>
            <w:pPr>
              <w:pStyle w:val="TableContents"/>
              <w:bidi w:val="0"/>
              <w:spacing w:before="0" w:after="283"/>
              <w:jc w:val="left"/>
              <w:rPr/>
            </w:pPr>
            <w:r>
              <w:rPr/>
              <w:t>2</w:t>
            </w:r>
          </w:p>
        </w:tc>
        <w:tc>
          <w:tcPr>
            <w:tcW w:w="1265" w:type="dxa"/>
            <w:tcBorders/>
            <w:vAlign w:val="center"/>
          </w:tcPr>
          <w:p>
            <w:pPr>
              <w:pStyle w:val="TableContents"/>
              <w:bidi w:val="0"/>
              <w:spacing w:before="0" w:after="283"/>
              <w:jc w:val="both"/>
              <w:rPr/>
            </w:pPr>
            <w:r>
              <w:rPr/>
              <w:t>Assumptions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spacing w:before="0" w:after="0"/>
        <w:ind w:left="709" w:right="0" w:hanging="709"/>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155"/>
        <w:gridCol w:w="905"/>
      </w:tblGrid>
      <w:tr>
        <w:trPr/>
        <w:tc>
          <w:tcPr>
            <w:tcW w:w="155" w:type="dxa"/>
            <w:tcBorders/>
            <w:vAlign w:val="center"/>
          </w:tcPr>
          <w:p>
            <w:pPr>
              <w:pStyle w:val="TableContents"/>
              <w:bidi w:val="0"/>
              <w:spacing w:before="0" w:after="283"/>
              <w:jc w:val="left"/>
              <w:rPr/>
            </w:pPr>
            <w:r>
              <w:rPr/>
              <w:t>3</w:t>
            </w:r>
          </w:p>
        </w:tc>
        <w:tc>
          <w:tcPr>
            <w:tcW w:w="905" w:type="dxa"/>
            <w:tcBorders/>
            <w:vAlign w:val="center"/>
          </w:tcPr>
          <w:p>
            <w:pPr>
              <w:pStyle w:val="TableContents"/>
              <w:bidi w:val="0"/>
              <w:spacing w:before="0" w:after="283"/>
              <w:jc w:val="both"/>
              <w:rPr/>
            </w:pPr>
            <w:r>
              <w:rPr/>
              <w:t>Opinions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 xml:space="preserve">The Company has been duly incorporated as an exempted company with limited liability and is validly existing and in good standing with the Registrar of Companies of the Cayman Islands (the </w:t>
            </w:r>
            <w:r>
              <w:rPr>
                <w:b/>
              </w:rPr>
              <w:t>Registrar</w:t>
            </w:r>
            <w:r>
              <w:rPr/>
              <w: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080"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The Ordinary Shares to be offered and issued by the Company as contemplated by the Registration Statement and the Sales Agreement have been duly authorised and, when issued by the Company upon: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payment in full of the consideration as set out in the Registration Statement and the Sales Agreement and in accordance with the terms set out in the Registration Statement and the Sales Agreement and in accordance with the Memorandum and Articles; and</w:t>
            </w:r>
          </w:p>
        </w:tc>
      </w:tr>
    </w:tbl>
    <w:p>
      <w:pPr>
        <w:pStyle w:val="TextBody"/>
        <w:bidi w:val="0"/>
        <w:spacing w:before="0" w:after="0"/>
        <w:ind w:left="2126" w:right="0" w:hanging="708"/>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9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705" w:type="dxa"/>
            <w:tcBorders/>
            <w:vAlign w:val="center"/>
          </w:tcPr>
          <w:p>
            <w:pPr>
              <w:pStyle w:val="TableContents"/>
              <w:bidi w:val="0"/>
              <w:spacing w:before="0" w:after="283"/>
              <w:jc w:val="both"/>
              <w:rPr/>
            </w:pPr>
            <w:r>
              <w:rPr/>
              <w:t>the entry of those Ordinary Shares as fully paid on the register of members of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09" w:right="0" w:hanging="709"/>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55"/>
        <w:gridCol w:w="1910"/>
      </w:tblGrid>
      <w:tr>
        <w:trPr/>
        <w:tc>
          <w:tcPr>
            <w:tcW w:w="155" w:type="dxa"/>
            <w:tcBorders/>
            <w:vAlign w:val="center"/>
          </w:tcPr>
          <w:p>
            <w:pPr>
              <w:pStyle w:val="TableContents"/>
              <w:bidi w:val="0"/>
              <w:spacing w:before="0" w:after="283"/>
              <w:jc w:val="left"/>
              <w:rPr/>
            </w:pPr>
            <w:r>
              <w:rPr/>
              <w:t>4</w:t>
            </w:r>
          </w:p>
        </w:tc>
        <w:tc>
          <w:tcPr>
            <w:tcW w:w="1910" w:type="dxa"/>
            <w:tcBorders/>
            <w:vAlign w:val="center"/>
          </w:tcPr>
          <w:p>
            <w:pPr>
              <w:pStyle w:val="TableContents"/>
              <w:bidi w:val="0"/>
              <w:spacing w:before="0" w:after="283"/>
              <w:jc w:val="both"/>
              <w:rPr/>
            </w:pPr>
            <w:r>
              <w:rPr/>
              <w:t>Matters not covered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080" w:right="0" w:hanging="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as to whether the acceptance, execution or performance of the Company’s obligations under the Documents will result in the breach of or infringe any other agreement, deed or document (other than the Memorandum and Articles) entered into by or binding on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55"/>
        <w:gridCol w:w="2885"/>
      </w:tblGrid>
      <w:tr>
        <w:trPr/>
        <w:tc>
          <w:tcPr>
            <w:tcW w:w="155" w:type="dxa"/>
            <w:tcBorders/>
            <w:vAlign w:val="center"/>
          </w:tcPr>
          <w:p>
            <w:pPr>
              <w:pStyle w:val="TableContents"/>
              <w:bidi w:val="0"/>
              <w:spacing w:before="0" w:after="283"/>
              <w:jc w:val="left"/>
              <w:rPr/>
            </w:pPr>
            <w:r>
              <w:rPr/>
              <w:t>5</w:t>
            </w:r>
          </w:p>
        </w:tc>
        <w:tc>
          <w:tcPr>
            <w:tcW w:w="2885"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335"/>
        <w:gridCol w:w="1505"/>
      </w:tblGrid>
      <w:tr>
        <w:trPr/>
        <w:tc>
          <w:tcPr>
            <w:tcW w:w="335" w:type="dxa"/>
            <w:tcBorders/>
            <w:vAlign w:val="center"/>
          </w:tcPr>
          <w:p>
            <w:pPr>
              <w:pStyle w:val="TableContents"/>
              <w:bidi w:val="0"/>
              <w:spacing w:before="0" w:after="283"/>
              <w:jc w:val="left"/>
              <w:rPr/>
            </w:pPr>
            <w:r>
              <w:rPr/>
              <w:t>5.1</w:t>
            </w:r>
          </w:p>
        </w:tc>
        <w:tc>
          <w:tcPr>
            <w:tcW w:w="1505" w:type="dxa"/>
            <w:tcBorders/>
            <w:vAlign w:val="center"/>
          </w:tcPr>
          <w:p>
            <w:pPr>
              <w:pStyle w:val="TableContents"/>
              <w:bidi w:val="0"/>
              <w:spacing w:before="0" w:after="283"/>
              <w:jc w:val="both"/>
              <w:rPr/>
            </w:pPr>
            <w:r>
              <w:rPr/>
              <w:t>This opinion is:</w:t>
            </w:r>
          </w:p>
        </w:tc>
      </w:tr>
    </w:tbl>
    <w:p>
      <w:pPr>
        <w:pStyle w:val="TextBody"/>
        <w:bidi w:val="0"/>
        <w:spacing w:before="0" w:after="0"/>
        <w:ind w:left="1418" w:right="0" w:hanging="709"/>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75"/>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42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9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430"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5.2</w:t>
            </w:r>
          </w:p>
        </w:tc>
        <w:tc>
          <w:tcPr>
            <w:tcW w:w="9870"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709" w:right="0" w:hanging="709"/>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55"/>
        <w:gridCol w:w="2780"/>
      </w:tblGrid>
      <w:tr>
        <w:trPr/>
        <w:tc>
          <w:tcPr>
            <w:tcW w:w="155" w:type="dxa"/>
            <w:tcBorders/>
            <w:vAlign w:val="center"/>
          </w:tcPr>
          <w:p>
            <w:pPr>
              <w:pStyle w:val="TableContents"/>
              <w:bidi w:val="0"/>
              <w:spacing w:before="0" w:after="283"/>
              <w:jc w:val="left"/>
              <w:rPr/>
            </w:pPr>
            <w:r>
              <w:rPr/>
              <w:t>6</w:t>
            </w:r>
          </w:p>
        </w:tc>
        <w:tc>
          <w:tcPr>
            <w:tcW w:w="2780" w:type="dxa"/>
            <w:tcBorders/>
            <w:vAlign w:val="center"/>
          </w:tcPr>
          <w:p>
            <w:pPr>
              <w:pStyle w:val="TableContents"/>
              <w:bidi w:val="0"/>
              <w:spacing w:before="0" w:after="283"/>
              <w:jc w:val="both"/>
              <w:rPr/>
            </w:pPr>
            <w:r>
              <w:rPr/>
              <w:t>Who can rely on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6.1</w:t>
            </w:r>
          </w:p>
        </w:tc>
        <w:tc>
          <w:tcPr>
            <w:tcW w:w="9870" w:type="dxa"/>
            <w:tcBorders/>
            <w:vAlign w:val="center"/>
          </w:tcPr>
          <w:p>
            <w:pPr>
              <w:pStyle w:val="TableContents"/>
              <w:bidi w:val="0"/>
              <w:spacing w:before="0" w:after="283"/>
              <w:jc w:val="both"/>
              <w:rPr/>
            </w:pPr>
            <w:r>
              <w:rPr/>
              <w:t>We hereby consent to the filing of this opinion as an exhibit to the Form 6-K. In giving such consent, we do not thereby admit that we come within the category of persons whose consent is required under Section 7 of the Act, or the Rules and Regulations of the Commission thereunder.</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6.2</w:t>
            </w:r>
          </w:p>
        </w:tc>
        <w:tc>
          <w:tcPr>
            <w:tcW w:w="9870" w:type="dxa"/>
            <w:tcBorders/>
            <w:vAlign w:val="center"/>
          </w:tcPr>
          <w:p>
            <w:pPr>
              <w:pStyle w:val="TableContents"/>
              <w:bidi w:val="0"/>
              <w:spacing w:before="0" w:after="283"/>
              <w:jc w:val="both"/>
              <w:rPr/>
            </w:pPr>
            <w:r>
              <w:rPr/>
              <w:t>With the exception of your professional advisers (acting only in that capacity), it may not be relied upon by any person, other than persons entitled to rely upon it pursuant to the provisions of the Act, without our prior written consent.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tbl>
      <w:tblPr>
        <w:tblW w:w="950" w:type="dxa"/>
        <w:jc w:val="left"/>
        <w:tblInd w:w="0" w:type="dxa"/>
        <w:tblLayout w:type="fixed"/>
        <w:tblCellMar>
          <w:top w:w="0" w:type="dxa"/>
          <w:left w:w="0" w:type="dxa"/>
          <w:bottom w:w="28" w:type="dxa"/>
          <w:right w:w="0" w:type="dxa"/>
        </w:tblCellMar>
      </w:tblPr>
      <w:tblGrid>
        <w:gridCol w:w="875"/>
        <w:gridCol w:w="75"/>
      </w:tblGrid>
      <w:tr>
        <w:trPr/>
        <w:tc>
          <w:tcPr>
            <w:tcW w:w="875" w:type="dxa"/>
            <w:tcBorders>
              <w:bottom w:val="single" w:sz="12" w:space="0" w:color="000000"/>
            </w:tcBorders>
            <w:vAlign w:val="center"/>
          </w:tcPr>
          <w:p>
            <w:pPr>
              <w:pStyle w:val="TableContents"/>
              <w:bidi w:val="0"/>
              <w:spacing w:before="0" w:after="283"/>
              <w:jc w:val="left"/>
              <w:rPr>
                <w:b/>
              </w:rPr>
            </w:pPr>
            <w:r>
              <w:rPr>
                <w:b/>
              </w:rPr>
              <w:t>/s/ Ogier</w:t>
            </w:r>
          </w:p>
        </w:tc>
        <w:tc>
          <w:tcPr>
            <w:tcW w:w="75"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b/>
              </w:rPr>
            </w:pPr>
            <w:r>
              <w:rPr>
                <w:b/>
              </w:rPr>
              <w:t>Ogier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examined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documents</w:t>
      </w:r>
    </w:p>
    <w:p>
      <w:pPr>
        <w:pStyle w:val="TextBody"/>
        <w:bidi w:val="0"/>
        <w:spacing w:before="0" w:after="0"/>
        <w:ind w:left="709" w:right="0" w:hanging="709"/>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140"/>
        <w:gridCol w:w="9140"/>
      </w:tblGrid>
      <w:tr>
        <w:trPr/>
        <w:tc>
          <w:tcPr>
            <w:tcW w:w="140" w:type="dxa"/>
            <w:tcBorders/>
            <w:vAlign w:val="center"/>
          </w:tcPr>
          <w:p>
            <w:pPr>
              <w:pStyle w:val="TableContents"/>
              <w:bidi w:val="0"/>
              <w:spacing w:before="0" w:after="283"/>
              <w:jc w:val="left"/>
              <w:rPr>
                <w:sz w:val="20"/>
              </w:rPr>
            </w:pPr>
            <w:r>
              <w:rPr>
                <w:sz w:val="20"/>
              </w:rPr>
              <w:t>1</w:t>
            </w:r>
          </w:p>
        </w:tc>
        <w:tc>
          <w:tcPr>
            <w:tcW w:w="9140" w:type="dxa"/>
            <w:tcBorders/>
            <w:vAlign w:val="center"/>
          </w:tcPr>
          <w:p>
            <w:pPr>
              <w:pStyle w:val="TableContents"/>
              <w:bidi w:val="0"/>
              <w:spacing w:before="0" w:after="283"/>
              <w:jc w:val="both"/>
              <w:rPr/>
            </w:pPr>
            <w:r>
              <w:rPr/>
              <w:t>The certificate of incorporation of the Company dated 8 December 2021 issued by the Registrar.</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83"/>
              <w:jc w:val="left"/>
              <w:rPr>
                <w:sz w:val="20"/>
              </w:rPr>
            </w:pPr>
            <w:r>
              <w:rPr>
                <w:sz w:val="20"/>
              </w:rPr>
              <w:t>2</w:t>
            </w:r>
          </w:p>
        </w:tc>
        <w:tc>
          <w:tcPr>
            <w:tcW w:w="10066" w:type="dxa"/>
            <w:tcBorders/>
            <w:vAlign w:val="center"/>
          </w:tcPr>
          <w:p>
            <w:pPr>
              <w:pStyle w:val="TableContents"/>
              <w:bidi w:val="0"/>
              <w:spacing w:before="0" w:after="283"/>
              <w:jc w:val="both"/>
              <w:rPr/>
            </w:pPr>
            <w:r>
              <w:rPr/>
              <w:t xml:space="preserve">The amended and restated memorandum and articles of association of the Company adopted by a special resolution passed on 8 March 2023 and effective at the Acquisition Merger Effective Time (as defined therein) and filed with the Registrar on 13 April 2023 and the written resolutions by all the directors of the Company passed on 9 June 2023 and filed with the Registrar on 9 June 2023 (together, the </w:t>
            </w:r>
            <w:r>
              <w:rPr>
                <w:b/>
              </w:rPr>
              <w:t>Memorandum and Articles</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83"/>
              <w:jc w:val="left"/>
              <w:rPr>
                <w:sz w:val="20"/>
              </w:rPr>
            </w:pPr>
            <w:r>
              <w:rPr>
                <w:sz w:val="20"/>
              </w:rPr>
              <w:t>3</w:t>
            </w:r>
          </w:p>
        </w:tc>
        <w:tc>
          <w:tcPr>
            <w:tcW w:w="10066" w:type="dxa"/>
            <w:tcBorders/>
            <w:vAlign w:val="center"/>
          </w:tcPr>
          <w:p>
            <w:pPr>
              <w:pStyle w:val="TableContents"/>
              <w:bidi w:val="0"/>
              <w:spacing w:before="0" w:after="283"/>
              <w:jc w:val="both"/>
              <w:rPr/>
            </w:pPr>
            <w:r>
              <w:rPr/>
              <w:t xml:space="preserve">A certificate of good standing dated 7 May 2026 (the </w:t>
            </w:r>
            <w:r>
              <w:rPr>
                <w:b/>
              </w:rPr>
              <w:t>Good Standing Certificate</w:t>
            </w:r>
            <w:r>
              <w:rPr/>
              <w:t>) issued by the Registrar in respect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sz w:val="20"/>
              </w:rPr>
            </w:pPr>
            <w:r>
              <w:rPr>
                <w:sz w:val="20"/>
              </w:rPr>
              <w:t>4</w:t>
            </w:r>
          </w:p>
        </w:tc>
        <w:tc>
          <w:tcPr>
            <w:tcW w:w="10041" w:type="dxa"/>
            <w:tcBorders/>
            <w:vAlign w:val="center"/>
          </w:tcPr>
          <w:p>
            <w:pPr>
              <w:pStyle w:val="TableContents"/>
              <w:bidi w:val="0"/>
              <w:spacing w:before="0" w:after="283"/>
              <w:jc w:val="both"/>
              <w:rPr/>
            </w:pPr>
            <w:r>
              <w:rPr/>
              <w:t xml:space="preserve">The register of directors and officers of the Company dated 5 August 2026 (the </w:t>
            </w:r>
            <w:r>
              <w:rPr>
                <w:b/>
              </w:rPr>
              <w:t>Register</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83"/>
              <w:jc w:val="left"/>
              <w:rPr>
                <w:sz w:val="20"/>
              </w:rPr>
            </w:pPr>
            <w:r>
              <w:rPr>
                <w:sz w:val="20"/>
              </w:rPr>
              <w:t>5</w:t>
            </w:r>
          </w:p>
        </w:tc>
        <w:tc>
          <w:tcPr>
            <w:tcW w:w="10066" w:type="dxa"/>
            <w:tcBorders/>
            <w:vAlign w:val="center"/>
          </w:tcPr>
          <w:p>
            <w:pPr>
              <w:pStyle w:val="TableContents"/>
              <w:bidi w:val="0"/>
              <w:spacing w:before="0" w:after="283"/>
              <w:jc w:val="both"/>
              <w:rPr/>
            </w:pPr>
            <w:r>
              <w:rPr/>
              <w:t xml:space="preserve">A certificate from a director of the Company dated 10 August 2026 as to certain matters of facts (the </w:t>
            </w:r>
            <w:r>
              <w:rPr>
                <w:b/>
              </w:rPr>
              <w:t>Director’s Certificate</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83"/>
              <w:jc w:val="left"/>
              <w:rPr>
                <w:sz w:val="20"/>
              </w:rPr>
            </w:pPr>
            <w:r>
              <w:rPr>
                <w:sz w:val="20"/>
              </w:rPr>
              <w:t>6</w:t>
            </w:r>
          </w:p>
        </w:tc>
        <w:tc>
          <w:tcPr>
            <w:tcW w:w="10066" w:type="dxa"/>
            <w:tcBorders/>
            <w:vAlign w:val="center"/>
          </w:tcPr>
          <w:p>
            <w:pPr>
              <w:pStyle w:val="TableContents"/>
              <w:bidi w:val="0"/>
              <w:spacing w:before="0" w:after="283"/>
              <w:jc w:val="both"/>
              <w:rPr/>
            </w:pPr>
            <w:r>
              <w:rPr/>
              <w:t xml:space="preserve">The Register of Writs at the office of the Clerk of Courts in the Cayman Islands as inspected by us on 10 August 2026 (the </w:t>
            </w:r>
            <w:r>
              <w:rPr>
                <w:b/>
              </w:rPr>
              <w:t>Register of Writs</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83"/>
              <w:jc w:val="left"/>
              <w:rPr>
                <w:sz w:val="20"/>
              </w:rPr>
            </w:pPr>
            <w:r>
              <w:rPr>
                <w:sz w:val="20"/>
              </w:rPr>
              <w:t>7</w:t>
            </w:r>
          </w:p>
        </w:tc>
        <w:tc>
          <w:tcPr>
            <w:tcW w:w="10066" w:type="dxa"/>
            <w:tcBorders/>
            <w:vAlign w:val="center"/>
          </w:tcPr>
          <w:p>
            <w:pPr>
              <w:pStyle w:val="TableContents"/>
              <w:bidi w:val="0"/>
              <w:spacing w:before="0" w:after="283"/>
              <w:jc w:val="both"/>
              <w:rPr/>
            </w:pPr>
            <w:r>
              <w:rPr/>
              <w:t xml:space="preserve">A search on the Cayman Online Registry Information Service conducted against the Company at the Registrar on 10 August 2026 (the </w:t>
            </w:r>
            <w:r>
              <w:rPr>
                <w:b/>
              </w:rPr>
              <w:t>CORIS Search</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283"/>
              <w:jc w:val="left"/>
              <w:rPr>
                <w:sz w:val="20"/>
              </w:rPr>
            </w:pPr>
            <w:r>
              <w:rPr>
                <w:sz w:val="20"/>
              </w:rPr>
              <w:t>8</w:t>
            </w:r>
          </w:p>
        </w:tc>
        <w:tc>
          <w:tcPr>
            <w:tcW w:w="10066" w:type="dxa"/>
            <w:tcBorders/>
            <w:vAlign w:val="center"/>
          </w:tcPr>
          <w:p>
            <w:pPr>
              <w:pStyle w:val="TableContents"/>
              <w:bidi w:val="0"/>
              <w:spacing w:before="0" w:after="283"/>
              <w:jc w:val="both"/>
              <w:rPr/>
            </w:pPr>
            <w:r>
              <w:rPr/>
              <w:t xml:space="preserve">The unanimous written resolutions of the board of directors of the Company passed on 10 August 2026 (the </w:t>
            </w:r>
            <w:r>
              <w:rPr>
                <w:b/>
              </w:rPr>
              <w:t>Board Resolutions</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7"/>
        <w:gridCol w:w="9578"/>
      </w:tblGrid>
      <w:tr>
        <w:trPr/>
        <w:tc>
          <w:tcPr>
            <w:tcW w:w="627" w:type="dxa"/>
            <w:tcBorders/>
            <w:vAlign w:val="center"/>
          </w:tcPr>
          <w:p>
            <w:pPr>
              <w:pStyle w:val="TableContents"/>
              <w:bidi w:val="0"/>
              <w:spacing w:before="0" w:after="283"/>
              <w:jc w:val="left"/>
              <w:rPr>
                <w:sz w:val="20"/>
              </w:rPr>
            </w:pPr>
            <w:r>
              <w:rPr>
                <w:sz w:val="20"/>
              </w:rPr>
              <w:t>9</w:t>
            </w:r>
          </w:p>
        </w:tc>
        <w:tc>
          <w:tcPr>
            <w:tcW w:w="9578" w:type="dxa"/>
            <w:tcBorders/>
            <w:vAlign w:val="center"/>
          </w:tcPr>
          <w:p>
            <w:pPr>
              <w:pStyle w:val="TableContents"/>
              <w:bidi w:val="0"/>
              <w:spacing w:before="0" w:after="283"/>
              <w:jc w:val="both"/>
              <w:rPr/>
            </w:pPr>
            <w:r>
              <w:rPr/>
              <w:t>The Sales Agreement.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0"/>
        <w:gridCol w:w="9345"/>
      </w:tblGrid>
      <w:tr>
        <w:trPr/>
        <w:tc>
          <w:tcPr>
            <w:tcW w:w="860" w:type="dxa"/>
            <w:tcBorders/>
            <w:vAlign w:val="center"/>
          </w:tcPr>
          <w:p>
            <w:pPr>
              <w:pStyle w:val="TableContents"/>
              <w:bidi w:val="0"/>
              <w:spacing w:before="0" w:after="283"/>
              <w:jc w:val="left"/>
              <w:rPr>
                <w:sz w:val="20"/>
              </w:rPr>
            </w:pPr>
            <w:r>
              <w:rPr>
                <w:sz w:val="20"/>
              </w:rPr>
              <w:t>10</w:t>
            </w:r>
          </w:p>
        </w:tc>
        <w:tc>
          <w:tcPr>
            <w:tcW w:w="9345" w:type="dxa"/>
            <w:tcBorders/>
            <w:vAlign w:val="center"/>
          </w:tcPr>
          <w:p>
            <w:pPr>
              <w:pStyle w:val="TableContents"/>
              <w:bidi w:val="0"/>
              <w:spacing w:before="0" w:after="283"/>
              <w:jc w:val="both"/>
              <w:rPr/>
            </w:pPr>
            <w:r>
              <w:rPr/>
              <w:t>The Registration Statement.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8"/>
        <w:gridCol w:w="9367"/>
      </w:tblGrid>
      <w:tr>
        <w:trPr/>
        <w:tc>
          <w:tcPr>
            <w:tcW w:w="838" w:type="dxa"/>
            <w:tcBorders/>
            <w:vAlign w:val="center"/>
          </w:tcPr>
          <w:p>
            <w:pPr>
              <w:pStyle w:val="TableContents"/>
              <w:bidi w:val="0"/>
              <w:spacing w:before="0" w:after="283"/>
              <w:jc w:val="left"/>
              <w:rPr>
                <w:sz w:val="20"/>
              </w:rPr>
            </w:pPr>
            <w:r>
              <w:rPr>
                <w:sz w:val="20"/>
              </w:rPr>
              <w:t>11</w:t>
            </w:r>
          </w:p>
        </w:tc>
        <w:tc>
          <w:tcPr>
            <w:tcW w:w="9367" w:type="dxa"/>
            <w:tcBorders/>
            <w:vAlign w:val="center"/>
          </w:tcPr>
          <w:p>
            <w:pPr>
              <w:pStyle w:val="TableContents"/>
              <w:bidi w:val="0"/>
              <w:spacing w:before="0" w:after="283"/>
              <w:jc w:val="both"/>
              <w:rPr/>
            </w:pPr>
            <w:r>
              <w:rPr/>
              <w:t>The Prospectus Supplement.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3"/>
        <w:gridCol w:w="8752"/>
      </w:tblGrid>
      <w:tr>
        <w:trPr/>
        <w:tc>
          <w:tcPr>
            <w:tcW w:w="1453" w:type="dxa"/>
            <w:tcBorders/>
            <w:vAlign w:val="center"/>
          </w:tcPr>
          <w:p>
            <w:pPr>
              <w:pStyle w:val="TableContents"/>
              <w:bidi w:val="0"/>
              <w:spacing w:before="0" w:after="283"/>
              <w:jc w:val="left"/>
              <w:rPr>
                <w:sz w:val="20"/>
              </w:rPr>
            </w:pPr>
            <w:r>
              <w:rPr>
                <w:sz w:val="20"/>
              </w:rPr>
              <w:t>12</w:t>
            </w:r>
          </w:p>
        </w:tc>
        <w:tc>
          <w:tcPr>
            <w:tcW w:w="8752" w:type="dxa"/>
            <w:tcBorders/>
            <w:vAlign w:val="center"/>
          </w:tcPr>
          <w:p>
            <w:pPr>
              <w:pStyle w:val="TableContents"/>
              <w:bidi w:val="0"/>
              <w:spacing w:before="0" w:after="283"/>
              <w:jc w:val="both"/>
              <w:rPr/>
            </w:pPr>
            <w:r>
              <w:rPr/>
              <w:t>The Form 6-K.</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of general application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2</w:t>
            </w:r>
          </w:p>
        </w:tc>
        <w:tc>
          <w:tcPr>
            <w:tcW w:w="10051"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pPr>
            <w:r>
              <w:rPr/>
              <w:t>3</w:t>
            </w:r>
          </w:p>
        </w:tc>
        <w:tc>
          <w:tcPr>
            <w:tcW w:w="10046"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4</w:t>
            </w:r>
          </w:p>
        </w:tc>
        <w:tc>
          <w:tcPr>
            <w:tcW w:w="10051" w:type="dxa"/>
            <w:tcBorders/>
            <w:vAlign w:val="center"/>
          </w:tcPr>
          <w:p>
            <w:pPr>
              <w:pStyle w:val="TableContents"/>
              <w:bidi w:val="0"/>
              <w:spacing w:before="0" w:after="283"/>
              <w:jc w:val="both"/>
              <w:rPr/>
            </w:pPr>
            <w:r>
              <w:rPr/>
              <w:t>Each of the Good Standing Certificate, the Memorandum and Articles, the Register and the Director’s Certificate examined by us is accurate and complete as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5</w:t>
            </w:r>
          </w:p>
        </w:tc>
        <w:tc>
          <w:tcPr>
            <w:tcW w:w="10051" w:type="dxa"/>
            <w:tcBorders/>
            <w:vAlign w:val="center"/>
          </w:tcPr>
          <w:p>
            <w:pPr>
              <w:pStyle w:val="TableContents"/>
              <w:bidi w:val="0"/>
              <w:spacing w:before="0" w:after="283"/>
              <w:jc w:val="both"/>
              <w:rPr/>
            </w:pPr>
            <w:r>
              <w:rPr/>
              <w:t>Where any document has been provided to us in draft or undated form, that document has been executed by all parties in materially the form provided to us and, where we have been provided with successive drafts of a document marked to show changes from a previous draft, all such changes have been accurately marked.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6</w:t>
            </w:r>
          </w:p>
        </w:tc>
        <w:tc>
          <w:tcPr>
            <w:tcW w:w="10051" w:type="dxa"/>
            <w:tcBorders/>
            <w:vAlign w:val="center"/>
          </w:tcPr>
          <w:p>
            <w:pPr>
              <w:pStyle w:val="TableContents"/>
              <w:bidi w:val="0"/>
              <w:spacing w:before="0" w:after="283"/>
              <w:jc w:val="both"/>
              <w:rPr/>
            </w:pPr>
            <w:r>
              <w:rPr/>
              <w:t>The CORIS Search (as defined in Schedule 1) which we have examined is accurate and that the information disclosed by the CORIS Search is true and complete and that such information has not since been altered.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7</w:t>
            </w:r>
          </w:p>
        </w:tc>
        <w:tc>
          <w:tcPr>
            <w:tcW w:w="10051" w:type="dxa"/>
            <w:tcBorders/>
            <w:vAlign w:val="center"/>
          </w:tcPr>
          <w:p>
            <w:pPr>
              <w:pStyle w:val="TableContents"/>
              <w:bidi w:val="0"/>
              <w:spacing w:before="0" w:after="283"/>
              <w:jc w:val="both"/>
              <w:rPr/>
            </w:pPr>
            <w:r>
              <w:rPr/>
              <w:t>The copy of each Document is true and correct copy and each Document conforms in every material respect to the latest drafts of the same produced to us and, where a Document has been provided to us in successive drafts marked-up to indicate changes to such document, all such changes have been so indicated.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authorisation and execution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8</w:t>
            </w:r>
          </w:p>
        </w:tc>
        <w:tc>
          <w:tcPr>
            <w:tcW w:w="10051" w:type="dxa"/>
            <w:tcBorders/>
            <w:vAlign w:val="center"/>
          </w:tcPr>
          <w:p>
            <w:pPr>
              <w:pStyle w:val="TableContents"/>
              <w:bidi w:val="0"/>
              <w:spacing w:before="0" w:after="283"/>
              <w:jc w:val="both"/>
              <w:rPr/>
            </w:pPr>
            <w:r>
              <w:rPr/>
              <w:t>Each of the parties to the Documents other than the Company is duly incorporated, formed or organised (as applicable), validly existing and in good standing under all relevant laws. Any individuals who are parties to the Documents, or who sign or have signed documents or give information on which we rely, have the legal capacity under all relevant laws (including the laws of the Cayman Islands) to enter into and perform their obligations under such Documents, sign such documents and give such information.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9</w:t>
            </w:r>
          </w:p>
        </w:tc>
        <w:tc>
          <w:tcPr>
            <w:tcW w:w="10051" w:type="dxa"/>
            <w:tcBorders/>
            <w:vAlign w:val="center"/>
          </w:tcPr>
          <w:p>
            <w:pPr>
              <w:pStyle w:val="TableContents"/>
              <w:bidi w:val="0"/>
              <w:spacing w:before="0" w:after="283"/>
              <w:jc w:val="both"/>
              <w:rPr/>
            </w:pPr>
            <w:r>
              <w:rPr/>
              <w:t>In authorising the execution and delivery of the Documents by the Company, the exercise of its rights and performance of its obligations under such documents, each of the directors of the Company has acted in good faith with a view to the best interests of the Company and has exercised the standard of care, diligence and skill that is required of him or her.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10</w:t>
            </w:r>
          </w:p>
        </w:tc>
        <w:tc>
          <w:tcPr>
            <w:tcW w:w="9931" w:type="dxa"/>
            <w:tcBorders/>
            <w:vAlign w:val="center"/>
          </w:tcPr>
          <w:p>
            <w:pPr>
              <w:pStyle w:val="TableContents"/>
              <w:bidi w:val="0"/>
              <w:spacing w:before="0" w:after="283"/>
              <w:jc w:val="both"/>
              <w:rPr/>
            </w:pPr>
            <w:r>
              <w:rPr/>
              <w:t>The Board Resolutions (as defined in Schedule 1) remain in full force and effect and each of the directors of the Company has acted in good faith with a view to the best interests of the Company and has exercised the standard of care, diligence and skill that is required of him or her in approving the Documents and no director has a financial interest in or other relationship to a party of the transactions contemplated by the Documents which has not been properly disclosed in the Board Resolutions.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11</w:t>
            </w:r>
          </w:p>
        </w:tc>
        <w:tc>
          <w:tcPr>
            <w:tcW w:w="9931" w:type="dxa"/>
            <w:tcBorders/>
            <w:vAlign w:val="center"/>
          </w:tcPr>
          <w:p>
            <w:pPr>
              <w:pStyle w:val="TableContents"/>
              <w:bidi w:val="0"/>
              <w:spacing w:before="0" w:after="283"/>
              <w:jc w:val="both"/>
              <w:rPr/>
            </w:pPr>
            <w:r>
              <w:rPr/>
              <w:t>Neither the directors nor the shareholders of the Company have taken any steps to appoint a liquidator of the Company and no receiver or restructuring officer has been appointed over any of the Company’s property or assets.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12</w:t>
            </w:r>
          </w:p>
        </w:tc>
        <w:tc>
          <w:tcPr>
            <w:tcW w:w="9931" w:type="dxa"/>
            <w:tcBorders/>
            <w:vAlign w:val="center"/>
          </w:tcPr>
          <w:p>
            <w:pPr>
              <w:pStyle w:val="TableContents"/>
              <w:bidi w:val="0"/>
              <w:spacing w:before="0" w:after="283"/>
              <w:jc w:val="both"/>
              <w:rPr/>
            </w:pPr>
            <w:r>
              <w:rPr/>
              <w:t>The Company has obtained, or will obtain prior to execution, all consents, licences, approvals and authorizations of any governmental or regulatory authority or agency or of any other person that it is required to obtain pursuant to the laws of all relevant jurisdictions (other than those of the Cayman Islands) to ensure the legality, validity, enforceability, proper performance and admissibility in evidence of the Documents. Any conditions to which such consents, licences, approvals and authorizations are subject have been, and will continue to be, satisfied or waived by the parties entitled to the benefit of them.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13</w:t>
            </w:r>
          </w:p>
        </w:tc>
        <w:tc>
          <w:tcPr>
            <w:tcW w:w="9931"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(a)</w:t>
            </w:r>
          </w:p>
        </w:tc>
        <w:tc>
          <w:tcPr>
            <w:tcW w:w="9917"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neither the execution or delivery of the Documents nor the exercise by any party to the Documents of its rights or the performance of its obligations under them contravene those laws or public policies.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14</w:t>
            </w:r>
          </w:p>
        </w:tc>
        <w:tc>
          <w:tcPr>
            <w:tcW w:w="9931" w:type="dxa"/>
            <w:tcBorders/>
            <w:vAlign w:val="center"/>
          </w:tcPr>
          <w:p>
            <w:pPr>
              <w:pStyle w:val="TableContents"/>
              <w:bidi w:val="0"/>
              <w:spacing w:before="0" w:after="283"/>
              <w:jc w:val="both"/>
              <w:rPr/>
            </w:pPr>
            <w:r>
              <w:rPr/>
              <w:t>There are no agreements, documents or arrangements (other than the documents expressly referred to in this opinion as having been examined by us) that materially affect or modify the Documents or the transactions contemplated by them or restrict the powers and authority of the Company in any way from entering into and performing its obligations under a duly authorised, executed and delivered Documents.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15</w:t>
            </w:r>
          </w:p>
        </w:tc>
        <w:tc>
          <w:tcPr>
            <w:tcW w:w="9931" w:type="dxa"/>
            <w:tcBorders/>
            <w:vAlign w:val="center"/>
          </w:tcPr>
          <w:p>
            <w:pPr>
              <w:pStyle w:val="TableContents"/>
              <w:bidi w:val="0"/>
              <w:spacing w:before="0" w:after="283"/>
              <w:jc w:val="both"/>
              <w:rPr/>
            </w:pPr>
            <w:r>
              <w:rPr/>
              <w:t xml:space="preserve">None of the transactions contemplated by Documents relate to any partnership interests, shares, voting rights in a Cayman Islands company, limited liability company, limited liability partnership, limited partnership, foundation company, exempted limited partnership, or any other person that may be prescribed in regulations from time to time (a </w:t>
            </w:r>
            <w:r>
              <w:rPr>
                <w:b/>
              </w:rPr>
              <w:t>Legal Person</w:t>
            </w:r>
            <w:r>
              <w:rPr/>
              <w:t>) or to the ultimate effective control over the management of a Legal Person that are subject to a restrictions notice issued pursuant to the Beneficial Ownership Transparency Act (Revised) of the Cayman Islands.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16</w:t>
            </w:r>
          </w:p>
        </w:tc>
        <w:tc>
          <w:tcPr>
            <w:tcW w:w="9931" w:type="dxa"/>
            <w:tcBorders/>
            <w:vAlign w:val="center"/>
          </w:tcPr>
          <w:p>
            <w:pPr>
              <w:pStyle w:val="TableContents"/>
              <w:bidi w:val="0"/>
              <w:spacing w:before="0" w:after="283"/>
              <w:jc w:val="both"/>
              <w:rPr/>
            </w:pPr>
            <w:r>
              <w:rPr/>
              <w:t>The applicable Documents will be governed by and construed in accordance with the laws of New York and will be legal, valid, binding and enforceable against all relevant parties in accordance with its terms under the laws of New York and all other relevant laws. If an obligation is to be performed in a jurisdiction outside the Cayman Islands, its performance will not be contrary to an official directive, impossible or illegal under the laws of that jurisdiction.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17</w:t>
            </w:r>
          </w:p>
        </w:tc>
        <w:tc>
          <w:tcPr>
            <w:tcW w:w="9931" w:type="dxa"/>
            <w:tcBorders/>
            <w:vAlign w:val="center"/>
          </w:tcPr>
          <w:p>
            <w:pPr>
              <w:pStyle w:val="TableContents"/>
              <w:bidi w:val="0"/>
              <w:spacing w:before="0" w:after="283"/>
              <w:jc w:val="both"/>
              <w:rPr/>
            </w:pPr>
            <w:r>
              <w:rPr/>
              <w:t>The choice of the laws of the State of New York as the governing law of the Documents has, or will have, been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18</w:t>
            </w:r>
          </w:p>
        </w:tc>
        <w:tc>
          <w:tcPr>
            <w:tcW w:w="9931" w:type="dxa"/>
            <w:tcBorders/>
            <w:vAlign w:val="center"/>
          </w:tcPr>
          <w:p>
            <w:pPr>
              <w:pStyle w:val="TableContents"/>
              <w:bidi w:val="0"/>
              <w:spacing w:before="0" w:after="283"/>
              <w:jc w:val="both"/>
              <w:rPr/>
            </w:pPr>
            <w:r>
              <w:rPr/>
              <w:t>There is no provision of the law of any jurisdiction, other than the Cayman Islands, which would have any implication in relation to the opinions expressed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19</w:t>
            </w:r>
          </w:p>
        </w:tc>
        <w:tc>
          <w:tcPr>
            <w:tcW w:w="9931" w:type="dxa"/>
            <w:tcBorders/>
            <w:vAlign w:val="center"/>
          </w:tcPr>
          <w:p>
            <w:pPr>
              <w:pStyle w:val="TableContents"/>
              <w:bidi w:val="0"/>
              <w:spacing w:before="0" w:after="283"/>
              <w:jc w:val="both"/>
              <w:rPr/>
            </w:pPr>
            <w:r>
              <w:rPr/>
              <w:t>The issue of the Ordinary Shares at the time of issuance, whether as principal issue or on the conversion, exchange or exercise of any Documents, would not result in the Company exceeding its authorised share capital; and upon the issue of any Ordinary Shares, the Company will receive consideration for the full issue price thereof which shall be equal to at least the par value thereof and that such issuance will be duly registered, and will continue to be registered, in the Company’s register of members.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20</w:t>
            </w:r>
          </w:p>
        </w:tc>
        <w:tc>
          <w:tcPr>
            <w:tcW w:w="9931" w:type="dxa"/>
            <w:tcBorders/>
            <w:vAlign w:val="center"/>
          </w:tcPr>
          <w:p>
            <w:pPr>
              <w:pStyle w:val="TableContents"/>
              <w:bidi w:val="0"/>
              <w:spacing w:before="0" w:after="283"/>
              <w:jc w:val="both"/>
              <w:rPr/>
            </w:pPr>
            <w:r>
              <w:rPr/>
              <w:t xml:space="preserve">Valid entry has been made in the register of members of the Company reflecting the issuance of the Ordinary Shares, in each case in accordance with the Memorandum and Articles of Association and the Companies Act (Revised) of the Cayman Islands (the </w:t>
            </w:r>
            <w:r>
              <w:rPr>
                <w:b/>
              </w:rPr>
              <w:t>Companies Act</w:t>
            </w:r>
            <w:r>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21</w:t>
            </w:r>
          </w:p>
        </w:tc>
        <w:tc>
          <w:tcPr>
            <w:tcW w:w="9931" w:type="dxa"/>
            <w:tcBorders/>
            <w:vAlign w:val="center"/>
          </w:tcPr>
          <w:p>
            <w:pPr>
              <w:pStyle w:val="TableContents"/>
              <w:bidi w:val="0"/>
              <w:spacing w:before="0" w:after="283"/>
              <w:jc w:val="both"/>
              <w:rPr/>
            </w:pPr>
            <w:r>
              <w:rPr/>
              <w:t>No monies paid to or for the account of any party in respect of the Ordinary Shares under the Documents represent, or will represent, criminal property or terrorist property (as defined in the Proceeds of Crime Act (Revised), and the Terrorism Act (Revised) respectively) and none of the parties to the Documents is acting or will act in relation to the transactions contemplated by such documents, in a manner inconsistent with sanctions imposed by Cayman Islands authorities, or United Nations or United Kingdom sanctions or measures extended by statutory instrument to the Cayman Islands by orders of His Majesty in Council.</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22</w:t>
            </w:r>
          </w:p>
        </w:tc>
        <w:tc>
          <w:tcPr>
            <w:tcW w:w="9931" w:type="dxa"/>
            <w:tcBorders/>
            <w:vAlign w:val="center"/>
          </w:tcPr>
          <w:p>
            <w:pPr>
              <w:pStyle w:val="TableContents"/>
              <w:bidi w:val="0"/>
              <w:spacing w:before="0" w:after="283"/>
              <w:jc w:val="both"/>
              <w:rPr/>
            </w:pPr>
            <w:r>
              <w:rPr/>
              <w:t>No invitation has been or will be made by or on behalf of the Company to the public in the Cayman Islands to subscribe for the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23</w:t>
            </w:r>
          </w:p>
        </w:tc>
        <w:tc>
          <w:tcPr>
            <w:tcW w:w="9931" w:type="dxa"/>
            <w:tcBorders/>
            <w:vAlign w:val="center"/>
          </w:tcPr>
          <w:p>
            <w:pPr>
              <w:pStyle w:val="TableContents"/>
              <w:bidi w:val="0"/>
              <w:spacing w:before="0" w:after="283"/>
              <w:jc w:val="both"/>
              <w:rPr/>
            </w:pPr>
            <w:r>
              <w:rPr/>
              <w:t>The Register of Writs constitutes a complete and accurate record of the proceedings affecting the Company before the Grand Court of the Cayman Islands as at the time we conducted our investigation of such register.</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1</w:t>
            </w:r>
          </w:p>
        </w:tc>
        <w:tc>
          <w:tcPr>
            <w:tcW w:w="10051" w:type="dxa"/>
            <w:tcBorders/>
            <w:vAlign w:val="center"/>
          </w:tcPr>
          <w:p>
            <w:pPr>
              <w:pStyle w:val="TableContents"/>
              <w:bidi w:val="0"/>
              <w:spacing w:before="0" w:after="283"/>
              <w:jc w:val="both"/>
              <w:rPr/>
            </w:pPr>
            <w:r>
              <w:rPr/>
              <w:t>Under the Companies Act,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2</w:t>
            </w:r>
          </w:p>
        </w:tc>
        <w:tc>
          <w:tcPr>
            <w:tcW w:w="10051" w:type="dxa"/>
            <w:tcBorders/>
            <w:vAlign w:val="center"/>
          </w:tcPr>
          <w:p>
            <w:pPr>
              <w:pStyle w:val="TableContents"/>
              <w:bidi w:val="0"/>
              <w:spacing w:before="0" w:after="283"/>
              <w:jc w:val="both"/>
              <w:rPr/>
            </w:pPr>
            <w:r>
              <w:rPr>
                <w:b/>
              </w:rPr>
              <w:t>In good standing</w:t>
            </w:r>
            <w:r>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3</w:t>
            </w:r>
          </w:p>
        </w:tc>
        <w:tc>
          <w:tcPr>
            <w:tcW w:w="10051"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4</w:t>
            </w:r>
          </w:p>
        </w:tc>
        <w:tc>
          <w:tcPr>
            <w:tcW w:w="10051" w:type="dxa"/>
            <w:tcBorders/>
            <w:vAlign w:val="center"/>
          </w:tcPr>
          <w:p>
            <w:pPr>
              <w:pStyle w:val="TableContents"/>
              <w:bidi w:val="0"/>
              <w:spacing w:before="0" w:after="283"/>
              <w:jc w:val="both"/>
              <w:rPr/>
            </w:pPr>
            <w:r>
              <w:rPr/>
              <w:t xml:space="preserve">Under the Companies Act, the register of members of a Cayman Islands company is by statute regarded as </w:t>
            </w:r>
            <w:r>
              <w:rPr>
                <w:i/>
              </w:rPr>
              <w:t>prima facie</w:t>
            </w:r>
            <w:r>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pPr>
            <w:r>
              <w:rPr/>
              <w:t>5</w:t>
            </w:r>
          </w:p>
        </w:tc>
        <w:tc>
          <w:tcPr>
            <w:tcW w:w="10051" w:type="dxa"/>
            <w:tcBorders/>
            <w:vAlign w:val="center"/>
          </w:tcPr>
          <w:p>
            <w:pPr>
              <w:pStyle w:val="TableContents"/>
              <w:bidi w:val="0"/>
              <w:spacing w:before="0" w:after="283"/>
              <w:jc w:val="both"/>
              <w:rPr/>
            </w:pPr>
            <w:r>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6</w:t>
            </w:r>
          </w:p>
        </w:tc>
        <w:tc>
          <w:tcPr>
            <w:tcW w:w="10027"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5"/>
        <w:gridCol w:w="9802"/>
      </w:tblGrid>
      <w:tr>
        <w:trPr/>
        <w:tc>
          <w:tcPr>
            <w:tcW w:w="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(a)</w:t>
            </w:r>
          </w:p>
        </w:tc>
        <w:tc>
          <w:tcPr>
            <w:tcW w:w="9802"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709"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99123/000114036124021346/ny20023745x7_posam.htm" TargetMode="External"/><Relationship Id="rId3" Type="http://schemas.openxmlformats.org/officeDocument/2006/relationships/hyperlink" Target="https://www.sec.gov/Archives/edgar/data/1899123/000114036124016228/ny20023745x4_f3a.htm" TargetMode="External"/><Relationship Id="rId4" Type="http://schemas.openxmlformats.org/officeDocument/2006/relationships/hyperlink" Target="https://www.sec.gov/Archives/edgar/data/1899123/000114036124016229/ny20023745x5_f3a.htm" TargetMode="External"/><Relationship Id="rId5" Type="http://schemas.openxmlformats.org/officeDocument/2006/relationships/hyperlink" Target="https://www.sec.gov/Archives/edgar/data/1899123/000114036124029276/ny20030771x1_f3.htm" TargetMode="External"/><Relationship Id="rId6" Type="http://schemas.openxmlformats.org/officeDocument/2006/relationships/hyperlink" Target="https://www.sec.gov/Archives/edgar/data/1899123/000114036124049031/ny20039746x1_f3.htm" TargetMode="External"/><Relationship Id="rId7" Type="http://schemas.openxmlformats.org/officeDocument/2006/relationships/hyperlink" Target="https://www.sec.gov/Archives/edgar/data/1899123/000121390025080525/ea0254524-f3_bitdeer.htm" TargetMode="External"/><Relationship Id="rId8" Type="http://schemas.openxmlformats.org/officeDocument/2006/relationships/hyperlink" Target="http://www.sec.gov/Archives/edgar/data/1899123/000121390026087012/ea0300737-f3asr_bitdeer.htm" TargetMode="External"/><Relationship Id="rId9" Type="http://schemas.openxmlformats.org/officeDocument/2006/relationships/hyperlink" Target="https://www.sec.gov/Archives/edgar/data/1899123/000114036123031108/brhc20054618_s8.htm" TargetMode="External"/><Relationship Id="rId10" Type="http://schemas.openxmlformats.org/officeDocument/2006/relationships/hyperlink" Target="https://www.sec.gov/Archives/edgar/data/1899123/000114036123051570/ef20013751_s8.htm" TargetMode="External"/><Relationship Id="rId11" Type="http://schemas.openxmlformats.org/officeDocument/2006/relationships/hyperlink" Target="http://www.sec.gov/Archives/edgar/data/1899123/000121390026087012/ea0300737-f3asr_bitdeer.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4640</Words>
  <Characters>24124</Characters>
  <CharactersWithSpaces>28712</CharactersWithSpaces>
  <Paragraphs>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